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957F6">
      <w:pPr>
        <w:spacing w:line="600" w:lineRule="auto"/>
        <w:jc w:val="center"/>
        <w:rPr>
          <w:b/>
          <w:kern w:val="28"/>
          <w:sz w:val="48"/>
          <w:szCs w:val="48"/>
        </w:rPr>
      </w:pPr>
      <w:bookmarkStart w:id="0" w:name="_Toc377032504"/>
      <w:r>
        <w:rPr>
          <w:rFonts w:hint="eastAsia"/>
          <w:b/>
          <w:kern w:val="28"/>
          <w:sz w:val="48"/>
          <w:szCs w:val="48"/>
        </w:rPr>
        <w:t>绿色建筑结构部分</w:t>
      </w:r>
    </w:p>
    <w:p w14:paraId="6F1C3D45">
      <w:pPr>
        <w:spacing w:line="600" w:lineRule="auto"/>
        <w:jc w:val="center"/>
        <w:rPr>
          <w:b/>
          <w:kern w:val="28"/>
          <w:sz w:val="30"/>
          <w:szCs w:val="30"/>
        </w:rPr>
      </w:pPr>
    </w:p>
    <w:p w14:paraId="14F7108D">
      <w:pPr>
        <w:spacing w:line="600" w:lineRule="auto"/>
        <w:jc w:val="center"/>
        <w:rPr>
          <w:b/>
          <w:kern w:val="28"/>
          <w:sz w:val="30"/>
          <w:szCs w:val="30"/>
        </w:rPr>
      </w:pPr>
    </w:p>
    <w:p w14:paraId="360B416F">
      <w:pPr>
        <w:spacing w:line="600" w:lineRule="auto"/>
        <w:jc w:val="center"/>
        <w:rPr>
          <w:b/>
          <w:kern w:val="28"/>
          <w:sz w:val="30"/>
          <w:szCs w:val="30"/>
        </w:rPr>
      </w:pPr>
    </w:p>
    <w:p w14:paraId="41516B79">
      <w:pPr>
        <w:spacing w:line="600" w:lineRule="auto"/>
        <w:jc w:val="center"/>
        <w:rPr>
          <w:b/>
          <w:kern w:val="28"/>
          <w:sz w:val="30"/>
          <w:szCs w:val="30"/>
        </w:rPr>
      </w:pPr>
    </w:p>
    <w:p w14:paraId="76F6EBD8">
      <w:pPr>
        <w:spacing w:line="600" w:lineRule="auto"/>
        <w:jc w:val="center"/>
        <w:rPr>
          <w:b/>
          <w:kern w:val="28"/>
          <w:sz w:val="30"/>
          <w:szCs w:val="30"/>
        </w:rPr>
      </w:pPr>
    </w:p>
    <w:p w14:paraId="2FEC0B60">
      <w:pPr>
        <w:spacing w:line="600" w:lineRule="auto"/>
        <w:ind w:firstLine="2699" w:firstLineChars="896"/>
        <w:rPr>
          <w:b/>
          <w:kern w:val="28"/>
          <w:sz w:val="30"/>
          <w:szCs w:val="30"/>
        </w:rPr>
      </w:pPr>
      <w:r>
        <w:rPr>
          <w:rFonts w:hint="eastAsia"/>
          <w:b/>
          <w:kern w:val="28"/>
          <w:sz w:val="30"/>
          <w:szCs w:val="30"/>
        </w:rPr>
        <w:t>审定</w:t>
      </w:r>
    </w:p>
    <w:p w14:paraId="37F50252">
      <w:pPr>
        <w:spacing w:line="600" w:lineRule="auto"/>
        <w:ind w:firstLine="2699" w:firstLineChars="896"/>
        <w:rPr>
          <w:b/>
          <w:kern w:val="28"/>
          <w:sz w:val="30"/>
          <w:szCs w:val="30"/>
        </w:rPr>
      </w:pPr>
      <w:r>
        <w:rPr>
          <w:rFonts w:hint="eastAsia"/>
          <w:b/>
          <w:kern w:val="28"/>
          <w:sz w:val="30"/>
          <w:szCs w:val="30"/>
        </w:rPr>
        <w:t>审核</w:t>
      </w:r>
    </w:p>
    <w:p w14:paraId="3C9A71FC">
      <w:pPr>
        <w:spacing w:line="600" w:lineRule="auto"/>
        <w:ind w:firstLine="2699" w:firstLineChars="896"/>
        <w:rPr>
          <w:b/>
          <w:kern w:val="28"/>
          <w:sz w:val="30"/>
          <w:szCs w:val="30"/>
        </w:rPr>
      </w:pPr>
      <w:r>
        <w:rPr>
          <w:rFonts w:hint="eastAsia"/>
          <w:b/>
          <w:kern w:val="28"/>
          <w:sz w:val="30"/>
          <w:szCs w:val="30"/>
        </w:rPr>
        <w:t>拟稿</w:t>
      </w:r>
    </w:p>
    <w:p w14:paraId="3E1C9358">
      <w:pPr>
        <w:spacing w:line="600" w:lineRule="auto"/>
        <w:jc w:val="center"/>
        <w:rPr>
          <w:b/>
          <w:kern w:val="28"/>
          <w:sz w:val="30"/>
          <w:szCs w:val="30"/>
        </w:rPr>
      </w:pPr>
    </w:p>
    <w:p w14:paraId="70F3EBE3">
      <w:pPr>
        <w:spacing w:line="600" w:lineRule="auto"/>
        <w:jc w:val="center"/>
        <w:rPr>
          <w:b/>
          <w:kern w:val="28"/>
          <w:sz w:val="30"/>
          <w:szCs w:val="30"/>
        </w:rPr>
      </w:pPr>
    </w:p>
    <w:p w14:paraId="7B25CF4A">
      <w:pPr>
        <w:spacing w:line="600" w:lineRule="auto"/>
        <w:jc w:val="center"/>
        <w:rPr>
          <w:b/>
          <w:kern w:val="28"/>
          <w:sz w:val="30"/>
          <w:szCs w:val="30"/>
        </w:rPr>
      </w:pPr>
    </w:p>
    <w:p w14:paraId="5D0F3305">
      <w:pPr>
        <w:spacing w:line="600" w:lineRule="auto"/>
        <w:ind w:firstLine="3915" w:firstLineChars="1300"/>
        <w:jc w:val="both"/>
        <w:rPr>
          <w:rFonts w:hint="default" w:eastAsia="宋体"/>
          <w:b/>
          <w:kern w:val="28"/>
          <w:sz w:val="30"/>
          <w:szCs w:val="30"/>
          <w:lang w:val="en-US" w:eastAsia="zh-CN"/>
        </w:rPr>
      </w:pPr>
      <w:r>
        <w:rPr>
          <w:b/>
          <w:kern w:val="28"/>
          <w:sz w:val="30"/>
          <w:szCs w:val="30"/>
        </w:rPr>
        <w:t>20</w:t>
      </w:r>
      <w:r>
        <w:rPr>
          <w:rFonts w:hint="eastAsia"/>
          <w:b/>
          <w:kern w:val="28"/>
          <w:sz w:val="30"/>
          <w:szCs w:val="30"/>
          <w:lang w:val="en-US" w:eastAsia="zh-CN"/>
        </w:rPr>
        <w:t>25</w:t>
      </w:r>
      <w:r>
        <w:rPr>
          <w:rFonts w:hint="eastAsia"/>
          <w:b/>
          <w:kern w:val="28"/>
          <w:sz w:val="30"/>
          <w:szCs w:val="30"/>
        </w:rPr>
        <w:t>年</w:t>
      </w:r>
      <w:r>
        <w:rPr>
          <w:rFonts w:hint="eastAsia"/>
          <w:b/>
          <w:kern w:val="28"/>
          <w:sz w:val="30"/>
          <w:szCs w:val="30"/>
          <w:lang w:val="en-US" w:eastAsia="zh-CN"/>
        </w:rPr>
        <w:t>12</w:t>
      </w:r>
      <w:r>
        <w:rPr>
          <w:rFonts w:hint="eastAsia"/>
          <w:b/>
          <w:kern w:val="28"/>
          <w:sz w:val="30"/>
          <w:szCs w:val="30"/>
        </w:rPr>
        <w:t>月</w:t>
      </w:r>
      <w:r>
        <w:rPr>
          <w:rFonts w:hint="eastAsia"/>
          <w:b/>
          <w:kern w:val="28"/>
          <w:sz w:val="30"/>
          <w:szCs w:val="30"/>
          <w:lang w:val="en-US" w:eastAsia="zh-CN"/>
        </w:rPr>
        <w:t>28日</w:t>
      </w:r>
    </w:p>
    <w:p w14:paraId="5B3483F7">
      <w:pPr>
        <w:spacing w:line="600" w:lineRule="auto"/>
        <w:ind w:firstLine="3915" w:firstLineChars="1300"/>
        <w:jc w:val="both"/>
        <w:rPr>
          <w:b/>
          <w:kern w:val="28"/>
          <w:sz w:val="30"/>
          <w:szCs w:val="30"/>
        </w:rPr>
      </w:pPr>
      <w:bookmarkStart w:id="3" w:name="_GoBack"/>
      <w:bookmarkEnd w:id="3"/>
      <w:r>
        <w:rPr>
          <w:rFonts w:hint="eastAsia"/>
          <w:b/>
          <w:kern w:val="28"/>
          <w:sz w:val="30"/>
          <w:szCs w:val="30"/>
        </w:rPr>
        <w:t>建筑形体规则性判定</w:t>
      </w:r>
    </w:p>
    <w:p w14:paraId="2847C5C5">
      <w:pPr>
        <w:spacing w:line="60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训练馆：</w:t>
      </w:r>
    </w:p>
    <w:p w14:paraId="02D99D84">
      <w:pPr>
        <w:spacing w:line="440" w:lineRule="exact"/>
        <w:ind w:firstLine="480"/>
        <w:rPr>
          <w:rFonts w:hAnsi="宋体"/>
          <w:sz w:val="24"/>
        </w:rPr>
      </w:pPr>
      <w:r>
        <w:rPr>
          <w:rFonts w:hint="eastAsia"/>
          <w:sz w:val="24"/>
        </w:rPr>
        <w:t>主要平面尺寸为57.3</w:t>
      </w:r>
      <w:r>
        <w:rPr>
          <w:sz w:val="24"/>
        </w:rPr>
        <w:t>m</w:t>
      </w:r>
      <w:r>
        <w:rPr>
          <w:rFonts w:hint="eastAsia"/>
          <w:sz w:val="24"/>
        </w:rPr>
        <w:t>×29.5</w:t>
      </w:r>
      <w:r>
        <w:rPr>
          <w:sz w:val="24"/>
        </w:rPr>
        <w:t>m</w:t>
      </w:r>
      <w:r>
        <w:rPr>
          <w:rFonts w:hint="eastAsia"/>
          <w:sz w:val="24"/>
        </w:rPr>
        <w:t>，建筑大屋面高度17</w:t>
      </w:r>
      <w:r>
        <w:rPr>
          <w:sz w:val="24"/>
        </w:rPr>
        <w:t>m</w:t>
      </w:r>
      <w:r>
        <w:rPr>
          <w:rFonts w:hint="eastAsia"/>
          <w:sz w:val="24"/>
        </w:rPr>
        <w:t>，地上2层，局部夹层2层，标准层主要建筑层高为8米，</w:t>
      </w:r>
      <w:r>
        <w:rPr>
          <w:rFonts w:hint="eastAsia" w:hAnsi="宋体"/>
          <w:sz w:val="24"/>
        </w:rPr>
        <w:t>整体高宽比1.94</w:t>
      </w:r>
      <w:r>
        <w:rPr>
          <w:rFonts w:hint="eastAsia"/>
          <w:sz w:val="24"/>
        </w:rPr>
        <w:t>，上部结构体系为高层钢筋混凝土剪力墙结构，抗震等级为二级。</w:t>
      </w:r>
      <w:r>
        <w:rPr>
          <w:rFonts w:hint="eastAsia" w:hAnsi="宋体"/>
          <w:sz w:val="24"/>
        </w:rPr>
        <w:t>典型结构平面如下图。</w:t>
      </w:r>
    </w:p>
    <w:p w14:paraId="53C445C7">
      <w:pPr>
        <w:autoSpaceDE w:val="0"/>
        <w:autoSpaceDN w:val="0"/>
        <w:adjustRightInd w:val="0"/>
        <w:jc w:val="center"/>
        <w:rPr>
          <w:rFonts w:ascii="宋体"/>
          <w:b/>
          <w:bCs/>
          <w:sz w:val="24"/>
        </w:rPr>
      </w:pPr>
      <w:r>
        <w:drawing>
          <wp:inline distT="0" distB="0" distL="0" distR="0">
            <wp:extent cx="4413250" cy="6432550"/>
            <wp:effectExtent l="19050" t="0" r="5749" b="0"/>
            <wp:docPr id="1" name="图片 1" descr="C:\Users\3267\AppData\Roaming\feiq\RichOle\152668733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3267\AppData\Roaming\feiq\RichOle\1526687333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5269" cy="6434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69D4F8">
      <w:pPr>
        <w:autoSpaceDE w:val="0"/>
        <w:autoSpaceDN w:val="0"/>
        <w:adjustRightInd w:val="0"/>
        <w:jc w:val="center"/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典型结构平面</w:t>
      </w:r>
    </w:p>
    <w:bookmarkEnd w:id="0"/>
    <w:p w14:paraId="4B937489">
      <w:pPr>
        <w:pStyle w:val="4"/>
      </w:pPr>
      <w:r>
        <w:rPr>
          <w:rFonts w:hint="eastAsia"/>
        </w:rPr>
        <w:t>结构规则性判断</w:t>
      </w:r>
    </w:p>
    <w:p w14:paraId="12EC8FBA">
      <w:pPr>
        <w:spacing w:line="600" w:lineRule="auto"/>
        <w:jc w:val="left"/>
        <w:rPr>
          <w:kern w:val="28"/>
          <w:sz w:val="28"/>
          <w:szCs w:val="28"/>
        </w:rPr>
      </w:pPr>
      <w:bookmarkStart w:id="1" w:name="OLE_LINK2"/>
      <w:bookmarkStart w:id="2" w:name="OLE_LINK1"/>
      <w:r>
        <w:rPr>
          <w:rFonts w:hint="eastAsia"/>
          <w:kern w:val="28"/>
          <w:sz w:val="28"/>
          <w:szCs w:val="28"/>
        </w:rPr>
        <w:t>规则性计算结果如下：</w:t>
      </w:r>
    </w:p>
    <w:bookmarkEnd w:id="1"/>
    <w:p w14:paraId="41BCD74C">
      <w:pPr>
        <w:spacing w:line="360" w:lineRule="auto"/>
        <w:ind w:firstLine="561"/>
        <w:rPr>
          <w:sz w:val="24"/>
        </w:rPr>
      </w:pPr>
      <w:r>
        <w:rPr>
          <w:rFonts w:hint="eastAsia"/>
          <w:sz w:val="24"/>
        </w:rPr>
        <w:t>训练馆结构在考虑偶然偏心影响的规定水平地震力作用下，</w:t>
      </w:r>
      <w:r>
        <w:rPr>
          <w:sz w:val="24"/>
        </w:rPr>
        <w:t>X</w:t>
      </w:r>
      <w:r>
        <w:rPr>
          <w:rFonts w:hint="eastAsia"/>
          <w:sz w:val="24"/>
        </w:rPr>
        <w:t>方向和</w:t>
      </w:r>
      <w:r>
        <w:rPr>
          <w:sz w:val="24"/>
        </w:rPr>
        <w:t>Y</w:t>
      </w:r>
      <w:r>
        <w:rPr>
          <w:rFonts w:hint="eastAsia"/>
          <w:sz w:val="24"/>
        </w:rPr>
        <w:t>方向的最大位移比分别为</w:t>
      </w:r>
      <w:r>
        <w:rPr>
          <w:sz w:val="24"/>
        </w:rPr>
        <w:t>1.</w:t>
      </w:r>
      <w:r>
        <w:rPr>
          <w:rFonts w:hint="eastAsia"/>
          <w:sz w:val="24"/>
        </w:rPr>
        <w:t>16和</w:t>
      </w:r>
      <w:r>
        <w:rPr>
          <w:sz w:val="24"/>
        </w:rPr>
        <w:t>1.</w:t>
      </w:r>
      <w:r>
        <w:rPr>
          <w:rFonts w:hint="eastAsia"/>
          <w:sz w:val="24"/>
        </w:rPr>
        <w:t>05，均未超过</w:t>
      </w:r>
      <w:r>
        <w:rPr>
          <w:sz w:val="24"/>
        </w:rPr>
        <w:t>1.</w:t>
      </w:r>
      <w:r>
        <w:rPr>
          <w:rFonts w:hint="eastAsia"/>
          <w:sz w:val="24"/>
        </w:rPr>
        <w:t>2，</w:t>
      </w:r>
      <w:bookmarkEnd w:id="2"/>
      <w:r>
        <w:rPr>
          <w:rFonts w:hint="eastAsia"/>
          <w:sz w:val="24"/>
        </w:rPr>
        <w:t>无不规则项，无特别不规则项。规则性判定为规则结构。</w:t>
      </w:r>
    </w:p>
    <w:p w14:paraId="2BBB2656">
      <w:pPr>
        <w:spacing w:line="360" w:lineRule="auto"/>
        <w:ind w:firstLine="561"/>
      </w:pPr>
    </w:p>
    <w:p w14:paraId="2AAD5C60">
      <w:pPr>
        <w:ind w:firstLine="560"/>
      </w:pPr>
      <w:r>
        <w:rPr>
          <w:rFonts w:hint="eastAsia"/>
        </w:rPr>
        <w:t>根据《建筑抗震设计规范》（</w:t>
      </w:r>
      <w:r>
        <w:t>GB50011-2010</w:t>
      </w:r>
      <w:r>
        <w:rPr>
          <w:rFonts w:hint="eastAsia"/>
        </w:rPr>
        <w:t>）结结构规则性判断如下表所示：</w:t>
      </w:r>
    </w:p>
    <w:p w14:paraId="56C8ADDD">
      <w:pPr>
        <w:pStyle w:val="5"/>
      </w:pPr>
      <w:r>
        <w:rPr>
          <w:rFonts w:hint="eastAsia"/>
        </w:rPr>
        <w:t>表</w:t>
      </w:r>
      <w:r>
        <w:t>5.5.1</w:t>
      </w:r>
    </w:p>
    <w:tbl>
      <w:tblPr>
        <w:tblStyle w:val="9"/>
        <w:tblW w:w="10097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694"/>
        <w:gridCol w:w="5948"/>
        <w:gridCol w:w="1887"/>
      </w:tblGrid>
      <w:tr w14:paraId="2C4302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auto" w:sz="18" w:space="0"/>
            </w:tcBorders>
            <w:vAlign w:val="center"/>
          </w:tcPr>
          <w:p w14:paraId="2D9B6E0D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序号</w:t>
            </w:r>
          </w:p>
        </w:tc>
        <w:tc>
          <w:tcPr>
            <w:tcW w:w="1694" w:type="dxa"/>
            <w:tcBorders>
              <w:top w:val="single" w:color="auto" w:sz="18" w:space="0"/>
            </w:tcBorders>
            <w:vAlign w:val="center"/>
          </w:tcPr>
          <w:p w14:paraId="1831CD4F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不规则类型</w:t>
            </w:r>
          </w:p>
        </w:tc>
        <w:tc>
          <w:tcPr>
            <w:tcW w:w="5948" w:type="dxa"/>
            <w:tcBorders>
              <w:top w:val="single" w:color="auto" w:sz="18" w:space="0"/>
            </w:tcBorders>
            <w:vAlign w:val="center"/>
          </w:tcPr>
          <w:p w14:paraId="0D9963CA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简要涵义</w:t>
            </w:r>
          </w:p>
        </w:tc>
        <w:tc>
          <w:tcPr>
            <w:tcW w:w="1887" w:type="dxa"/>
            <w:tcBorders>
              <w:top w:val="single" w:color="auto" w:sz="18" w:space="0"/>
            </w:tcBorders>
            <w:vAlign w:val="center"/>
          </w:tcPr>
          <w:p w14:paraId="1FCE50EF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备注</w:t>
            </w:r>
          </w:p>
        </w:tc>
      </w:tr>
      <w:tr w14:paraId="03968E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Align w:val="center"/>
          </w:tcPr>
          <w:p w14:paraId="625FC1B9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4" w:type="dxa"/>
            <w:vAlign w:val="center"/>
          </w:tcPr>
          <w:p w14:paraId="4AB02EE9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扭转不规则</w:t>
            </w:r>
          </w:p>
        </w:tc>
        <w:tc>
          <w:tcPr>
            <w:tcW w:w="5948" w:type="dxa"/>
            <w:vAlign w:val="center"/>
          </w:tcPr>
          <w:p w14:paraId="716478DE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考虑偶然偏心的扭转位移比大于</w:t>
            </w: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887" w:type="dxa"/>
            <w:vAlign w:val="center"/>
          </w:tcPr>
          <w:p w14:paraId="15E4C04F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参见</w:t>
            </w:r>
            <w:r>
              <w:rPr>
                <w:rFonts w:ascii="Times New Roman" w:hAnsi="Times New Roman"/>
                <w:sz w:val="20"/>
              </w:rPr>
              <w:t>GB50011-3.4.3</w:t>
            </w:r>
          </w:p>
        </w:tc>
      </w:tr>
      <w:tr w14:paraId="6E4B66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Align w:val="center"/>
          </w:tcPr>
          <w:p w14:paraId="0C523A71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2a</w:t>
            </w:r>
          </w:p>
        </w:tc>
        <w:tc>
          <w:tcPr>
            <w:tcW w:w="1694" w:type="dxa"/>
            <w:vAlign w:val="center"/>
          </w:tcPr>
          <w:p w14:paraId="03A79B07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凹凸不规则</w:t>
            </w:r>
          </w:p>
        </w:tc>
        <w:tc>
          <w:tcPr>
            <w:tcW w:w="5948" w:type="dxa"/>
            <w:vAlign w:val="center"/>
          </w:tcPr>
          <w:p w14:paraId="20A2C7DC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平面凹凸尺寸大于相应边长的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hint="eastAsia" w:ascii="Times New Roman" w:hAnsi="Times New Roman"/>
                <w:sz w:val="20"/>
              </w:rPr>
              <w:t>％等</w:t>
            </w:r>
          </w:p>
        </w:tc>
        <w:tc>
          <w:tcPr>
            <w:tcW w:w="1887" w:type="dxa"/>
            <w:vAlign w:val="center"/>
          </w:tcPr>
          <w:p w14:paraId="0A585BEB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参见</w:t>
            </w:r>
            <w:r>
              <w:rPr>
                <w:rFonts w:ascii="Times New Roman" w:hAnsi="Times New Roman"/>
                <w:sz w:val="20"/>
              </w:rPr>
              <w:t>GB50011-3.4.3</w:t>
            </w:r>
          </w:p>
        </w:tc>
      </w:tr>
      <w:tr w14:paraId="140903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Align w:val="center"/>
          </w:tcPr>
          <w:p w14:paraId="56E47687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2b</w:t>
            </w:r>
          </w:p>
        </w:tc>
        <w:tc>
          <w:tcPr>
            <w:tcW w:w="1694" w:type="dxa"/>
            <w:vAlign w:val="center"/>
          </w:tcPr>
          <w:p w14:paraId="483786AE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组合平面</w:t>
            </w:r>
          </w:p>
        </w:tc>
        <w:tc>
          <w:tcPr>
            <w:tcW w:w="5948" w:type="dxa"/>
            <w:vAlign w:val="center"/>
          </w:tcPr>
          <w:p w14:paraId="3EB34CEA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细腰形或角部重叠形</w:t>
            </w:r>
          </w:p>
        </w:tc>
        <w:tc>
          <w:tcPr>
            <w:tcW w:w="1887" w:type="dxa"/>
            <w:vAlign w:val="center"/>
          </w:tcPr>
          <w:p w14:paraId="59AFAAB8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参见</w:t>
            </w:r>
            <w:r>
              <w:rPr>
                <w:rFonts w:ascii="Times New Roman" w:hAnsi="Times New Roman"/>
                <w:sz w:val="20"/>
              </w:rPr>
              <w:t>GB50011-3.4.3</w:t>
            </w:r>
          </w:p>
        </w:tc>
      </w:tr>
      <w:tr w14:paraId="45C4A61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Align w:val="center"/>
          </w:tcPr>
          <w:p w14:paraId="18F79554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694" w:type="dxa"/>
            <w:vAlign w:val="center"/>
          </w:tcPr>
          <w:p w14:paraId="71638764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楼板局部不连续</w:t>
            </w:r>
          </w:p>
        </w:tc>
        <w:tc>
          <w:tcPr>
            <w:tcW w:w="5948" w:type="dxa"/>
            <w:vAlign w:val="center"/>
          </w:tcPr>
          <w:p w14:paraId="59AD8B92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有效宽度小于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hint="eastAsia" w:ascii="Times New Roman" w:hAnsi="Times New Roman"/>
                <w:sz w:val="20"/>
              </w:rPr>
              <w:t>％，开洞面积大于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hint="eastAsia" w:ascii="Times New Roman" w:hAnsi="Times New Roman"/>
                <w:sz w:val="20"/>
              </w:rPr>
              <w:t>％，错层大于梁高</w:t>
            </w:r>
          </w:p>
        </w:tc>
        <w:tc>
          <w:tcPr>
            <w:tcW w:w="1887" w:type="dxa"/>
            <w:vAlign w:val="center"/>
          </w:tcPr>
          <w:p w14:paraId="52D8B940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参见</w:t>
            </w:r>
            <w:r>
              <w:rPr>
                <w:rFonts w:ascii="Times New Roman" w:hAnsi="Times New Roman"/>
                <w:sz w:val="20"/>
              </w:rPr>
              <w:t>GB50011-3.4.3</w:t>
            </w:r>
          </w:p>
        </w:tc>
      </w:tr>
      <w:tr w14:paraId="28818C5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Align w:val="center"/>
          </w:tcPr>
          <w:p w14:paraId="1C630666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4a</w:t>
            </w:r>
          </w:p>
        </w:tc>
        <w:tc>
          <w:tcPr>
            <w:tcW w:w="1694" w:type="dxa"/>
            <w:vAlign w:val="center"/>
          </w:tcPr>
          <w:p w14:paraId="31BF2FB6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刚度突变</w:t>
            </w:r>
          </w:p>
        </w:tc>
        <w:tc>
          <w:tcPr>
            <w:tcW w:w="5948" w:type="dxa"/>
            <w:vAlign w:val="center"/>
          </w:tcPr>
          <w:p w14:paraId="456D6657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该层的侧向刚度小于相邻上一层的</w:t>
            </w:r>
            <w:r>
              <w:rPr>
                <w:rFonts w:ascii="Times New Roman" w:hAnsi="Times New Roman"/>
                <w:sz w:val="20"/>
              </w:rPr>
              <w:t>70%</w:t>
            </w:r>
            <w:r>
              <w:rPr>
                <w:rFonts w:hint="eastAsia" w:ascii="Times New Roman" w:hAnsi="Times New Roman"/>
                <w:sz w:val="20"/>
              </w:rPr>
              <w:t>，或小于其上相邻三个楼层侧向刚度平均值的</w:t>
            </w:r>
            <w:r>
              <w:rPr>
                <w:rFonts w:ascii="Times New Roman" w:hAnsi="Times New Roman"/>
                <w:sz w:val="20"/>
              </w:rPr>
              <w:t>80%</w:t>
            </w:r>
          </w:p>
        </w:tc>
        <w:tc>
          <w:tcPr>
            <w:tcW w:w="1887" w:type="dxa"/>
            <w:vAlign w:val="center"/>
          </w:tcPr>
          <w:p w14:paraId="1818320C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参见</w:t>
            </w:r>
            <w:r>
              <w:rPr>
                <w:rFonts w:ascii="Times New Roman" w:hAnsi="Times New Roman"/>
                <w:sz w:val="20"/>
              </w:rPr>
              <w:t>GB50011-3.4.3</w:t>
            </w:r>
          </w:p>
        </w:tc>
      </w:tr>
      <w:tr w14:paraId="462DCA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Align w:val="center"/>
          </w:tcPr>
          <w:p w14:paraId="1BCBB3FE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4b</w:t>
            </w:r>
          </w:p>
        </w:tc>
        <w:tc>
          <w:tcPr>
            <w:tcW w:w="1694" w:type="dxa"/>
            <w:vAlign w:val="center"/>
          </w:tcPr>
          <w:p w14:paraId="28403194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尺寸突变</w:t>
            </w:r>
          </w:p>
        </w:tc>
        <w:tc>
          <w:tcPr>
            <w:tcW w:w="5948" w:type="dxa"/>
            <w:vAlign w:val="center"/>
          </w:tcPr>
          <w:p w14:paraId="186CE6A2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局部收进的水平向尺寸大于相邻下层的</w:t>
            </w: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1887" w:type="dxa"/>
            <w:vAlign w:val="center"/>
          </w:tcPr>
          <w:p w14:paraId="040C0584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参见</w:t>
            </w:r>
            <w:r>
              <w:rPr>
                <w:rFonts w:ascii="Times New Roman" w:hAnsi="Times New Roman"/>
                <w:sz w:val="20"/>
              </w:rPr>
              <w:t>GB50011-3.4.3</w:t>
            </w:r>
          </w:p>
        </w:tc>
      </w:tr>
      <w:tr w14:paraId="02499D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Align w:val="center"/>
          </w:tcPr>
          <w:p w14:paraId="2A1AE3B4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694" w:type="dxa"/>
            <w:vAlign w:val="center"/>
          </w:tcPr>
          <w:p w14:paraId="34F97F7D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竖向抗侧力构件不连续</w:t>
            </w:r>
          </w:p>
        </w:tc>
        <w:tc>
          <w:tcPr>
            <w:tcW w:w="5948" w:type="dxa"/>
            <w:vAlign w:val="center"/>
          </w:tcPr>
          <w:p w14:paraId="5EAC90A5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竖向抗侧力构件的内力由水平转换构件向下传递</w:t>
            </w:r>
          </w:p>
        </w:tc>
        <w:tc>
          <w:tcPr>
            <w:tcW w:w="1887" w:type="dxa"/>
            <w:vAlign w:val="center"/>
          </w:tcPr>
          <w:p w14:paraId="3758B360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参见</w:t>
            </w:r>
            <w:r>
              <w:rPr>
                <w:rFonts w:ascii="Times New Roman" w:hAnsi="Times New Roman"/>
                <w:sz w:val="20"/>
              </w:rPr>
              <w:t>GB50011-3.4.3</w:t>
            </w:r>
          </w:p>
        </w:tc>
      </w:tr>
      <w:tr w14:paraId="4ED33B8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Align w:val="center"/>
          </w:tcPr>
          <w:p w14:paraId="3A61ED1A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694" w:type="dxa"/>
            <w:vAlign w:val="center"/>
          </w:tcPr>
          <w:p w14:paraId="0C6D1B6D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楼层承载力突变</w:t>
            </w:r>
          </w:p>
        </w:tc>
        <w:tc>
          <w:tcPr>
            <w:tcW w:w="5948" w:type="dxa"/>
            <w:vAlign w:val="center"/>
          </w:tcPr>
          <w:p w14:paraId="379056A5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抗侧力结构的层间受剪承载力小于相邻上一楼层的</w:t>
            </w:r>
            <w:r>
              <w:rPr>
                <w:rFonts w:ascii="Times New Roman" w:hAnsi="Times New Roman"/>
                <w:sz w:val="20"/>
              </w:rPr>
              <w:t>80%</w:t>
            </w:r>
          </w:p>
        </w:tc>
        <w:tc>
          <w:tcPr>
            <w:tcW w:w="1887" w:type="dxa"/>
            <w:vAlign w:val="center"/>
          </w:tcPr>
          <w:p w14:paraId="6132F0E4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参见</w:t>
            </w:r>
            <w:r>
              <w:rPr>
                <w:rFonts w:ascii="Times New Roman" w:hAnsi="Times New Roman"/>
                <w:sz w:val="20"/>
              </w:rPr>
              <w:t>GB50011-3.4.3</w:t>
            </w:r>
          </w:p>
        </w:tc>
      </w:tr>
      <w:tr w14:paraId="04962F0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tcBorders>
              <w:bottom w:val="single" w:color="auto" w:sz="18" w:space="0"/>
            </w:tcBorders>
            <w:vAlign w:val="center"/>
          </w:tcPr>
          <w:p w14:paraId="7027BA72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694" w:type="dxa"/>
            <w:tcBorders>
              <w:bottom w:val="single" w:color="auto" w:sz="18" w:space="0"/>
            </w:tcBorders>
            <w:vAlign w:val="center"/>
          </w:tcPr>
          <w:p w14:paraId="26254B56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其他不规则</w:t>
            </w:r>
          </w:p>
        </w:tc>
        <w:tc>
          <w:tcPr>
            <w:tcW w:w="5948" w:type="dxa"/>
            <w:tcBorders>
              <w:bottom w:val="single" w:color="auto" w:sz="18" w:space="0"/>
            </w:tcBorders>
            <w:vAlign w:val="center"/>
          </w:tcPr>
          <w:p w14:paraId="4B8099D9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如局部的穿层柱、斜柱、夹层、个别错层或转换</w:t>
            </w:r>
          </w:p>
        </w:tc>
        <w:tc>
          <w:tcPr>
            <w:tcW w:w="1887" w:type="dxa"/>
            <w:tcBorders>
              <w:bottom w:val="single" w:color="auto" w:sz="18" w:space="0"/>
            </w:tcBorders>
            <w:vAlign w:val="center"/>
          </w:tcPr>
          <w:p w14:paraId="18DBF5EC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已计入</w:t>
            </w:r>
            <w:r>
              <w:rPr>
                <w:rFonts w:ascii="Times New Roman" w:hAnsi="Times New Roman"/>
                <w:sz w:val="20"/>
              </w:rPr>
              <w:t>1-6</w:t>
            </w:r>
            <w:r>
              <w:rPr>
                <w:rFonts w:hint="eastAsia" w:ascii="Times New Roman" w:hAnsi="Times New Roman"/>
                <w:sz w:val="20"/>
              </w:rPr>
              <w:t>项者除外</w:t>
            </w:r>
          </w:p>
        </w:tc>
      </w:tr>
    </w:tbl>
    <w:p w14:paraId="7A396AA5">
      <w:pPr>
        <w:pStyle w:val="5"/>
      </w:pPr>
    </w:p>
    <w:p w14:paraId="1B511DF9">
      <w:pPr>
        <w:ind w:firstLine="560"/>
      </w:pPr>
    </w:p>
    <w:tbl>
      <w:tblPr>
        <w:tblStyle w:val="9"/>
        <w:tblW w:w="547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8"/>
        <w:gridCol w:w="1825"/>
      </w:tblGrid>
      <w:tr w14:paraId="24F76E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tcBorders>
              <w:top w:val="single" w:color="auto" w:sz="18" w:space="0"/>
            </w:tcBorders>
            <w:vAlign w:val="center"/>
          </w:tcPr>
          <w:p w14:paraId="1CDCE8B9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项目</w:t>
            </w:r>
          </w:p>
        </w:tc>
        <w:tc>
          <w:tcPr>
            <w:tcW w:w="1825" w:type="dxa"/>
            <w:tcBorders>
              <w:top w:val="single" w:color="auto" w:sz="18" w:space="0"/>
            </w:tcBorders>
            <w:vAlign w:val="center"/>
          </w:tcPr>
          <w:p w14:paraId="5F0F1F56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 w:val="24"/>
              </w:rPr>
              <w:t>训练馆</w:t>
            </w:r>
          </w:p>
        </w:tc>
      </w:tr>
      <w:tr w14:paraId="561613E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554AAA80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扭转不规则</w:t>
            </w:r>
          </w:p>
        </w:tc>
        <w:tc>
          <w:tcPr>
            <w:tcW w:w="1825" w:type="dxa"/>
            <w:vAlign w:val="center"/>
          </w:tcPr>
          <w:p w14:paraId="2DF838D8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136430A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28346C92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凹凸不规则</w:t>
            </w:r>
          </w:p>
        </w:tc>
        <w:tc>
          <w:tcPr>
            <w:tcW w:w="1825" w:type="dxa"/>
            <w:vAlign w:val="center"/>
          </w:tcPr>
          <w:p w14:paraId="4D421EB7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5AD401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6181ABDF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组合平面</w:t>
            </w:r>
          </w:p>
        </w:tc>
        <w:tc>
          <w:tcPr>
            <w:tcW w:w="1825" w:type="dxa"/>
            <w:vAlign w:val="center"/>
          </w:tcPr>
          <w:p w14:paraId="5F7ACCBA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3A4525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1A29F49F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楼板局部不连续</w:t>
            </w:r>
          </w:p>
        </w:tc>
        <w:tc>
          <w:tcPr>
            <w:tcW w:w="1825" w:type="dxa"/>
            <w:vAlign w:val="center"/>
          </w:tcPr>
          <w:p w14:paraId="46E67B00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2965D2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6582D142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刚度突变</w:t>
            </w:r>
          </w:p>
        </w:tc>
        <w:tc>
          <w:tcPr>
            <w:tcW w:w="1825" w:type="dxa"/>
            <w:vAlign w:val="center"/>
          </w:tcPr>
          <w:p w14:paraId="461361E7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58D4FD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648" w:type="dxa"/>
            <w:vAlign w:val="center"/>
          </w:tcPr>
          <w:p w14:paraId="75B87DD0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尺寸突变</w:t>
            </w:r>
          </w:p>
        </w:tc>
        <w:tc>
          <w:tcPr>
            <w:tcW w:w="1825" w:type="dxa"/>
            <w:vAlign w:val="center"/>
          </w:tcPr>
          <w:p w14:paraId="3B4B25D0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0C235E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0975BC85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竖向抗侧力构件不连续</w:t>
            </w:r>
          </w:p>
        </w:tc>
        <w:tc>
          <w:tcPr>
            <w:tcW w:w="1825" w:type="dxa"/>
            <w:vAlign w:val="center"/>
          </w:tcPr>
          <w:p w14:paraId="2B9AE90A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1C6373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46E94CE6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楼层承载力突变</w:t>
            </w:r>
          </w:p>
        </w:tc>
        <w:tc>
          <w:tcPr>
            <w:tcW w:w="1825" w:type="dxa"/>
            <w:vAlign w:val="center"/>
          </w:tcPr>
          <w:p w14:paraId="365B2C27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0295657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tcBorders>
              <w:bottom w:val="single" w:color="auto" w:sz="18" w:space="0"/>
            </w:tcBorders>
            <w:vAlign w:val="center"/>
          </w:tcPr>
          <w:p w14:paraId="31DE2BC6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其他不规则</w:t>
            </w:r>
          </w:p>
        </w:tc>
        <w:tc>
          <w:tcPr>
            <w:tcW w:w="1825" w:type="dxa"/>
            <w:tcBorders>
              <w:bottom w:val="single" w:color="auto" w:sz="18" w:space="0"/>
            </w:tcBorders>
            <w:vAlign w:val="center"/>
          </w:tcPr>
          <w:p w14:paraId="0DBFDEC2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</w:tbl>
    <w:p w14:paraId="391E1424">
      <w:pPr>
        <w:pStyle w:val="5"/>
      </w:pPr>
    </w:p>
    <w:p w14:paraId="22F67645">
      <w:pPr>
        <w:pStyle w:val="5"/>
      </w:pPr>
    </w:p>
    <w:p w14:paraId="3D6F9868">
      <w:pPr>
        <w:pStyle w:val="5"/>
      </w:pPr>
      <w:r>
        <w:rPr>
          <w:rFonts w:hint="eastAsia"/>
        </w:rPr>
        <w:t>表</w:t>
      </w:r>
      <w:r>
        <w:t>5.5.2</w:t>
      </w:r>
    </w:p>
    <w:tbl>
      <w:tblPr>
        <w:tblStyle w:val="9"/>
        <w:tblW w:w="10256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8884"/>
      </w:tblGrid>
      <w:tr w14:paraId="71F5FB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tcBorders>
              <w:top w:val="single" w:color="auto" w:sz="18" w:space="0"/>
            </w:tcBorders>
            <w:vAlign w:val="center"/>
          </w:tcPr>
          <w:p w14:paraId="4E9D5551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项目</w:t>
            </w:r>
          </w:p>
        </w:tc>
        <w:tc>
          <w:tcPr>
            <w:tcW w:w="8884" w:type="dxa"/>
            <w:tcBorders>
              <w:top w:val="single" w:color="auto" w:sz="18" w:space="0"/>
            </w:tcBorders>
            <w:vAlign w:val="center"/>
          </w:tcPr>
          <w:p w14:paraId="628408B0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超限类别</w:t>
            </w:r>
          </w:p>
        </w:tc>
      </w:tr>
      <w:tr w14:paraId="7B7654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 w14:paraId="5DE5F42B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扭转偏大</w:t>
            </w:r>
          </w:p>
        </w:tc>
        <w:tc>
          <w:tcPr>
            <w:tcW w:w="8884" w:type="dxa"/>
            <w:vAlign w:val="center"/>
          </w:tcPr>
          <w:p w14:paraId="6F71DC7E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裙房以上有较多楼层考虑偶然偏心的扭转位移比大于</w:t>
            </w:r>
            <w:r>
              <w:rPr>
                <w:rFonts w:ascii="Times New Roman" w:hAnsi="Times New Roman"/>
                <w:sz w:val="20"/>
              </w:rPr>
              <w:t>1.4</w:t>
            </w:r>
          </w:p>
        </w:tc>
      </w:tr>
      <w:tr w14:paraId="5DBE98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 w14:paraId="41536207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扭转刚度弱</w:t>
            </w:r>
          </w:p>
        </w:tc>
        <w:tc>
          <w:tcPr>
            <w:tcW w:w="8884" w:type="dxa"/>
            <w:vAlign w:val="center"/>
          </w:tcPr>
          <w:p w14:paraId="560FC7DC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扭转周期比大于</w:t>
            </w:r>
            <w:r>
              <w:rPr>
                <w:rFonts w:ascii="Times New Roman" w:hAnsi="Times New Roman"/>
                <w:sz w:val="20"/>
              </w:rPr>
              <w:t>0.9</w:t>
            </w:r>
            <w:r>
              <w:rPr>
                <w:rFonts w:hint="eastAsia" w:ascii="Times New Roman" w:hAnsi="Times New Roman"/>
                <w:sz w:val="20"/>
              </w:rPr>
              <w:t>，混合结构大于</w:t>
            </w:r>
            <w:r>
              <w:rPr>
                <w:rFonts w:ascii="Times New Roman" w:hAnsi="Times New Roman"/>
                <w:sz w:val="20"/>
              </w:rPr>
              <w:t>0.85</w:t>
            </w:r>
          </w:p>
        </w:tc>
      </w:tr>
      <w:tr w14:paraId="69281B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 w14:paraId="179F95E9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层刚度偏小</w:t>
            </w:r>
          </w:p>
        </w:tc>
        <w:tc>
          <w:tcPr>
            <w:tcW w:w="8884" w:type="dxa"/>
            <w:vAlign w:val="center"/>
          </w:tcPr>
          <w:p w14:paraId="42F14D1E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本层侧向刚度小于相邻上层的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hint="eastAsia" w:ascii="Times New Roman" w:hAnsi="Times New Roman"/>
                <w:sz w:val="20"/>
              </w:rPr>
              <w:t>％</w:t>
            </w:r>
          </w:p>
        </w:tc>
      </w:tr>
      <w:tr w14:paraId="194866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 w14:paraId="47614025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高位转换</w:t>
            </w:r>
          </w:p>
        </w:tc>
        <w:tc>
          <w:tcPr>
            <w:tcW w:w="8884" w:type="dxa"/>
            <w:vAlign w:val="center"/>
          </w:tcPr>
          <w:p w14:paraId="5751092B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框支墙体的转换构件位置：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hint="eastAsia" w:ascii="Times New Roman" w:hAnsi="Times New Roman"/>
                <w:sz w:val="20"/>
              </w:rPr>
              <w:t>度超过</w:t>
            </w: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hint="eastAsia" w:ascii="Times New Roman" w:hAnsi="Times New Roman"/>
                <w:sz w:val="20"/>
              </w:rPr>
              <w:t>层，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hint="eastAsia" w:ascii="Times New Roman" w:hAnsi="Times New Roman"/>
                <w:sz w:val="20"/>
              </w:rPr>
              <w:t>度超过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hint="eastAsia" w:ascii="Times New Roman" w:hAnsi="Times New Roman"/>
                <w:sz w:val="20"/>
              </w:rPr>
              <w:t>层</w:t>
            </w:r>
          </w:p>
        </w:tc>
      </w:tr>
      <w:tr w14:paraId="3A4282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 w14:paraId="6EF88832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厚板转换</w:t>
            </w:r>
          </w:p>
        </w:tc>
        <w:tc>
          <w:tcPr>
            <w:tcW w:w="8884" w:type="dxa"/>
            <w:vAlign w:val="center"/>
          </w:tcPr>
          <w:p w14:paraId="777BC3B4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hint="eastAsia" w:ascii="Times New Roman" w:hAnsi="Times New Roman"/>
                <w:sz w:val="20"/>
              </w:rPr>
              <w:t>～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hint="eastAsia" w:ascii="Times New Roman" w:hAnsi="Times New Roman"/>
                <w:sz w:val="20"/>
              </w:rPr>
              <w:t>度设防的厚板转换结构</w:t>
            </w:r>
          </w:p>
        </w:tc>
      </w:tr>
      <w:tr w14:paraId="3CE200B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 w14:paraId="1F03560A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塔楼偏置</w:t>
            </w:r>
          </w:p>
        </w:tc>
        <w:tc>
          <w:tcPr>
            <w:tcW w:w="8884" w:type="dxa"/>
            <w:vAlign w:val="center"/>
          </w:tcPr>
          <w:p w14:paraId="0504D1BE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单塔或多塔合质心与大底盘的质心偏心距大于底盘相应边长的</w:t>
            </w: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hint="eastAsia" w:ascii="Times New Roman" w:hAnsi="Times New Roman"/>
                <w:sz w:val="20"/>
              </w:rPr>
              <w:t>％</w:t>
            </w:r>
          </w:p>
        </w:tc>
      </w:tr>
      <w:tr w14:paraId="56A414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 w14:paraId="1E2DD7D3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复杂连接</w:t>
            </w:r>
          </w:p>
        </w:tc>
        <w:tc>
          <w:tcPr>
            <w:tcW w:w="8884" w:type="dxa"/>
            <w:vAlign w:val="center"/>
          </w:tcPr>
          <w:p w14:paraId="57FCB25E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各部分层数、刚度、布置不同的错层或连体两端塔楼显著不规则的结构</w:t>
            </w:r>
          </w:p>
        </w:tc>
      </w:tr>
      <w:tr w14:paraId="1A883E4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tcBorders>
              <w:bottom w:val="single" w:color="auto" w:sz="18" w:space="0"/>
            </w:tcBorders>
            <w:vAlign w:val="center"/>
          </w:tcPr>
          <w:p w14:paraId="4CAC8B98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多重复杂</w:t>
            </w:r>
          </w:p>
        </w:tc>
        <w:tc>
          <w:tcPr>
            <w:tcW w:w="8884" w:type="dxa"/>
            <w:tcBorders>
              <w:bottom w:val="single" w:color="auto" w:sz="18" w:space="0"/>
            </w:tcBorders>
            <w:vAlign w:val="center"/>
          </w:tcPr>
          <w:p w14:paraId="570C72B1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同时具有转换层、加强层、错层、连体和多塔类型中的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hint="eastAsia" w:ascii="Times New Roman" w:hAnsi="Times New Roman"/>
                <w:sz w:val="20"/>
              </w:rPr>
              <w:t>种以上</w:t>
            </w:r>
          </w:p>
        </w:tc>
      </w:tr>
    </w:tbl>
    <w:p w14:paraId="55FC6667">
      <w:pPr>
        <w:ind w:firstLine="560"/>
      </w:pPr>
    </w:p>
    <w:tbl>
      <w:tblPr>
        <w:tblStyle w:val="9"/>
        <w:tblW w:w="547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8"/>
        <w:gridCol w:w="1825"/>
      </w:tblGrid>
      <w:tr w14:paraId="7BD38F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tcBorders>
              <w:top w:val="single" w:color="auto" w:sz="18" w:space="0"/>
            </w:tcBorders>
            <w:vAlign w:val="center"/>
          </w:tcPr>
          <w:p w14:paraId="1F855FF8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项目</w:t>
            </w:r>
          </w:p>
        </w:tc>
        <w:tc>
          <w:tcPr>
            <w:tcW w:w="1825" w:type="dxa"/>
            <w:tcBorders>
              <w:top w:val="single" w:color="auto" w:sz="18" w:space="0"/>
            </w:tcBorders>
            <w:vAlign w:val="center"/>
          </w:tcPr>
          <w:p w14:paraId="3077C17C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 w:val="24"/>
              </w:rPr>
              <w:t>训练馆</w:t>
            </w:r>
          </w:p>
        </w:tc>
      </w:tr>
      <w:tr w14:paraId="5CB428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0C541611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扭转偏大</w:t>
            </w:r>
          </w:p>
        </w:tc>
        <w:tc>
          <w:tcPr>
            <w:tcW w:w="1825" w:type="dxa"/>
            <w:vAlign w:val="center"/>
          </w:tcPr>
          <w:p w14:paraId="08C738AD">
            <w:pPr>
              <w:pStyle w:val="17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779AFF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124A5F90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扭转刚度弱</w:t>
            </w:r>
          </w:p>
        </w:tc>
        <w:tc>
          <w:tcPr>
            <w:tcW w:w="1825" w:type="dxa"/>
            <w:vAlign w:val="center"/>
          </w:tcPr>
          <w:p w14:paraId="569ED375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5DF254E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64E53EFE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层刚度偏小</w:t>
            </w:r>
          </w:p>
        </w:tc>
        <w:tc>
          <w:tcPr>
            <w:tcW w:w="1825" w:type="dxa"/>
            <w:vAlign w:val="center"/>
          </w:tcPr>
          <w:p w14:paraId="039C5F78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3FEDDE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6EF409B7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高位转换</w:t>
            </w:r>
          </w:p>
        </w:tc>
        <w:tc>
          <w:tcPr>
            <w:tcW w:w="1825" w:type="dxa"/>
            <w:vAlign w:val="center"/>
          </w:tcPr>
          <w:p w14:paraId="51EA0410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484028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4A8B1C6F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厚板转换</w:t>
            </w:r>
          </w:p>
        </w:tc>
        <w:tc>
          <w:tcPr>
            <w:tcW w:w="1825" w:type="dxa"/>
            <w:vAlign w:val="center"/>
          </w:tcPr>
          <w:p w14:paraId="031AF242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21B2C7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104B410F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塔楼偏置</w:t>
            </w:r>
          </w:p>
        </w:tc>
        <w:tc>
          <w:tcPr>
            <w:tcW w:w="1825" w:type="dxa"/>
            <w:vAlign w:val="center"/>
          </w:tcPr>
          <w:p w14:paraId="77D0EF91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3970242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vAlign w:val="center"/>
          </w:tcPr>
          <w:p w14:paraId="5AFE9B86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复杂连接</w:t>
            </w:r>
          </w:p>
        </w:tc>
        <w:tc>
          <w:tcPr>
            <w:tcW w:w="1825" w:type="dxa"/>
            <w:vAlign w:val="center"/>
          </w:tcPr>
          <w:p w14:paraId="3E48C2E6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  <w:tr w14:paraId="2E097A0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48" w:type="dxa"/>
            <w:tcBorders>
              <w:bottom w:val="single" w:color="auto" w:sz="18" w:space="0"/>
            </w:tcBorders>
            <w:vAlign w:val="center"/>
          </w:tcPr>
          <w:p w14:paraId="50D53CBA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多重复杂</w:t>
            </w:r>
          </w:p>
        </w:tc>
        <w:tc>
          <w:tcPr>
            <w:tcW w:w="1825" w:type="dxa"/>
            <w:tcBorders>
              <w:bottom w:val="single" w:color="auto" w:sz="18" w:space="0"/>
            </w:tcBorders>
            <w:vAlign w:val="center"/>
          </w:tcPr>
          <w:p w14:paraId="55EBA921">
            <w:pPr>
              <w:pStyle w:val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0"/>
              </w:rPr>
              <w:t>无</w:t>
            </w:r>
          </w:p>
        </w:tc>
      </w:tr>
    </w:tbl>
    <w:p w14:paraId="30204825"/>
    <w:p w14:paraId="1E3C5B6A">
      <w:pPr>
        <w:ind w:firstLine="560"/>
      </w:pPr>
      <w:r>
        <w:rPr>
          <w:rFonts w:hint="eastAsia"/>
        </w:rPr>
        <w:t>不规则程度的主要划分方法如下：</w:t>
      </w:r>
    </w:p>
    <w:p w14:paraId="267A3F05">
      <w:pPr>
        <w:ind w:firstLine="560"/>
      </w:pPr>
      <w:r>
        <w:rPr>
          <w:rFonts w:hint="eastAsia"/>
        </w:rPr>
        <w:t>不规则，指的是超过表</w:t>
      </w:r>
      <w:r>
        <w:t>5.5.1</w:t>
      </w:r>
      <w:r>
        <w:rPr>
          <w:rFonts w:hint="eastAsia"/>
        </w:rPr>
        <w:t>中一项及以上的不规则指标；</w:t>
      </w:r>
    </w:p>
    <w:p w14:paraId="64963990">
      <w:pPr>
        <w:ind w:firstLine="560"/>
      </w:pPr>
      <w:r>
        <w:rPr>
          <w:rFonts w:hint="eastAsia"/>
        </w:rPr>
        <w:t>特别不规则，通常有三类：其一，同时具有表</w:t>
      </w:r>
      <w:r>
        <w:t>5.5.1</w:t>
      </w:r>
      <w:r>
        <w:rPr>
          <w:rFonts w:hint="eastAsia"/>
        </w:rPr>
        <w:t>中所列不规则类型的三个或三个以上；其二，具有表</w:t>
      </w:r>
      <w:r>
        <w:t>5.5.2</w:t>
      </w:r>
      <w:r>
        <w:rPr>
          <w:rFonts w:hint="eastAsia"/>
        </w:rPr>
        <w:t>所列的一项不规则；其三，具有表</w:t>
      </w:r>
      <w:r>
        <w:t>5.5.1</w:t>
      </w:r>
      <w:r>
        <w:rPr>
          <w:rFonts w:hint="eastAsia"/>
        </w:rPr>
        <w:t>所列两个方面的基本不规则且其中有一项接近表</w:t>
      </w:r>
      <w:r>
        <w:t>5.5.2</w:t>
      </w:r>
      <w:r>
        <w:rPr>
          <w:rFonts w:hint="eastAsia"/>
        </w:rPr>
        <w:t>的不规则指标。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FC51A1"/>
    <w:multiLevelType w:val="multilevel"/>
    <w:tmpl w:val="38FC51A1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cs="Times New Roman"/>
      </w:rPr>
    </w:lvl>
    <w:lvl w:ilvl="1" w:tentative="0">
      <w:start w:val="1"/>
      <w:numFmt w:val="decimal"/>
      <w:lvlText w:val="%1.%2"/>
      <w:lvlJc w:val="left"/>
      <w:pPr>
        <w:ind w:left="992" w:hanging="992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ind w:left="567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4A3"/>
    <w:rsid w:val="000070C0"/>
    <w:rsid w:val="0001447B"/>
    <w:rsid w:val="00021350"/>
    <w:rsid w:val="0003246F"/>
    <w:rsid w:val="000404A3"/>
    <w:rsid w:val="00053588"/>
    <w:rsid w:val="000913B8"/>
    <w:rsid w:val="00096082"/>
    <w:rsid w:val="000B7CC6"/>
    <w:rsid w:val="000C61CF"/>
    <w:rsid w:val="000F52AD"/>
    <w:rsid w:val="0010191F"/>
    <w:rsid w:val="00104F1A"/>
    <w:rsid w:val="00105376"/>
    <w:rsid w:val="00107695"/>
    <w:rsid w:val="00110BD2"/>
    <w:rsid w:val="00112868"/>
    <w:rsid w:val="001138A9"/>
    <w:rsid w:val="00125561"/>
    <w:rsid w:val="00127035"/>
    <w:rsid w:val="00151B86"/>
    <w:rsid w:val="00164A25"/>
    <w:rsid w:val="00165025"/>
    <w:rsid w:val="00170E23"/>
    <w:rsid w:val="00177211"/>
    <w:rsid w:val="00191926"/>
    <w:rsid w:val="00191F68"/>
    <w:rsid w:val="001B143E"/>
    <w:rsid w:val="001F5702"/>
    <w:rsid w:val="002267D6"/>
    <w:rsid w:val="00234F75"/>
    <w:rsid w:val="00296E00"/>
    <w:rsid w:val="002C6AF6"/>
    <w:rsid w:val="002D3F11"/>
    <w:rsid w:val="002E30CD"/>
    <w:rsid w:val="002F1B4A"/>
    <w:rsid w:val="00302093"/>
    <w:rsid w:val="00306033"/>
    <w:rsid w:val="0032671A"/>
    <w:rsid w:val="00334228"/>
    <w:rsid w:val="00346B82"/>
    <w:rsid w:val="0035559D"/>
    <w:rsid w:val="003817C3"/>
    <w:rsid w:val="00383BC5"/>
    <w:rsid w:val="003868B2"/>
    <w:rsid w:val="003A1103"/>
    <w:rsid w:val="003C07A0"/>
    <w:rsid w:val="003C36FA"/>
    <w:rsid w:val="003D0C69"/>
    <w:rsid w:val="003D4DF2"/>
    <w:rsid w:val="003E4607"/>
    <w:rsid w:val="003F5ABC"/>
    <w:rsid w:val="00407C5D"/>
    <w:rsid w:val="00410C77"/>
    <w:rsid w:val="00434235"/>
    <w:rsid w:val="00437529"/>
    <w:rsid w:val="004450BE"/>
    <w:rsid w:val="00446C9F"/>
    <w:rsid w:val="00450530"/>
    <w:rsid w:val="0045064A"/>
    <w:rsid w:val="004673C5"/>
    <w:rsid w:val="00491245"/>
    <w:rsid w:val="004B2B1F"/>
    <w:rsid w:val="004C3977"/>
    <w:rsid w:val="004C77DC"/>
    <w:rsid w:val="004D570E"/>
    <w:rsid w:val="004D76FB"/>
    <w:rsid w:val="00510977"/>
    <w:rsid w:val="005356E0"/>
    <w:rsid w:val="00536D32"/>
    <w:rsid w:val="00547D96"/>
    <w:rsid w:val="00552A8C"/>
    <w:rsid w:val="00576114"/>
    <w:rsid w:val="00580012"/>
    <w:rsid w:val="005A0AB6"/>
    <w:rsid w:val="005C2EB8"/>
    <w:rsid w:val="00602A46"/>
    <w:rsid w:val="00632D1F"/>
    <w:rsid w:val="0063520B"/>
    <w:rsid w:val="0066528F"/>
    <w:rsid w:val="00682CB0"/>
    <w:rsid w:val="00684438"/>
    <w:rsid w:val="006A2D6A"/>
    <w:rsid w:val="006F72E8"/>
    <w:rsid w:val="007156FE"/>
    <w:rsid w:val="00726273"/>
    <w:rsid w:val="00741B6C"/>
    <w:rsid w:val="00745985"/>
    <w:rsid w:val="007602D3"/>
    <w:rsid w:val="0077287E"/>
    <w:rsid w:val="00780033"/>
    <w:rsid w:val="007802E1"/>
    <w:rsid w:val="00785055"/>
    <w:rsid w:val="0078527E"/>
    <w:rsid w:val="007856B4"/>
    <w:rsid w:val="00786880"/>
    <w:rsid w:val="00793318"/>
    <w:rsid w:val="007959B3"/>
    <w:rsid w:val="00795AAD"/>
    <w:rsid w:val="007968C4"/>
    <w:rsid w:val="007A6103"/>
    <w:rsid w:val="007D119E"/>
    <w:rsid w:val="007D6204"/>
    <w:rsid w:val="007F1353"/>
    <w:rsid w:val="007F2E42"/>
    <w:rsid w:val="007F4748"/>
    <w:rsid w:val="007F4E35"/>
    <w:rsid w:val="00807798"/>
    <w:rsid w:val="00807ABC"/>
    <w:rsid w:val="008124CE"/>
    <w:rsid w:val="00817073"/>
    <w:rsid w:val="00826795"/>
    <w:rsid w:val="008267B6"/>
    <w:rsid w:val="00827D1E"/>
    <w:rsid w:val="00860F34"/>
    <w:rsid w:val="008C3E40"/>
    <w:rsid w:val="008C4ADC"/>
    <w:rsid w:val="008D04CB"/>
    <w:rsid w:val="008D6EDA"/>
    <w:rsid w:val="008D71CD"/>
    <w:rsid w:val="008F24B3"/>
    <w:rsid w:val="009019FD"/>
    <w:rsid w:val="00905C00"/>
    <w:rsid w:val="009113DD"/>
    <w:rsid w:val="00917DAC"/>
    <w:rsid w:val="009227D3"/>
    <w:rsid w:val="00922F3F"/>
    <w:rsid w:val="00927B7B"/>
    <w:rsid w:val="00931EA5"/>
    <w:rsid w:val="00953159"/>
    <w:rsid w:val="00972100"/>
    <w:rsid w:val="00974F1C"/>
    <w:rsid w:val="00996457"/>
    <w:rsid w:val="009A2687"/>
    <w:rsid w:val="009E1A6D"/>
    <w:rsid w:val="009F7E06"/>
    <w:rsid w:val="00A11384"/>
    <w:rsid w:val="00A43C9C"/>
    <w:rsid w:val="00A50190"/>
    <w:rsid w:val="00A506DD"/>
    <w:rsid w:val="00A51F5F"/>
    <w:rsid w:val="00A52D4B"/>
    <w:rsid w:val="00A638C8"/>
    <w:rsid w:val="00A84069"/>
    <w:rsid w:val="00A958DF"/>
    <w:rsid w:val="00A95E63"/>
    <w:rsid w:val="00A97F1A"/>
    <w:rsid w:val="00AA643F"/>
    <w:rsid w:val="00AA74C4"/>
    <w:rsid w:val="00AB3478"/>
    <w:rsid w:val="00AC44CB"/>
    <w:rsid w:val="00AF770B"/>
    <w:rsid w:val="00B2148F"/>
    <w:rsid w:val="00B4353D"/>
    <w:rsid w:val="00B475DA"/>
    <w:rsid w:val="00B60C96"/>
    <w:rsid w:val="00B64FEC"/>
    <w:rsid w:val="00B97552"/>
    <w:rsid w:val="00BA17EB"/>
    <w:rsid w:val="00BD47AA"/>
    <w:rsid w:val="00BF5D2B"/>
    <w:rsid w:val="00C22CEB"/>
    <w:rsid w:val="00C22FD2"/>
    <w:rsid w:val="00C47A4A"/>
    <w:rsid w:val="00C82BCB"/>
    <w:rsid w:val="00C8540E"/>
    <w:rsid w:val="00C94184"/>
    <w:rsid w:val="00C97A8E"/>
    <w:rsid w:val="00C97FE3"/>
    <w:rsid w:val="00CA07F0"/>
    <w:rsid w:val="00CA2CF1"/>
    <w:rsid w:val="00CA4AB2"/>
    <w:rsid w:val="00CC0C8B"/>
    <w:rsid w:val="00CC63D3"/>
    <w:rsid w:val="00CF0493"/>
    <w:rsid w:val="00CF2CFC"/>
    <w:rsid w:val="00CF4321"/>
    <w:rsid w:val="00CF78FE"/>
    <w:rsid w:val="00D042EA"/>
    <w:rsid w:val="00D20B59"/>
    <w:rsid w:val="00D239AB"/>
    <w:rsid w:val="00D23DEA"/>
    <w:rsid w:val="00D374EB"/>
    <w:rsid w:val="00D7667A"/>
    <w:rsid w:val="00D77140"/>
    <w:rsid w:val="00D830EC"/>
    <w:rsid w:val="00DB3385"/>
    <w:rsid w:val="00DC4C48"/>
    <w:rsid w:val="00DE0AC5"/>
    <w:rsid w:val="00DE5E1A"/>
    <w:rsid w:val="00E0076D"/>
    <w:rsid w:val="00E06278"/>
    <w:rsid w:val="00E10964"/>
    <w:rsid w:val="00E12976"/>
    <w:rsid w:val="00E134E3"/>
    <w:rsid w:val="00E2216C"/>
    <w:rsid w:val="00E50694"/>
    <w:rsid w:val="00E655BA"/>
    <w:rsid w:val="00EA7408"/>
    <w:rsid w:val="00EB17D7"/>
    <w:rsid w:val="00EB2D9F"/>
    <w:rsid w:val="00EC166B"/>
    <w:rsid w:val="00F0691C"/>
    <w:rsid w:val="00F207B6"/>
    <w:rsid w:val="00F540B7"/>
    <w:rsid w:val="00F81430"/>
    <w:rsid w:val="00F931E9"/>
    <w:rsid w:val="00F96378"/>
    <w:rsid w:val="00FB0018"/>
    <w:rsid w:val="00FB6628"/>
    <w:rsid w:val="00FD4C91"/>
    <w:rsid w:val="00FE045B"/>
    <w:rsid w:val="00FE6C1F"/>
    <w:rsid w:val="00FF2EE7"/>
    <w:rsid w:val="00FF56B2"/>
    <w:rsid w:val="1464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9"/>
    <w:pPr>
      <w:keepNext/>
      <w:keepLines/>
      <w:pageBreakBefore/>
      <w:widowControl/>
      <w:numPr>
        <w:ilvl w:val="0"/>
        <w:numId w:val="1"/>
      </w:numPr>
      <w:spacing w:before="120" w:after="60"/>
      <w:jc w:val="left"/>
      <w:outlineLvl w:val="0"/>
    </w:pPr>
    <w:rPr>
      <w:rFonts w:ascii="Arial" w:hAnsi="Arial" w:eastAsia="黑体"/>
      <w:b/>
      <w:caps/>
      <w:color w:val="FF0000"/>
      <w:kern w:val="28"/>
      <w:sz w:val="40"/>
      <w:szCs w:val="20"/>
    </w:rPr>
  </w:style>
  <w:style w:type="paragraph" w:styleId="3">
    <w:name w:val="heading 2"/>
    <w:basedOn w:val="1"/>
    <w:next w:val="1"/>
    <w:link w:val="12"/>
    <w:qFormat/>
    <w:uiPriority w:val="99"/>
    <w:pPr>
      <w:keepNext/>
      <w:spacing w:line="720" w:lineRule="auto"/>
      <w:outlineLvl w:val="1"/>
    </w:pPr>
    <w:rPr>
      <w:rFonts w:ascii="Cambria" w:hAnsi="Cambria" w:eastAsia="新宋体"/>
      <w:b/>
      <w:bCs/>
      <w:sz w:val="32"/>
      <w:szCs w:val="48"/>
    </w:rPr>
  </w:style>
  <w:style w:type="paragraph" w:styleId="4">
    <w:name w:val="heading 3"/>
    <w:basedOn w:val="1"/>
    <w:next w:val="1"/>
    <w:link w:val="13"/>
    <w:qFormat/>
    <w:locked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locked/>
    <w:uiPriority w:val="99"/>
    <w:pPr>
      <w:jc w:val="center"/>
    </w:pPr>
    <w:rPr>
      <w:rFonts w:ascii="Arial" w:hAnsi="Arial" w:eastAsia="黑体" w:cs="Arial"/>
      <w:kern w:val="0"/>
      <w:sz w:val="20"/>
      <w:szCs w:val="20"/>
    </w:rPr>
  </w:style>
  <w:style w:type="paragraph" w:styleId="6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1 Char"/>
    <w:basedOn w:val="10"/>
    <w:link w:val="2"/>
    <w:locked/>
    <w:uiPriority w:val="99"/>
    <w:rPr>
      <w:rFonts w:ascii="Arial" w:hAnsi="Arial" w:eastAsia="黑体" w:cs="Times New Roman"/>
      <w:b/>
      <w:caps/>
      <w:color w:val="FF0000"/>
      <w:kern w:val="28"/>
      <w:sz w:val="20"/>
      <w:szCs w:val="20"/>
    </w:rPr>
  </w:style>
  <w:style w:type="character" w:customStyle="1" w:styleId="12">
    <w:name w:val="标题 2 Char"/>
    <w:basedOn w:val="10"/>
    <w:link w:val="3"/>
    <w:locked/>
    <w:uiPriority w:val="99"/>
    <w:rPr>
      <w:rFonts w:ascii="Cambria" w:hAnsi="Cambria" w:eastAsia="新宋体" w:cs="Times New Roman"/>
      <w:b/>
      <w:bCs/>
      <w:sz w:val="48"/>
      <w:szCs w:val="48"/>
    </w:rPr>
  </w:style>
  <w:style w:type="character" w:customStyle="1" w:styleId="13">
    <w:name w:val="标题 3 Char"/>
    <w:basedOn w:val="10"/>
    <w:link w:val="4"/>
    <w:semiHidden/>
    <w:locked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14">
    <w:name w:val="页眉 Char"/>
    <w:basedOn w:val="10"/>
    <w:link w:val="8"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basedOn w:val="10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框文本 Char"/>
    <w:basedOn w:val="10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表格"/>
    <w:basedOn w:val="1"/>
    <w:link w:val="18"/>
    <w:qFormat/>
    <w:uiPriority w:val="99"/>
    <w:pPr>
      <w:jc w:val="center"/>
    </w:pPr>
    <w:rPr>
      <w:rFonts w:ascii="Calibri" w:hAnsi="Calibri"/>
      <w:szCs w:val="20"/>
    </w:rPr>
  </w:style>
  <w:style w:type="character" w:customStyle="1" w:styleId="18">
    <w:name w:val="表格 Char"/>
    <w:link w:val="17"/>
    <w:qFormat/>
    <w:locked/>
    <w:uiPriority w:val="99"/>
    <w:rPr>
      <w:rFonts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1013</Words>
  <Characters>1200</Characters>
  <Lines>9</Lines>
  <Paragraphs>2</Paragraphs>
  <TotalTime>0</TotalTime>
  <ScaleCrop>false</ScaleCrop>
  <LinksUpToDate>false</LinksUpToDate>
  <CharactersWithSpaces>1200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2018-04-03T09:08:00Z</dcterms:created>
  <dc:creator>liangji</dc:creator>
  <cp:lastModifiedBy>xh</cp:lastModifiedBy>
  <dcterms:modified xsi:type="dcterms:W3CDTF">2025-12-28T14:37:27Z</dcterms:modified>
  <dc:title>建筑形体规则性判定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eyJoZGlkIjoiZTExOWUwMzNlYzcyNjk0ZjM5ODc3NGNmZDI4Y2VlOTUiLCJ1c2VySWQiOiIxMzk0MzI1NjU4In0=</vt:lpwstr>
  </property>
  <property fmtid="{D5CDD505-2E9C-101B-9397-08002B2CF9AE}" pid="3" name="KSOProductBuildVer">
    <vt:lpwstr>2052-12.1.0.24034</vt:lpwstr>
  </property>
  <property fmtid="{D5CDD505-2E9C-101B-9397-08002B2CF9AE}" pid="4" name="ICV">
    <vt:lpwstr>BD395F2CE5C94D2F9C5D4FC428D6EE00_12</vt:lpwstr>
  </property>
</Properties>
</file>