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2023年11月22日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20231010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T17335013165</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rPr>
          <w:rFonts w:ascii="宋体" w:hAnsi="宋体"/>
          <w:szCs w:val="20"/>
        </w:rPr>
      </w:pPr>
    </w:p>
    <w:p>
      <w:pPr>
        <w:pStyle w:val="18"/>
        <w:tabs>
          <w:tab w:val="right" w:leader="dot" w:pos="9070"/>
          <w:tab w:val="clear" w:pos="180"/>
          <w:tab w:val="clear" w:pos="9360"/>
        </w:tabs>
      </w:pPr>
      <w:bookmarkStart w:id="10" w:name="目录"/>
      <w:bookmarkStart w:id="71"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_Toc15204 </w:instrText>
      </w:r>
      <w:r>
        <w:rPr>
          <w:rFonts w:ascii="宋体" w:hAnsi="宋体"/>
          <w:caps/>
        </w:rPr>
        <w:fldChar w:fldCharType="separate"/>
      </w:r>
      <w:r>
        <w:t xml:space="preserve">1 </w:t>
      </w:r>
      <w:r>
        <w:rPr>
          <w:rFonts w:hint="eastAsia"/>
        </w:rPr>
        <w:t>建筑概况</w:t>
      </w:r>
      <w:r>
        <w:tab/>
      </w:r>
      <w:r>
        <w:fldChar w:fldCharType="begin"/>
      </w:r>
      <w:r>
        <w:instrText xml:space="preserve"> PAGEREF _Toc15204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_Toc13338 </w:instrText>
      </w:r>
      <w:r>
        <w:fldChar w:fldCharType="separate"/>
      </w:r>
      <w:r>
        <w:t xml:space="preserve">2 </w:t>
      </w:r>
      <w:r>
        <w:rPr>
          <w:rFonts w:hint="eastAsia"/>
        </w:rPr>
        <w:t>评价依据</w:t>
      </w:r>
      <w:r>
        <w:tab/>
      </w:r>
      <w:r>
        <w:fldChar w:fldCharType="begin"/>
      </w:r>
      <w:r>
        <w:instrText xml:space="preserve"> PAGEREF _Toc13338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_Toc23817 </w:instrText>
      </w:r>
      <w:r>
        <w:fldChar w:fldCharType="separate"/>
      </w:r>
      <w:r>
        <w:t xml:space="preserve">3 </w:t>
      </w:r>
      <w:r>
        <w:rPr>
          <w:rFonts w:hint="eastAsia"/>
        </w:rPr>
        <w:t>标准</w:t>
      </w:r>
      <w:r>
        <w:t>要求</w:t>
      </w:r>
      <w:r>
        <w:tab/>
      </w:r>
      <w:r>
        <w:fldChar w:fldCharType="begin"/>
      </w:r>
      <w:r>
        <w:instrText xml:space="preserve"> PAGEREF _Toc23817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_Toc24248 </w:instrText>
      </w:r>
      <w:r>
        <w:fldChar w:fldCharType="separate"/>
      </w:r>
      <w:r>
        <w:t xml:space="preserve">4 </w:t>
      </w:r>
      <w:r>
        <w:rPr>
          <w:rFonts w:hint="eastAsia"/>
        </w:rPr>
        <w:t>隔声理论概述</w:t>
      </w:r>
      <w:r>
        <w:tab/>
      </w:r>
      <w:r>
        <w:fldChar w:fldCharType="begin"/>
      </w:r>
      <w:r>
        <w:instrText xml:space="preserve"> PAGEREF _Toc24248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_Toc809 </w:instrText>
      </w:r>
      <w:r>
        <w:fldChar w:fldCharType="separate"/>
      </w:r>
      <w:r>
        <w:t xml:space="preserve">4.1 </w:t>
      </w:r>
      <w:r>
        <w:rPr>
          <w:rFonts w:hint="eastAsia"/>
        </w:rPr>
        <w:t>原理概要</w:t>
      </w:r>
      <w:r>
        <w:tab/>
      </w:r>
      <w:r>
        <w:fldChar w:fldCharType="begin"/>
      </w:r>
      <w:r>
        <w:instrText xml:space="preserve"> PAGEREF _Toc809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_Toc31881 </w:instrText>
      </w:r>
      <w:r>
        <w:fldChar w:fldCharType="separate"/>
      </w:r>
      <w:r>
        <w:t xml:space="preserve">4.2 </w:t>
      </w:r>
      <w:r>
        <w:rPr>
          <w:rFonts w:hint="eastAsia"/>
        </w:rPr>
        <w:t>质量定律</w:t>
      </w:r>
      <w:r>
        <w:tab/>
      </w:r>
      <w:r>
        <w:fldChar w:fldCharType="begin"/>
      </w:r>
      <w:r>
        <w:instrText xml:space="preserve"> PAGEREF _Toc31881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_Toc29376 </w:instrText>
      </w:r>
      <w:r>
        <w:fldChar w:fldCharType="separate"/>
      </w:r>
      <w:r>
        <w:t>4.3 隔声</w:t>
      </w:r>
      <w:r>
        <w:rPr>
          <w:rFonts w:hint="eastAsia"/>
        </w:rPr>
        <w:t>量计算经验</w:t>
      </w:r>
      <w:r>
        <w:t>公式</w:t>
      </w:r>
      <w:r>
        <w:tab/>
      </w:r>
      <w:r>
        <w:fldChar w:fldCharType="begin"/>
      </w:r>
      <w:r>
        <w:instrText xml:space="preserve"> PAGEREF _Toc29376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_Toc26052 </w:instrText>
      </w:r>
      <w:r>
        <w:fldChar w:fldCharType="separate"/>
      </w:r>
      <w:r>
        <w:t xml:space="preserve">4.4 </w:t>
      </w:r>
      <w:r>
        <w:rPr>
          <w:rFonts w:hint="eastAsia"/>
        </w:rPr>
        <w:t>单值评价量</w:t>
      </w:r>
      <w:r>
        <w:tab/>
      </w:r>
      <w:r>
        <w:fldChar w:fldCharType="begin"/>
      </w:r>
      <w:r>
        <w:instrText xml:space="preserve"> PAGEREF _Toc26052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_Toc21933 </w:instrText>
      </w:r>
      <w:r>
        <w:fldChar w:fldCharType="separate"/>
      </w:r>
      <w:r>
        <w:t xml:space="preserve">4.5 </w:t>
      </w:r>
      <w:r>
        <w:rPr>
          <w:rFonts w:hint="eastAsia"/>
        </w:rPr>
        <w:t>频谱修正量</w:t>
      </w:r>
      <w:r>
        <w:tab/>
      </w:r>
      <w:r>
        <w:fldChar w:fldCharType="begin"/>
      </w:r>
      <w:r>
        <w:instrText xml:space="preserve"> PAGEREF _Toc21933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_Toc3401 </w:instrText>
      </w:r>
      <w:r>
        <w:fldChar w:fldCharType="separate"/>
      </w:r>
      <w:r>
        <w:t xml:space="preserve">5 </w:t>
      </w:r>
      <w:r>
        <w:rPr>
          <w:rFonts w:hint="eastAsia"/>
        </w:rPr>
        <w:t>构件空气声隔声性能</w:t>
      </w:r>
      <w:r>
        <w:tab/>
      </w:r>
      <w:r>
        <w:fldChar w:fldCharType="begin"/>
      </w:r>
      <w:r>
        <w:instrText xml:space="preserve"> PAGEREF _Toc3401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_Toc27103 </w:instrText>
      </w:r>
      <w:r>
        <w:fldChar w:fldCharType="separate"/>
      </w:r>
      <w:r>
        <w:t xml:space="preserve">5.1 </w:t>
      </w:r>
      <w:r>
        <w:rPr>
          <w:rFonts w:hint="eastAsia"/>
        </w:rPr>
        <w:t>墙板的空气声隔声量</w:t>
      </w:r>
      <w:r>
        <w:tab/>
      </w:r>
      <w:r>
        <w:fldChar w:fldCharType="begin"/>
      </w:r>
      <w:r>
        <w:instrText xml:space="preserve"> PAGEREF _Toc27103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_Toc15760 </w:instrText>
      </w:r>
      <w:r>
        <w:fldChar w:fldCharType="separate"/>
      </w:r>
      <w:r>
        <w:t xml:space="preserve">5.1.1 </w:t>
      </w:r>
      <w:r>
        <w:rPr>
          <w:rFonts w:hint="eastAsia"/>
        </w:rPr>
        <w:t>墙板构造做法</w:t>
      </w:r>
      <w:r>
        <w:tab/>
      </w:r>
      <w:r>
        <w:fldChar w:fldCharType="begin"/>
      </w:r>
      <w:r>
        <w:instrText xml:space="preserve"> PAGEREF _Toc15760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_Toc27407 </w:instrText>
      </w:r>
      <w:r>
        <w:fldChar w:fldCharType="separate"/>
      </w:r>
      <w:r>
        <w:t xml:space="preserve">5.1.2 </w:t>
      </w:r>
      <w:r>
        <w:rPr>
          <w:rFonts w:hint="eastAsia"/>
        </w:rPr>
        <w:t>墙板空气声隔声性能</w:t>
      </w:r>
      <w:r>
        <w:tab/>
      </w:r>
      <w:r>
        <w:fldChar w:fldCharType="begin"/>
      </w:r>
      <w:r>
        <w:instrText xml:space="preserve"> PAGEREF _Toc27407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_Toc31242 </w:instrText>
      </w:r>
      <w:r>
        <w:fldChar w:fldCharType="separate"/>
      </w:r>
      <w:r>
        <w:t xml:space="preserve">5.2 </w:t>
      </w:r>
      <w:r>
        <w:rPr>
          <w:rFonts w:hint="eastAsia"/>
        </w:rPr>
        <w:t>门窗的空气声隔声量</w:t>
      </w:r>
      <w:r>
        <w:tab/>
      </w:r>
      <w:r>
        <w:fldChar w:fldCharType="begin"/>
      </w:r>
      <w:r>
        <w:instrText xml:space="preserve"> PAGEREF _Toc31242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_Toc4898 </w:instrText>
      </w:r>
      <w:r>
        <w:fldChar w:fldCharType="separate"/>
      </w:r>
      <w:r>
        <w:t xml:space="preserve">6 </w:t>
      </w:r>
      <w:r>
        <w:rPr>
          <w:rFonts w:hint="eastAsia"/>
        </w:rPr>
        <w:t>楼板撞击声隔声性能</w:t>
      </w:r>
      <w:r>
        <w:tab/>
      </w:r>
      <w:r>
        <w:fldChar w:fldCharType="begin"/>
      </w:r>
      <w:r>
        <w:instrText xml:space="preserve"> PAGEREF _Toc4898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_Toc4212 </w:instrText>
      </w:r>
      <w:r>
        <w:fldChar w:fldCharType="separate"/>
      </w:r>
      <w:r>
        <w:rPr>
          <w:kern w:val="2"/>
        </w:rPr>
        <w:t xml:space="preserve">7 </w:t>
      </w:r>
      <w:r>
        <w:rPr>
          <w:rFonts w:hint="eastAsia"/>
          <w:kern w:val="2"/>
        </w:rPr>
        <w:t>星级技术要求</w:t>
      </w:r>
      <w:r>
        <w:tab/>
      </w:r>
      <w:r>
        <w:fldChar w:fldCharType="begin"/>
      </w:r>
      <w:r>
        <w:instrText xml:space="preserve"> PAGEREF _Toc4212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_Toc11934 </w:instrText>
      </w:r>
      <w:r>
        <w:fldChar w:fldCharType="separate"/>
      </w:r>
      <w:r>
        <w:t xml:space="preserve">7.1 </w:t>
      </w:r>
      <w:r>
        <w:rPr>
          <w:rFonts w:hint="eastAsia"/>
        </w:rPr>
        <w:t>外墙-室外与卧室之间</w:t>
      </w:r>
      <w:r>
        <w:tab/>
      </w:r>
      <w:r>
        <w:fldChar w:fldCharType="begin"/>
      </w:r>
      <w:r>
        <w:instrText xml:space="preserve"> PAGEREF _Toc11934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_Toc501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_Toc501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_Toc28127 </w:instrText>
      </w:r>
      <w:r>
        <w:fldChar w:fldCharType="separate"/>
      </w:r>
      <w:r>
        <w:t xml:space="preserve">8 </w:t>
      </w:r>
      <w:r>
        <w:rPr>
          <w:rFonts w:hint="eastAsia"/>
        </w:rPr>
        <w:t>结论</w:t>
      </w:r>
      <w:r>
        <w:tab/>
      </w:r>
      <w:r>
        <w:fldChar w:fldCharType="begin"/>
      </w:r>
      <w:r>
        <w:instrText xml:space="preserve"> PAGEREF _Toc28127 \h </w:instrText>
      </w:r>
      <w:r>
        <w:fldChar w:fldCharType="separate"/>
      </w:r>
      <w:r>
        <w:t>12</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1"/>
      <w:bookmarkEnd w:id="10"/>
    </w:p>
    <w:p>
      <w:pPr>
        <w:pStyle w:val="2"/>
      </w:pPr>
      <w:bookmarkStart w:id="11" w:name="_Toc15204"/>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9591</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6</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25.1</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104</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pPr>
      <w:bookmarkStart w:id="21" w:name="_Toc1333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pPr>
      <w:bookmarkStart w:id="23" w:name="_Toc23817"/>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2977"/>
        <w:gridCol w:w="2247"/>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696" w:type="dxa"/>
            <w:shd w:val="clear" w:color="auto" w:fill="D8D8D8" w:themeFill="background1" w:themeFillShade="D9"/>
            <w:vAlign w:val="center"/>
          </w:tcPr>
          <w:p>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pPr>
              <w:spacing w:line="360" w:lineRule="exact"/>
              <w:jc w:val="center"/>
              <w:rPr>
                <w:sz w:val="21"/>
                <w:szCs w:val="21"/>
              </w:rPr>
            </w:pPr>
            <w:r>
              <w:rPr>
                <w:rFonts w:hint="eastAsia"/>
                <w:sz w:val="21"/>
                <w:szCs w:val="21"/>
              </w:rPr>
              <w:t>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696" w:type="dxa"/>
            <w:vMerge w:val="restart"/>
            <w:shd w:val="clear" w:color="auto" w:fill="D8D8D8" w:themeFill="background1" w:themeFillShade="D9"/>
            <w:vAlign w:val="center"/>
          </w:tcPr>
          <w:p>
            <w:pPr>
              <w:spacing w:line="360" w:lineRule="exact"/>
              <w:jc w:val="center"/>
              <w:rPr>
                <w:sz w:val="21"/>
                <w:szCs w:val="21"/>
              </w:rPr>
            </w:pPr>
            <w:r>
              <w:rPr>
                <w:rFonts w:hint="eastAsia"/>
                <w:sz w:val="21"/>
                <w:szCs w:val="21"/>
              </w:rPr>
              <w:t>空气声</w:t>
            </w:r>
          </w:p>
        </w:tc>
        <w:tc>
          <w:tcPr>
            <w:tcW w:w="2977" w:type="dxa"/>
            <w:vAlign w:val="center"/>
          </w:tcPr>
          <w:p>
            <w:pPr>
              <w:spacing w:line="360" w:lineRule="exact"/>
              <w:jc w:val="center"/>
              <w:rPr>
                <w:sz w:val="21"/>
                <w:szCs w:val="21"/>
              </w:rPr>
            </w:pPr>
            <w:r>
              <w:rPr>
                <w:rFonts w:hint="eastAsia"/>
                <w:sz w:val="21"/>
                <w:szCs w:val="21"/>
              </w:rPr>
              <w:t>室外与卧室之间</w:t>
            </w:r>
          </w:p>
        </w:tc>
        <w:tc>
          <w:tcPr>
            <w:tcW w:w="2247" w:type="dxa"/>
            <w:vAlign w:val="center"/>
          </w:tcPr>
          <w:p>
            <w:pPr>
              <w:spacing w:line="360" w:lineRule="exact"/>
              <w:jc w:val="center"/>
              <w:rPr>
                <w:sz w:val="21"/>
                <w:szCs w:val="21"/>
              </w:rPr>
            </w:pPr>
            <w:r>
              <w:rPr>
                <w:sz w:val="21"/>
                <w:szCs w:val="21"/>
              </w:rPr>
              <w:object>
                <v:shape id="_x0000_i1025" o:spt="75" type="#_x0000_t75" style="height:18.75pt;width:3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pPr>
              <w:spacing w:line="360" w:lineRule="exact"/>
              <w:jc w:val="center"/>
              <w:rPr>
                <w:sz w:val="21"/>
                <w:szCs w:val="21"/>
              </w:rPr>
            </w:pPr>
            <w:r>
              <w:rPr>
                <w:sz w:val="21"/>
                <w:szCs w:val="21"/>
              </w:rPr>
              <w:object>
                <v:shape id="_x0000_i1026" o:spt="75" type="#_x0000_t75" style="height:18.75pt;width:30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6" w:type="dxa"/>
            <w:vMerge w:val="continue"/>
            <w:shd w:val="clear" w:color="auto" w:fill="D8D8D8" w:themeFill="background1" w:themeFillShade="D9"/>
            <w:vAlign w:val="center"/>
          </w:tcPr>
          <w:p>
            <w:pPr>
              <w:spacing w:line="360" w:lineRule="exact"/>
              <w:jc w:val="center"/>
              <w:rPr>
                <w:sz w:val="21"/>
                <w:szCs w:val="21"/>
              </w:rPr>
            </w:pPr>
          </w:p>
        </w:tc>
        <w:tc>
          <w:tcPr>
            <w:tcW w:w="2977" w:type="dxa"/>
            <w:vAlign w:val="center"/>
          </w:tcPr>
          <w:p>
            <w:pPr>
              <w:spacing w:line="360" w:lineRule="exact"/>
              <w:jc w:val="center"/>
              <w:rPr>
                <w:sz w:val="21"/>
                <w:szCs w:val="21"/>
              </w:rPr>
            </w:pPr>
            <w:r>
              <w:rPr>
                <w:rFonts w:hint="eastAsia"/>
                <w:sz w:val="21"/>
                <w:szCs w:val="21"/>
              </w:rPr>
              <w:t>分户墙（楼板）两侧卧室之间</w:t>
            </w:r>
          </w:p>
        </w:tc>
        <w:tc>
          <w:tcPr>
            <w:tcW w:w="2247" w:type="dxa"/>
            <w:vAlign w:val="center"/>
          </w:tcPr>
          <w:p>
            <w:pPr>
              <w:spacing w:line="360" w:lineRule="exact"/>
              <w:jc w:val="center"/>
              <w:rPr>
                <w:sz w:val="21"/>
                <w:szCs w:val="21"/>
              </w:rPr>
            </w:pPr>
            <w:r>
              <w:rPr>
                <w:sz w:val="21"/>
                <w:szCs w:val="21"/>
              </w:rPr>
              <w:object>
                <v:shape id="_x0000_i1027" o:spt="75" type="#_x0000_t75" style="height:18.75pt;width:30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pPr>
              <w:spacing w:line="360" w:lineRule="exact"/>
              <w:jc w:val="center"/>
              <w:rPr>
                <w:sz w:val="21"/>
                <w:szCs w:val="21"/>
              </w:rPr>
            </w:pPr>
            <w:r>
              <w:rPr>
                <w:sz w:val="21"/>
                <w:szCs w:val="21"/>
              </w:rPr>
              <w:object>
                <v:shape id="_x0000_i1028" o:spt="75" type="#_x0000_t75" style="height:18.75pt;width:30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6" w:type="dxa"/>
            <w:shd w:val="clear" w:color="auto" w:fill="D8D8D8" w:themeFill="background1" w:themeFillShade="D9"/>
            <w:vAlign w:val="center"/>
          </w:tcPr>
          <w:p>
            <w:pPr>
              <w:spacing w:line="360" w:lineRule="exact"/>
              <w:jc w:val="center"/>
              <w:rPr>
                <w:sz w:val="21"/>
                <w:szCs w:val="21"/>
              </w:rPr>
            </w:pPr>
            <w:r>
              <w:rPr>
                <w:rFonts w:hint="eastAsia"/>
                <w:sz w:val="21"/>
                <w:szCs w:val="21"/>
              </w:rPr>
              <w:t>撞击声</w:t>
            </w:r>
          </w:p>
        </w:tc>
        <w:tc>
          <w:tcPr>
            <w:tcW w:w="2977" w:type="dxa"/>
            <w:vAlign w:val="center"/>
          </w:tcPr>
          <w:p>
            <w:pPr>
              <w:spacing w:line="360" w:lineRule="exact"/>
              <w:jc w:val="center"/>
              <w:rPr>
                <w:sz w:val="21"/>
                <w:szCs w:val="21"/>
              </w:rPr>
            </w:pPr>
            <w:r>
              <w:rPr>
                <w:rFonts w:hint="eastAsia"/>
                <w:sz w:val="21"/>
                <w:szCs w:val="21"/>
              </w:rPr>
              <w:t>卧室楼板</w:t>
            </w:r>
          </w:p>
        </w:tc>
        <w:tc>
          <w:tcPr>
            <w:tcW w:w="2247" w:type="dxa"/>
            <w:vAlign w:val="center"/>
          </w:tcPr>
          <w:p>
            <w:pPr>
              <w:spacing w:line="360" w:lineRule="exact"/>
              <w:jc w:val="center"/>
              <w:rPr>
                <w:sz w:val="21"/>
                <w:szCs w:val="21"/>
              </w:rPr>
            </w:pPr>
            <w:r>
              <w:rPr>
                <w:sz w:val="21"/>
                <w:szCs w:val="21"/>
              </w:rPr>
              <w:object>
                <v:shape id="_x0000_i1029" o:spt="75" type="#_x0000_t75" style="height:16.5pt;width:30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sz w:val="21"/>
                <w:szCs w:val="21"/>
              </w:rPr>
              <w:t xml:space="preserve"> ≤ 70 </w:t>
            </w:r>
          </w:p>
        </w:tc>
        <w:tc>
          <w:tcPr>
            <w:tcW w:w="2097" w:type="dxa"/>
            <w:vAlign w:val="center"/>
          </w:tcPr>
          <w:p>
            <w:pPr>
              <w:spacing w:line="360" w:lineRule="exact"/>
              <w:jc w:val="center"/>
              <w:rPr>
                <w:sz w:val="21"/>
                <w:szCs w:val="21"/>
              </w:rPr>
            </w:pPr>
            <w:r>
              <w:rPr>
                <w:sz w:val="21"/>
                <w:szCs w:val="21"/>
              </w:rPr>
              <w:object>
                <v:shape id="_x0000_i1030" o:spt="75" type="#_x0000_t75" style="height:16.5pt;width:30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7">
                  <o:LockedField>false</o:LockedField>
                </o:OLEObject>
              </w:object>
            </w:r>
            <w:r>
              <w:rPr>
                <w:sz w:val="21"/>
                <w:szCs w:val="21"/>
              </w:rPr>
              <w:t xml:space="preserve"> ≤ 65 </w:t>
            </w:r>
          </w:p>
        </w:tc>
      </w:tr>
    </w:tbl>
    <w:p>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pPr>
      <w:bookmarkStart w:id="25" w:name="_Toc24248"/>
      <w:r>
        <w:rPr>
          <w:rFonts w:hint="eastAsia"/>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809"/>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31881"/>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29376"/>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26052"/>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2" o:spt="75" type="#_x0000_t75" style="height:16.5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3" o:spt="75" type="#_x0000_t75" style="height:14.2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5" o:spt="75" type="#_x0000_t75" style="height:16.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1933"/>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3"/>
        <w:ind w:firstLine="420" w:firstLineChars="200"/>
        <w:rPr>
          <w:lang w:val="en-US"/>
        </w:rPr>
      </w:pPr>
    </w:p>
    <w:p>
      <w:pPr>
        <w:pStyle w:val="2"/>
      </w:pPr>
      <w:bookmarkStart w:id="34" w:name="_Toc3401"/>
      <w:r>
        <w:rPr>
          <w:rFonts w:hint="eastAsia"/>
        </w:rPr>
        <w:t>构件空气声隔声性能</w:t>
      </w:r>
      <w:bookmarkEnd w:id="34"/>
    </w:p>
    <w:p>
      <w:pPr>
        <w:pStyle w:val="4"/>
      </w:pPr>
      <w:bookmarkStart w:id="35" w:name="_Toc27103"/>
      <w:r>
        <w:rPr>
          <w:rFonts w:hint="eastAsia"/>
        </w:rPr>
        <w:t>墙板的空气声隔声量</w:t>
      </w:r>
      <w:bookmarkEnd w:id="35"/>
    </w:p>
    <w:p>
      <w:pPr>
        <w:pStyle w:val="5"/>
      </w:pPr>
      <w:bookmarkStart w:id="36" w:name="_Toc15760"/>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专用饰面沙浆与涂料</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193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岩棉、矿棉板(ρ=80-200)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140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alc蒸压加气混凝土墙板(ρ≤625)</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625</w:t>
            </w:r>
          </w:p>
        </w:tc>
        <w:tc>
          <w:tcPr>
            <w:vAlign w:val="center"/>
          </w:tcPr>
          <w:p>
            <w:pPr>
              <w:jc w:val="center"/>
              <w:rPr>
                <w:sz w:val="21"/>
                <w:szCs w:val="21"/>
              </w:rPr>
            </w:pPr>
            <w:r>
              <w:rPr>
                <w:sz w:val="21"/>
                <w:szCs w:val="21"/>
              </w:rPr>
              <w:t>125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隔墙1</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隔墙3</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玻化微珠保温砂浆（ρ=230-300）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250</w:t>
            </w:r>
          </w:p>
        </w:tc>
        <w:tc>
          <w:tcPr>
            <w:vAlign w:val="center"/>
          </w:tcPr>
          <w:p>
            <w:pPr>
              <w:jc w:val="center"/>
              <w:rPr>
                <w:sz w:val="21"/>
                <w:szCs w:val="21"/>
              </w:rPr>
            </w:pPr>
            <w:r>
              <w:rPr>
                <w:sz w:val="21"/>
                <w:szCs w:val="21"/>
              </w:rPr>
              <w:t>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492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sbs或app改性沥青防水卷材</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泡沫混凝土</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1200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w:t>
            </w:r>
          </w:p>
        </w:tc>
        <w:tc>
          <w:tcPr>
            <w:vAlign w:val="center"/>
          </w:tcPr>
          <w:p>
            <w:pPr>
              <w:jc w:val="center"/>
              <w:rPr>
                <w:sz w:val="21"/>
                <w:szCs w:val="21"/>
              </w:rPr>
            </w:pPr>
            <w:r>
              <w:rPr>
                <w:sz w:val="21"/>
                <w:szCs w:val="21"/>
              </w:rPr>
              <w:t>110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泡沫混凝土</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1200</w:t>
            </w:r>
          </w:p>
        </w:tc>
        <w:tc>
          <w:tcPr>
            <w:vAlign w:val="center"/>
          </w:tcPr>
          <w:p>
            <w:pPr>
              <w:jc w:val="center"/>
              <w:rPr>
                <w:sz w:val="21"/>
                <w:szCs w:val="21"/>
              </w:rPr>
            </w:pPr>
            <w:r>
              <w:rPr>
                <w:sz w:val="21"/>
                <w:szCs w:val="21"/>
              </w:rPr>
              <w:t>60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岩棉、矿棉板(ρ=80-200)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140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27407"/>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20mm＋加气混凝土砌块砌筑（灰缝=15）（ρ=500）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蒸压加气混凝土条板(150厚双面抹灰)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专用饰面沙浆与涂料 10mm＋岩棉、矿棉板(ρ=80-200) 100mm＋水泥砂浆 20mm＋alc蒸压加气混凝土墙板(ρ≤625) 200mm</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蒸压加气混凝土砌块390x190x190双面抹灰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31242"/>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户门1</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胶合板-玻璃棉岩棉板矿棉板20-胶合板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6+10A+6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22.0</w:t>
            </w:r>
          </w:p>
        </w:tc>
        <w:tc>
          <w:tcPr>
            <w:vAlign w:val="center"/>
          </w:tcPr>
          <w:p>
            <w:pPr>
              <w:rPr>
                <w:sz w:val="21"/>
                <w:szCs w:val="21"/>
              </w:rPr>
            </w:pPr>
            <w:r>
              <w:rPr>
                <w:sz w:val="21"/>
                <w:szCs w:val="21"/>
              </w:rPr>
              <w:t>21.0</w:t>
            </w:r>
          </w:p>
        </w:tc>
        <w:tc>
          <w:tcPr>
            <w:vAlign w:val="center"/>
          </w:tcPr>
          <w:p>
            <w:pPr>
              <w:rPr>
                <w:sz w:val="21"/>
                <w:szCs w:val="21"/>
              </w:rPr>
            </w:pPr>
            <w:r>
              <w:rPr>
                <w:sz w:val="21"/>
                <w:szCs w:val="21"/>
              </w:rPr>
              <w:t>28.0</w:t>
            </w:r>
          </w:p>
        </w:tc>
        <w:tc>
          <w:tcPr>
            <w:vAlign w:val="center"/>
          </w:tcPr>
          <w:p>
            <w:pPr>
              <w:rPr>
                <w:sz w:val="21"/>
                <w:szCs w:val="21"/>
              </w:rPr>
            </w:pPr>
            <w:r>
              <w:rPr>
                <w:sz w:val="21"/>
                <w:szCs w:val="21"/>
              </w:rPr>
              <w:t>36.0</w:t>
            </w:r>
          </w:p>
        </w:tc>
        <w:tc>
          <w:tcPr>
            <w:vAlign w:val="center"/>
          </w:tcPr>
          <w:p>
            <w:pPr>
              <w:rPr>
                <w:sz w:val="21"/>
                <w:szCs w:val="21"/>
              </w:rPr>
            </w:pPr>
            <w:r>
              <w:rPr>
                <w:sz w:val="21"/>
                <w:szCs w:val="21"/>
              </w:rP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户门2</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胶合板-玻璃棉岩棉板矿棉板20-胶合板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住宅建筑中其他外窗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5Low-E+12A+5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6+10A+6</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22.0</w:t>
            </w:r>
          </w:p>
        </w:tc>
        <w:tc>
          <w:tcPr>
            <w:vAlign w:val="center"/>
          </w:tcPr>
          <w:p>
            <w:pPr>
              <w:rPr>
                <w:sz w:val="21"/>
                <w:szCs w:val="21"/>
              </w:rPr>
            </w:pPr>
            <w:r>
              <w:rPr>
                <w:sz w:val="21"/>
                <w:szCs w:val="21"/>
              </w:rPr>
              <w:t>21.0</w:t>
            </w:r>
          </w:p>
        </w:tc>
        <w:tc>
          <w:tcPr>
            <w:vAlign w:val="center"/>
          </w:tcPr>
          <w:p>
            <w:pPr>
              <w:rPr>
                <w:sz w:val="21"/>
                <w:szCs w:val="21"/>
              </w:rPr>
            </w:pPr>
            <w:r>
              <w:rPr>
                <w:sz w:val="21"/>
                <w:szCs w:val="21"/>
              </w:rPr>
              <w:t>28.0</w:t>
            </w:r>
          </w:p>
        </w:tc>
        <w:tc>
          <w:tcPr>
            <w:vAlign w:val="center"/>
          </w:tcPr>
          <w:p>
            <w:pPr>
              <w:rPr>
                <w:sz w:val="21"/>
                <w:szCs w:val="21"/>
              </w:rPr>
            </w:pPr>
            <w:r>
              <w:rPr>
                <w:sz w:val="21"/>
                <w:szCs w:val="21"/>
              </w:rPr>
              <w:t>36.0</w:t>
            </w:r>
          </w:p>
        </w:tc>
        <w:tc>
          <w:tcPr>
            <w:vAlign w:val="center"/>
          </w:tcPr>
          <w:p>
            <w:pPr>
              <w:rPr>
                <w:sz w:val="21"/>
                <w:szCs w:val="21"/>
              </w:rPr>
            </w:pPr>
            <w:r>
              <w:rPr>
                <w:sz w:val="21"/>
                <w:szCs w:val="21"/>
              </w:rP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4.0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bl>
    <w:p>
      <w:pPr>
        <w:pStyle w:val="13"/>
        <w:ind w:firstLine="420" w:firstLineChars="0"/>
        <w:jc w:val="left"/>
        <w:rPr>
          <w:rFonts w:ascii="宋体" w:hAnsi="宋体" w:eastAsia="宋体"/>
          <w:kern w:val="0"/>
          <w:sz w:val="21"/>
          <w:szCs w:val="21"/>
        </w:rPr>
      </w:pPr>
      <w:bookmarkStart w:id="47" w:name="门窗空气声隔声量"/>
      <w:bookmarkEnd w:id="47"/>
    </w:p>
    <w:bookmarkEnd w:id="24"/>
    <w:p>
      <w:pPr>
        <w:pStyle w:val="2"/>
      </w:pPr>
      <w:bookmarkStart w:id="48" w:name="_Toc4898"/>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r>
              <w:rPr>
                <w:sz w:val="21"/>
                <w:szCs w:val="21"/>
              </w:rPr>
              <w:t>150厚加气混凝土，双面抹灰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r>
              <w:rPr>
                <w:sz w:val="21"/>
                <w:szCs w:val="21"/>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pPr>
        <w:widowControl w:val="0"/>
        <w:snapToGrid/>
        <w:jc w:val="both"/>
        <w:rPr>
          <w:rFonts w:cstheme="minorBidi"/>
          <w:kern w:val="2"/>
          <w:sz w:val="21"/>
          <w:szCs w:val="22"/>
          <w:lang w:val="en-US"/>
        </w:rPr>
      </w:pPr>
    </w:p>
    <w:p>
      <w:pPr>
        <w:pStyle w:val="2"/>
        <w:rPr>
          <w:kern w:val="2"/>
        </w:rPr>
      </w:pPr>
      <w:bookmarkStart w:id="50" w:name="_Toc4212"/>
      <w:r>
        <w:rPr>
          <w:rFonts w:hint="eastAsia"/>
          <w:kern w:val="2"/>
        </w:rPr>
        <w:t>星级技术要求</w:t>
      </w:r>
      <w:bookmarkEnd w:id="50"/>
    </w:p>
    <w:p>
      <w:pPr>
        <w:pStyle w:val="4"/>
      </w:pPr>
      <w:bookmarkStart w:id="51" w:name="_Toc11934"/>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501"/>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pPr>
        <w:pStyle w:val="3"/>
        <w:ind w:firstLine="420"/>
        <w:jc w:val="center"/>
        <w:rPr>
          <w:lang w:val="en-US"/>
        </w:rPr>
      </w:pPr>
      <w:bookmarkStart w:id="54" w:name="分户墙星级评价表"/>
      <w:bookmarkEnd w:id="54"/>
    </w:p>
    <w:p>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pPr>
        <w:pStyle w:val="2"/>
      </w:pPr>
      <w:bookmarkStart w:id="55" w:name="_Toc28127"/>
      <w:r>
        <w:rPr>
          <w:rFonts w:hint="eastAsia"/>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分户墙</w:t>
            </w:r>
          </w:p>
        </w:tc>
        <w:tc>
          <w:tcPr>
            <w:vAlign w:val="center"/>
          </w:tcPr>
          <w:p>
            <w:pPr>
              <w:rPr>
                <w:sz w:val="21"/>
                <w:szCs w:val="21"/>
              </w:rPr>
            </w:pPr>
            <w:r>
              <w:rPr>
                <w:b/>
                <w:sz w:val="21"/>
                <w:szCs w:val="21"/>
              </w:rPr>
              <w:t>47</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起居室外墙</w:t>
            </w:r>
          </w:p>
        </w:tc>
        <w:tc>
          <w:tcPr>
            <w:vAlign w:val="center"/>
          </w:tcPr>
          <w:p>
            <w:pPr>
              <w:rPr>
                <w:sz w:val="21"/>
                <w:szCs w:val="21"/>
              </w:rPr>
            </w:pPr>
            <w:r>
              <w:rPr>
                <w:b/>
                <w:sz w:val="21"/>
                <w:szCs w:val="21"/>
              </w:rPr>
              <w:t>46</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分户楼板</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户门</w:t>
            </w:r>
          </w:p>
        </w:tc>
        <w:tc>
          <w:tcPr>
            <w:vAlign w:val="center"/>
          </w:tcPr>
          <w:p>
            <w:pPr>
              <w:rPr>
                <w:sz w:val="21"/>
                <w:szCs w:val="21"/>
              </w:rPr>
            </w:pPr>
            <w:r>
              <w:rPr>
                <w:b/>
                <w:sz w:val="21"/>
                <w:szCs w:val="21"/>
              </w:rPr>
              <w:t>30</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住宅建筑中其他外窗</w:t>
            </w:r>
          </w:p>
        </w:tc>
        <w:tc>
          <w:tcPr>
            <w:vAlign w:val="center"/>
          </w:tcPr>
          <w:p>
            <w:pPr>
              <w:rPr>
                <w:sz w:val="21"/>
                <w:szCs w:val="21"/>
              </w:rPr>
            </w:pPr>
            <w:r>
              <w:rPr>
                <w:b/>
                <w:sz w:val="21"/>
                <w:szCs w:val="21"/>
              </w:rPr>
              <w:t>28</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满足平均要求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rPr>
                <w:sz w:val="21"/>
                <w:szCs w:val="21"/>
              </w:rPr>
            </w:pPr>
            <w:r>
              <w:rPr>
                <w:sz w:val="21"/>
                <w:szCs w:val="21"/>
              </w:rPr>
              <w:t>构件</w:t>
            </w:r>
          </w:p>
        </w:tc>
        <w:tc>
          <w:tcPr>
            <w:tcW w:w="2547" w:type="dxa"/>
            <w:shd w:val="clear" w:color="auto" w:fill="E6E6E6"/>
          </w:tcPr>
          <w:p>
            <w:pPr>
              <w:jc w:val="center"/>
              <w:rPr>
                <w:sz w:val="21"/>
                <w:szCs w:val="21"/>
              </w:rPr>
            </w:pPr>
            <w:r>
              <w:rPr>
                <w:sz w:val="21"/>
                <w:szCs w:val="21"/>
              </w:rPr>
              <w:t>单值评价量+频谱修正量</w:t>
            </w:r>
          </w:p>
        </w:tc>
        <w:tc>
          <w:tcPr>
            <w:tcW w:w="2689" w:type="dxa"/>
            <w:shd w:val="clear" w:color="auto" w:fill="E6E6E6"/>
            <w:vAlign w:val="center"/>
          </w:tcPr>
          <w:p>
            <w:pPr>
              <w:jc w:val="center"/>
              <w:rPr>
                <w:sz w:val="21"/>
                <w:szCs w:val="21"/>
              </w:rPr>
            </w:pPr>
            <w:r>
              <w:rPr>
                <w:sz w:val="21"/>
                <w:szCs w:val="21"/>
              </w:rPr>
              <w:t>标准限值</w:t>
            </w:r>
          </w:p>
        </w:tc>
        <w:tc>
          <w:tcPr>
            <w:tcW w:w="1709" w:type="dxa"/>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rPr>
                <w:sz w:val="21"/>
                <w:szCs w:val="21"/>
              </w:rPr>
            </w:pPr>
            <w:r>
              <w:rPr>
                <w:rFonts w:hint="eastAsia"/>
                <w:sz w:val="21"/>
                <w:szCs w:val="21"/>
              </w:rPr>
              <w:t>室外与卧室之间</w:t>
            </w:r>
          </w:p>
        </w:tc>
        <w:tc>
          <w:tcPr>
            <w:tcW w:w="2547" w:type="dxa"/>
            <w:vAlign w:val="center"/>
          </w:tcPr>
          <w:p>
            <w:pPr>
              <w:rPr>
                <w:b/>
                <w:sz w:val="21"/>
                <w:szCs w:val="21"/>
              </w:rPr>
            </w:pPr>
            <w:bookmarkStart w:id="58" w:name="组合墙星级评价隔声量"/>
            <w:r>
              <w:rPr>
                <w:b/>
                <w:sz w:val="21"/>
                <w:szCs w:val="21"/>
              </w:rPr>
              <w:t>--</w:t>
            </w:r>
            <w:bookmarkEnd w:id="58"/>
          </w:p>
        </w:tc>
        <w:tc>
          <w:tcPr>
            <w:tcW w:w="2689" w:type="dxa"/>
            <w:vAlign w:val="center"/>
          </w:tcPr>
          <w:p>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pPr>
              <w:jc w:val="center"/>
              <w:rPr>
                <w:b/>
                <w:sz w:val="21"/>
                <w:szCs w:val="21"/>
                <w:highlight w:val="yellow"/>
                <w:lang w:val="en-US"/>
              </w:rPr>
            </w:pPr>
            <w:bookmarkStart w:id="59" w:name="组合墙星级评价结论"/>
            <w:r>
              <w:rPr>
                <w:b/>
                <w:sz w:val="21"/>
                <w:szCs w:val="21"/>
              </w:rPr>
              <w:t>--</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rPr>
                <w:sz w:val="21"/>
                <w:szCs w:val="21"/>
              </w:rPr>
            </w:pPr>
            <w:r>
              <w:rPr>
                <w:rFonts w:hint="eastAsia"/>
                <w:sz w:val="21"/>
                <w:szCs w:val="21"/>
              </w:rPr>
              <w:t>分户墙两侧卧室之间</w:t>
            </w:r>
          </w:p>
        </w:tc>
        <w:tc>
          <w:tcPr>
            <w:tcW w:w="2547" w:type="dxa"/>
            <w:vAlign w:val="center"/>
          </w:tcPr>
          <w:p>
            <w:pPr>
              <w:rPr>
                <w:b/>
                <w:sz w:val="21"/>
                <w:szCs w:val="21"/>
              </w:rPr>
            </w:pPr>
            <w:bookmarkStart w:id="60" w:name="分户墙星级评价隔声量"/>
            <w:r>
              <w:rPr>
                <w:b/>
                <w:sz w:val="21"/>
                <w:szCs w:val="21"/>
              </w:rPr>
              <w:t>--</w:t>
            </w:r>
            <w:bookmarkEnd w:id="60"/>
          </w:p>
        </w:tc>
        <w:tc>
          <w:tcPr>
            <w:tcW w:w="2689" w:type="dxa"/>
            <w:vAlign w:val="center"/>
          </w:tcPr>
          <w:p>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pPr>
              <w:jc w:val="center"/>
              <w:rPr>
                <w:b/>
                <w:sz w:val="21"/>
                <w:szCs w:val="21"/>
                <w:highlight w:val="yellow"/>
                <w:lang w:val="en-US"/>
              </w:rPr>
            </w:pPr>
            <w:bookmarkStart w:id="61" w:name="分户墙星级评价结论"/>
            <w:r>
              <w:rPr>
                <w:b/>
                <w:sz w:val="21"/>
                <w:szCs w:val="21"/>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rPr>
                <w:sz w:val="21"/>
                <w:szCs w:val="21"/>
              </w:rPr>
            </w:pPr>
            <w:r>
              <w:rPr>
                <w:sz w:val="21"/>
                <w:szCs w:val="21"/>
              </w:rPr>
              <w:t>构件</w:t>
            </w:r>
          </w:p>
        </w:tc>
        <w:tc>
          <w:tcPr>
            <w:tcW w:w="2547" w:type="dxa"/>
            <w:shd w:val="clear" w:color="auto" w:fill="E7E6E6" w:themeFill="background2"/>
          </w:tcPr>
          <w:p>
            <w:pPr>
              <w:jc w:val="center"/>
              <w:rPr>
                <w:b/>
                <w:sz w:val="21"/>
                <w:szCs w:val="21"/>
              </w:rPr>
            </w:pPr>
            <w:r>
              <w:rPr>
                <w:sz w:val="21"/>
                <w:szCs w:val="21"/>
              </w:rPr>
              <w:t>计权规范化撞击声压级</w:t>
            </w:r>
          </w:p>
        </w:tc>
        <w:tc>
          <w:tcPr>
            <w:tcW w:w="2689" w:type="dxa"/>
            <w:shd w:val="clear" w:color="auto" w:fill="E7E6E6" w:themeFill="background2"/>
            <w:vAlign w:val="center"/>
          </w:tcPr>
          <w:p>
            <w:pPr>
              <w:jc w:val="center"/>
              <w:rPr>
                <w:sz w:val="21"/>
                <w:szCs w:val="21"/>
              </w:rPr>
            </w:pPr>
            <w:r>
              <w:rPr>
                <w:sz w:val="21"/>
                <w:szCs w:val="21"/>
              </w:rPr>
              <w:t>标准限值</w:t>
            </w:r>
          </w:p>
        </w:tc>
        <w:tc>
          <w:tcPr>
            <w:tcW w:w="1709" w:type="dxa"/>
            <w:shd w:val="clear" w:color="auto" w:fill="E7E6E6" w:themeFill="background2"/>
            <w:vAlign w:val="center"/>
          </w:tcPr>
          <w:p>
            <w:pPr>
              <w:jc w:val="center"/>
              <w:rPr>
                <w:kern w:val="2"/>
                <w:sz w:val="21"/>
                <w:szCs w:val="21"/>
                <w:highlight w:val="yellow"/>
                <w:lang w:val="en-US"/>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rPr>
                <w:sz w:val="21"/>
                <w:szCs w:val="21"/>
              </w:rPr>
            </w:pPr>
            <w:r>
              <w:rPr>
                <w:sz w:val="21"/>
                <w:szCs w:val="21"/>
              </w:rPr>
              <w:t>卧室的分户楼板</w:t>
            </w:r>
          </w:p>
        </w:tc>
        <w:tc>
          <w:tcPr>
            <w:tcW w:w="2547" w:type="dxa"/>
            <w:vAlign w:val="center"/>
          </w:tcPr>
          <w:p>
            <w:pPr>
              <w:rPr>
                <w:b/>
                <w:sz w:val="21"/>
                <w:szCs w:val="21"/>
              </w:rPr>
            </w:pPr>
            <w:bookmarkStart w:id="62" w:name="分户楼板星级评价撞击声压级"/>
            <w:r>
              <w:rPr>
                <w:b/>
                <w:sz w:val="21"/>
                <w:szCs w:val="21"/>
              </w:rPr>
              <w:t>--</w:t>
            </w:r>
            <w:bookmarkEnd w:id="62"/>
          </w:p>
        </w:tc>
        <w:tc>
          <w:tcPr>
            <w:tcW w:w="2689" w:type="dxa"/>
            <w:vAlign w:val="center"/>
          </w:tcPr>
          <w:p>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pPr>
              <w:jc w:val="center"/>
              <w:rPr>
                <w:b/>
                <w:sz w:val="21"/>
                <w:szCs w:val="21"/>
                <w:highlight w:val="yellow"/>
                <w:lang w:val="en-US"/>
              </w:rPr>
            </w:pPr>
            <w:bookmarkStart w:id="63" w:name="分户楼板星级评价结论"/>
            <w:r>
              <w:rPr>
                <w:b/>
                <w:sz w:val="21"/>
                <w:szCs w:val="21"/>
              </w:rPr>
              <w:t>--</w:t>
            </w:r>
            <w:bookmarkEnd w:id="63"/>
          </w:p>
        </w:tc>
      </w:tr>
    </w:tbl>
    <w:p>
      <w:pPr>
        <w:pStyle w:val="3"/>
        <w:spacing w:before="240"/>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sz w:val="21"/>
                <w:szCs w:val="21"/>
              </w:rPr>
            </w:pPr>
            <w:r>
              <w:rPr>
                <w:bCs/>
                <w:sz w:val="21"/>
                <w:szCs w:val="21"/>
              </w:rPr>
              <w:t>检查项</w:t>
            </w:r>
          </w:p>
        </w:tc>
        <w:tc>
          <w:tcPr>
            <w:tcW w:w="5812" w:type="dxa"/>
            <w:shd w:val="clear" w:color="auto" w:fill="E6E6E6"/>
          </w:tcPr>
          <w:p>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pPr>
              <w:contextualSpacing/>
              <w:jc w:val="center"/>
              <w:rPr>
                <w:bCs/>
                <w:sz w:val="21"/>
                <w:szCs w:val="21"/>
              </w:rPr>
            </w:pPr>
            <w:r>
              <w:rPr>
                <w:bCs/>
                <w:sz w:val="21"/>
                <w:szCs w:val="21"/>
              </w:rPr>
              <w:t>结论</w:t>
            </w:r>
          </w:p>
        </w:tc>
        <w:tc>
          <w:tcPr>
            <w:tcW w:w="737" w:type="dxa"/>
            <w:shd w:val="clear" w:color="auto" w:fill="E6E6E6"/>
            <w:vAlign w:val="center"/>
          </w:tcPr>
          <w:p>
            <w:pPr>
              <w:contextualSpacing/>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pPr>
            <w:r>
              <w:rPr>
                <w:rFonts w:hint="eastAsia"/>
              </w:rPr>
              <w:t>空气声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pPr>
              <w:jc w:val="center"/>
              <w:rPr>
                <w:b/>
                <w:sz w:val="21"/>
                <w:szCs w:val="21"/>
                <w:lang w:val="en-US"/>
              </w:rPr>
            </w:pP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pPr>
              <w:jc w:val="center"/>
              <w:rPr>
                <w:b/>
                <w:sz w:val="21"/>
                <w:szCs w:val="21"/>
                <w:lang w:val="en-US"/>
              </w:rPr>
            </w:pPr>
            <w:bookmarkStart w:id="65" w:name="空气声评分项结论"/>
            <w:r>
              <w:rPr>
                <w:rFonts w:hint="eastAsia"/>
                <w:b/>
                <w:sz w:val="21"/>
                <w:szCs w:val="21"/>
                <w:lang w:val="en-US"/>
              </w:rPr>
              <w:t>满足低限要求</w:t>
            </w:r>
            <w:bookmarkEnd w:id="65"/>
          </w:p>
        </w:tc>
        <w:tc>
          <w:tcPr>
            <w:tcW w:w="737" w:type="dxa"/>
            <w:vAlign w:val="center"/>
          </w:tcPr>
          <w:p>
            <w:pPr>
              <w:jc w:val="center"/>
              <w:rPr>
                <w:b/>
                <w:sz w:val="21"/>
                <w:szCs w:val="21"/>
                <w:lang w:val="en-US"/>
              </w:rPr>
            </w:pPr>
            <w:bookmarkStart w:id="66" w:name="空气声得分"/>
            <w:r>
              <w:rPr>
                <w:rFonts w:hint="eastAsia"/>
                <w:b/>
                <w:sz w:val="21"/>
                <w:szCs w:val="21"/>
                <w:lang w:val="en-US"/>
              </w:rPr>
              <w:t>0</w:t>
            </w:r>
            <w:bookmarkEnd w:id="66"/>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pPr>
            <w:r>
              <w:rPr>
                <w:rFonts w:hint="eastAsia"/>
              </w:rPr>
              <w:t>撞击声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pPr>
            <w:r>
              <w:rPr>
                <w:rFonts w:hint="eastAsia"/>
              </w:rPr>
              <w:t>住宅建筑</w:t>
            </w:r>
          </w:p>
          <w:p>
            <w:pPr>
              <w:pStyle w:val="3"/>
              <w:jc w:val="center"/>
            </w:pPr>
            <w:r>
              <w:rPr>
                <w:rFonts w:hint="eastAsia"/>
              </w:rPr>
              <w:t>隔声性能</w:t>
            </w:r>
          </w:p>
        </w:tc>
        <w:tc>
          <w:tcPr>
            <w:tcW w:w="5812" w:type="dxa"/>
          </w:tcPr>
          <w:p>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YjY4NzNiMTkxMGNmM2E1YjIxYjk2OTZkZTAwYTAifQ=="/>
  </w:docVars>
  <w:rsids>
    <w:rsidRoot w:val="4F24520C"/>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4F24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tmp11.dotx</Template>
  <Pages>15</Pages>
  <Words>6339</Words>
  <Characters>7875</Characters>
  <Lines>58</Lines>
  <Paragraphs>16</Paragraphs>
  <TotalTime>0</TotalTime>
  <ScaleCrop>false</ScaleCrop>
  <LinksUpToDate>false</LinksUpToDate>
  <CharactersWithSpaces>8522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2023-11-22T07:29:00Z</dcterms:created>
  <dc:creator>Administrator</dc:creator>
  <cp:lastModifiedBy>小怪兽゛</cp:lastModifiedBy>
  <dcterms:modified xsi:type="dcterms:W3CDTF">2023-11-22T07:29:37Z</dcterms:modified>
  <dc:title>建筑构件隔声设计报告书</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B4084D69367A4C5292D1DCB512661DED_11</vt:lpwstr>
  </property>
  <property fmtid="{D5CDD505-2E9C-101B-9397-08002B2CF9AE}" pid="3" name="KSOProductBuildVer">
    <vt:lpwstr>2052-12.1.0.15712</vt:lpwstr>
  </property>
</Properties>
</file>