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JPG" ContentType="image/.jpg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center"/>
        <w:rPr>
          <w:rFonts w:hint="eastAsia" w:ascii="宋体" w:hAnsi="宋体"/>
          <w:b/>
          <w:bCs/>
          <w:color w:val="3F3F3F"/>
          <w:kern w:val="44"/>
          <w:sz w:val="44"/>
          <w:szCs w:val="44"/>
          <w:lang w:val="en-US" w:eastAsia="zh-CN"/>
        </w:rPr>
      </w:pPr>
    </w:p>
    <w:p>
      <w:pPr>
        <w:spacing w:before="156" w:beforeLines="50" w:after="156" w:afterLines="50" w:line="360" w:lineRule="auto"/>
        <w:jc w:val="center"/>
        <w:rPr>
          <w:rFonts w:hint="eastAsia" w:ascii="宋体" w:hAnsi="宋体"/>
          <w:b/>
          <w:bCs/>
          <w:color w:val="3F3F3F"/>
          <w:kern w:val="44"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color w:val="3F3F3F"/>
          <w:kern w:val="44"/>
          <w:sz w:val="44"/>
          <w:szCs w:val="44"/>
          <w:lang w:val="en-US" w:eastAsia="zh-CN"/>
        </w:rPr>
        <w:t>珠海市第三中学校内四栋居民楼拆除及新建教学综合楼、宿舍楼、食堂、体育馆工程</w:t>
      </w:r>
    </w:p>
    <w:p>
      <w:pPr>
        <w:spacing w:before="156" w:beforeLines="50" w:after="156" w:afterLines="50" w:line="360" w:lineRule="auto"/>
        <w:jc w:val="center"/>
        <w:rPr>
          <w:rFonts w:ascii="宋体" w:hAnsi="宋体"/>
          <w:b/>
          <w:bCs/>
          <w:color w:val="3F3F3F"/>
          <w:kern w:val="44"/>
          <w:sz w:val="44"/>
          <w:szCs w:val="44"/>
        </w:rPr>
      </w:pPr>
      <w:r>
        <w:rPr>
          <w:rFonts w:hint="eastAsia" w:ascii="宋体" w:hAnsi="宋体"/>
          <w:b/>
          <w:bCs/>
          <w:color w:val="3F3F3F"/>
          <w:kern w:val="44"/>
          <w:sz w:val="44"/>
          <w:szCs w:val="44"/>
          <w:lang w:val="en-US" w:eastAsia="zh-CN"/>
        </w:rPr>
        <w:t>眩光</w:t>
      </w:r>
      <w:r>
        <w:rPr>
          <w:rFonts w:hint="eastAsia" w:ascii="宋体" w:hAnsi="宋体"/>
          <w:b/>
          <w:bCs/>
          <w:color w:val="3F3F3F"/>
          <w:kern w:val="44"/>
          <w:sz w:val="44"/>
          <w:szCs w:val="44"/>
        </w:rPr>
        <w:t>分析报告</w:t>
      </w:r>
    </w:p>
    <w:p>
      <w:pPr>
        <w:pStyle w:val="33"/>
        <w:ind w:firstLine="880"/>
        <w:rPr>
          <w:rFonts w:hint="eastAsia" w:eastAsia="黑体" w:cs="宋体"/>
          <w:sz w:val="44"/>
          <w:szCs w:val="44"/>
        </w:rPr>
      </w:pPr>
    </w:p>
    <w:p>
      <w:pPr>
        <w:pStyle w:val="33"/>
        <w:ind w:firstLine="880"/>
        <w:rPr>
          <w:rFonts w:hint="eastAsia" w:eastAsia="黑体" w:cs="宋体"/>
          <w:sz w:val="44"/>
          <w:szCs w:val="44"/>
        </w:rPr>
      </w:pPr>
    </w:p>
    <w:p>
      <w:pPr>
        <w:pStyle w:val="33"/>
        <w:ind w:firstLine="880"/>
        <w:rPr>
          <w:rFonts w:hint="eastAsia" w:eastAsia="黑体" w:cs="宋体"/>
          <w:sz w:val="44"/>
          <w:szCs w:val="44"/>
        </w:rPr>
      </w:pPr>
    </w:p>
    <w:p>
      <w:pPr>
        <w:pStyle w:val="33"/>
        <w:ind w:firstLine="880"/>
        <w:rPr>
          <w:rFonts w:hint="eastAsia" w:eastAsia="黑体" w:cs="宋体"/>
          <w:sz w:val="44"/>
          <w:szCs w:val="44"/>
        </w:rPr>
      </w:pPr>
    </w:p>
    <w:p>
      <w:pPr>
        <w:pStyle w:val="33"/>
        <w:ind w:firstLine="880"/>
        <w:rPr>
          <w:rFonts w:hint="eastAsia" w:eastAsia="黑体" w:cs="宋体"/>
          <w:sz w:val="44"/>
          <w:szCs w:val="44"/>
        </w:rPr>
      </w:pPr>
    </w:p>
    <w:p>
      <w:pPr>
        <w:pStyle w:val="33"/>
        <w:ind w:firstLine="880"/>
        <w:rPr>
          <w:rFonts w:hint="eastAsia" w:eastAsia="黑体" w:cs="宋体"/>
          <w:sz w:val="44"/>
          <w:szCs w:val="44"/>
        </w:rPr>
      </w:pPr>
    </w:p>
    <w:p>
      <w:pPr>
        <w:pStyle w:val="33"/>
        <w:ind w:firstLine="880"/>
        <w:rPr>
          <w:rFonts w:hint="eastAsia" w:eastAsia="黑体" w:cs="宋体"/>
          <w:sz w:val="44"/>
          <w:szCs w:val="44"/>
        </w:rPr>
      </w:pPr>
    </w:p>
    <w:p>
      <w:pPr>
        <w:pStyle w:val="33"/>
        <w:ind w:firstLine="880"/>
        <w:rPr>
          <w:rFonts w:hint="eastAsia" w:eastAsia="黑体" w:cs="宋体"/>
          <w:sz w:val="44"/>
          <w:szCs w:val="44"/>
        </w:rPr>
      </w:pPr>
    </w:p>
    <w:p>
      <w:pPr>
        <w:pStyle w:val="33"/>
        <w:ind w:firstLine="880"/>
        <w:rPr>
          <w:rFonts w:hint="eastAsia" w:eastAsia="黑体" w:cs="宋体"/>
          <w:sz w:val="44"/>
          <w:szCs w:val="44"/>
        </w:rPr>
      </w:pPr>
    </w:p>
    <w:p>
      <w:pPr>
        <w:pStyle w:val="33"/>
        <w:ind w:firstLine="880"/>
        <w:rPr>
          <w:rFonts w:hint="eastAsia" w:eastAsia="黑体" w:cs="宋体"/>
          <w:sz w:val="44"/>
          <w:szCs w:val="44"/>
        </w:rPr>
      </w:pPr>
    </w:p>
    <w:p>
      <w:pPr>
        <w:pStyle w:val="33"/>
        <w:ind w:firstLine="880"/>
        <w:rPr>
          <w:rFonts w:hint="eastAsia" w:eastAsia="黑体" w:cs="宋体"/>
          <w:sz w:val="44"/>
          <w:szCs w:val="44"/>
        </w:rPr>
      </w:pPr>
    </w:p>
    <w:p>
      <w:pPr>
        <w:pStyle w:val="33"/>
        <w:ind w:firstLine="880"/>
        <w:rPr>
          <w:rFonts w:hint="eastAsia" w:eastAsia="黑体" w:cs="宋体"/>
          <w:sz w:val="44"/>
          <w:szCs w:val="44"/>
        </w:rPr>
      </w:pPr>
    </w:p>
    <w:p>
      <w:pPr>
        <w:pStyle w:val="33"/>
        <w:ind w:firstLine="880"/>
        <w:rPr>
          <w:rFonts w:hint="eastAsia" w:eastAsia="黑体" w:cs="宋体"/>
          <w:sz w:val="44"/>
          <w:szCs w:val="44"/>
        </w:rPr>
      </w:pPr>
    </w:p>
    <w:p>
      <w:pPr>
        <w:pStyle w:val="33"/>
        <w:rPr>
          <w:rFonts w:hint="eastAsia" w:eastAsia="黑体" w:cs="宋体"/>
          <w:sz w:val="44"/>
          <w:szCs w:val="44"/>
        </w:rPr>
      </w:pPr>
    </w:p>
    <w:p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广东鼎绿建筑科技有限公司</w:t>
      </w:r>
    </w:p>
    <w:p>
      <w:pPr>
        <w:spacing w:line="240" w:lineRule="auto"/>
        <w:jc w:val="center"/>
        <w:rPr>
          <w:rFonts w:ascii="宋体" w:hAnsi="宋体"/>
          <w:b/>
          <w:bCs/>
          <w:sz w:val="30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编制时间：202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32"/>
          <w:szCs w:val="32"/>
        </w:rPr>
        <w:t>年0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32"/>
          <w:szCs w:val="32"/>
        </w:rPr>
        <w:t>月</w:t>
      </w:r>
    </w:p>
    <w:p>
      <w:pPr>
        <w:spacing w:line="240" w:lineRule="auto"/>
        <w:jc w:val="center"/>
        <w:rPr>
          <w:rFonts w:ascii="宋体" w:hAnsi="宋体"/>
          <w:b/>
          <w:bCs/>
          <w:sz w:val="30"/>
          <w:szCs w:val="32"/>
        </w:rPr>
      </w:pPr>
    </w:p>
    <w:p>
      <w:pPr>
        <w:sectPr>
          <w:headerReference r:id="rId5" w:type="default"/>
          <w:footerReference r:id="rId6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>
      <w:pPr>
        <w:jc w:val="center"/>
        <w:rPr>
          <w:sz w:val="28"/>
          <w:szCs w:val="28"/>
        </w:rPr>
      </w:pPr>
      <w:bookmarkStart w:id="0" w:name="目录"/>
      <w:r>
        <w:rPr>
          <w:rFonts w:hint="eastAsia"/>
          <w:sz w:val="28"/>
          <w:szCs w:val="28"/>
        </w:rPr>
        <w:t>目  录</w:t>
      </w:r>
    </w:p>
    <w:p>
      <w:pPr>
        <w:pStyle w:val="17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 xml:space="preserve">TOC \o "1-3" \h \z \u</w:instrText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>
        <w:fldChar w:fldCharType="begin"/>
      </w:r>
      <w:r>
        <w:instrText xml:space="preserve"> HYPERLINK \l "_Toc70502125" </w:instrText>
      </w:r>
      <w:r>
        <w:fldChar w:fldCharType="separate"/>
      </w:r>
      <w:r>
        <w:rPr>
          <w:rStyle w:val="24"/>
        </w:rPr>
        <w:t>1.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4"/>
        </w:rPr>
        <w:t>建筑概况</w:t>
      </w:r>
      <w:r>
        <w:tab/>
      </w:r>
      <w:r>
        <w:fldChar w:fldCharType="begin"/>
      </w:r>
      <w:r>
        <w:instrText xml:space="preserve"> PAGEREF _Toc70502125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"_Toc70502126" </w:instrText>
      </w:r>
      <w:r>
        <w:fldChar w:fldCharType="separate"/>
      </w:r>
      <w:r>
        <w:rPr>
          <w:rStyle w:val="24"/>
        </w:rPr>
        <w:t>2.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4"/>
        </w:rPr>
        <w:t>分析目的</w:t>
      </w:r>
      <w:r>
        <w:tab/>
      </w:r>
      <w:r>
        <w:fldChar w:fldCharType="begin"/>
      </w:r>
      <w:r>
        <w:instrText xml:space="preserve"> PAGEREF _Toc70502126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"_Toc70502127" </w:instrText>
      </w:r>
      <w:r>
        <w:fldChar w:fldCharType="separate"/>
      </w:r>
      <w:r>
        <w:rPr>
          <w:rStyle w:val="24"/>
        </w:rPr>
        <w:t>3.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4"/>
        </w:rPr>
        <w:t>分析依据</w:t>
      </w:r>
      <w:r>
        <w:tab/>
      </w:r>
      <w:r>
        <w:fldChar w:fldCharType="begin"/>
      </w:r>
      <w:r>
        <w:instrText xml:space="preserve"> PAGEREF _Toc70502127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"_Toc70502128" </w:instrText>
      </w:r>
      <w:r>
        <w:fldChar w:fldCharType="separate"/>
      </w:r>
      <w:r>
        <w:rPr>
          <w:rStyle w:val="24"/>
          <w:lang w:val="en-GB"/>
        </w:rPr>
        <w:t>3.1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标准依据</w:t>
      </w:r>
      <w:r>
        <w:tab/>
      </w:r>
      <w:r>
        <w:fldChar w:fldCharType="begin"/>
      </w:r>
      <w:r>
        <w:instrText xml:space="preserve"> PAGEREF _Toc70502128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"_Toc70502129" </w:instrText>
      </w:r>
      <w:r>
        <w:fldChar w:fldCharType="separate"/>
      </w:r>
      <w:r>
        <w:rPr>
          <w:rStyle w:val="24"/>
          <w:lang w:val="en-GB"/>
        </w:rPr>
        <w:t>3.2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标准要求</w:t>
      </w:r>
      <w:r>
        <w:tab/>
      </w:r>
      <w:r>
        <w:fldChar w:fldCharType="begin"/>
      </w:r>
      <w:r>
        <w:instrText xml:space="preserve"> PAGEREF _Toc70502129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"_Toc70502130" </w:instrText>
      </w:r>
      <w:r>
        <w:fldChar w:fldCharType="separate"/>
      </w:r>
      <w:r>
        <w:rPr>
          <w:rStyle w:val="24"/>
        </w:rPr>
        <w:t>4.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4"/>
        </w:rPr>
        <w:t>应用软件与计算方法</w:t>
      </w:r>
      <w:r>
        <w:tab/>
      </w:r>
      <w:r>
        <w:fldChar w:fldCharType="begin"/>
      </w:r>
      <w:r>
        <w:instrText xml:space="preserve"> PAGEREF _Toc70502130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"_Toc70502131" </w:instrText>
      </w:r>
      <w:r>
        <w:fldChar w:fldCharType="separate"/>
      </w:r>
      <w:r>
        <w:rPr>
          <w:rStyle w:val="24"/>
          <w:lang w:val="en-GB"/>
        </w:rPr>
        <w:t>4.1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软件选用</w:t>
      </w:r>
      <w:r>
        <w:tab/>
      </w:r>
      <w:r>
        <w:fldChar w:fldCharType="begin"/>
      </w:r>
      <w:r>
        <w:instrText xml:space="preserve"> PAGEREF _Toc70502131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"_Toc70502132" </w:instrText>
      </w:r>
      <w:r>
        <w:fldChar w:fldCharType="separate"/>
      </w:r>
      <w:r>
        <w:rPr>
          <w:rStyle w:val="24"/>
          <w:lang w:val="en-GB"/>
        </w:rPr>
        <w:t>4.2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计算原理</w:t>
      </w:r>
      <w:r>
        <w:tab/>
      </w:r>
      <w:r>
        <w:fldChar w:fldCharType="begin"/>
      </w:r>
      <w:r>
        <w:instrText xml:space="preserve"> PAGEREF _Toc70502132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"_Toc70502133" </w:instrText>
      </w:r>
      <w:r>
        <w:fldChar w:fldCharType="separate"/>
      </w:r>
      <w:r>
        <w:rPr>
          <w:rStyle w:val="24"/>
        </w:rPr>
        <w:t>5.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4"/>
        </w:rPr>
        <w:t>计算参数选用</w:t>
      </w:r>
      <w:r>
        <w:tab/>
      </w:r>
      <w:r>
        <w:fldChar w:fldCharType="begin"/>
      </w:r>
      <w:r>
        <w:instrText xml:space="preserve"> PAGEREF _Toc70502133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"_Toc70502134" </w:instrText>
      </w:r>
      <w:r>
        <w:fldChar w:fldCharType="separate"/>
      </w:r>
      <w:r>
        <w:rPr>
          <w:rStyle w:val="24"/>
          <w:lang w:val="en-GB"/>
        </w:rPr>
        <w:t>5.1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模拟条件</w:t>
      </w:r>
      <w:r>
        <w:tab/>
      </w:r>
      <w:r>
        <w:fldChar w:fldCharType="begin"/>
      </w:r>
      <w:r>
        <w:instrText xml:space="preserve"> PAGEREF _Toc70502134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"_Toc70502135" </w:instrText>
      </w:r>
      <w:r>
        <w:fldChar w:fldCharType="separate"/>
      </w:r>
      <w:r>
        <w:rPr>
          <w:rStyle w:val="24"/>
          <w:lang w:val="en-GB"/>
        </w:rPr>
        <w:t>5.2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建筑饰面材料参数</w:t>
      </w:r>
      <w:r>
        <w:tab/>
      </w:r>
      <w:r>
        <w:fldChar w:fldCharType="begin"/>
      </w:r>
      <w:r>
        <w:instrText xml:space="preserve"> PAGEREF _Toc70502135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"_Toc70502136" </w:instrText>
      </w:r>
      <w:r>
        <w:fldChar w:fldCharType="separate"/>
      </w:r>
      <w:r>
        <w:rPr>
          <w:rStyle w:val="24"/>
          <w:lang w:val="en-GB"/>
        </w:rPr>
        <w:t>5.3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门窗类型参数</w:t>
      </w:r>
      <w:r>
        <w:tab/>
      </w:r>
      <w:r>
        <w:fldChar w:fldCharType="begin"/>
      </w:r>
      <w:r>
        <w:instrText xml:space="preserve"> PAGEREF _Toc70502136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4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"_Toc70502137" </w:instrText>
      </w:r>
      <w:r>
        <w:fldChar w:fldCharType="separate"/>
      </w:r>
      <w:r>
        <w:rPr>
          <w:rStyle w:val="24"/>
          <w:lang w:val="en-GB"/>
        </w:rPr>
        <w:t>5.3.1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普通窗</w:t>
      </w:r>
      <w:r>
        <w:tab/>
      </w:r>
      <w:r>
        <w:fldChar w:fldCharType="begin"/>
      </w:r>
      <w:r>
        <w:instrText xml:space="preserve"> PAGEREF _Toc70502137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"_Toc70502138" </w:instrText>
      </w:r>
      <w:r>
        <w:fldChar w:fldCharType="separate"/>
      </w:r>
      <w:r>
        <w:rPr>
          <w:rStyle w:val="24"/>
        </w:rPr>
        <w:t>6.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4"/>
        </w:rPr>
        <w:t>眩光分析结果</w:t>
      </w:r>
      <w:r>
        <w:tab/>
      </w:r>
      <w:r>
        <w:fldChar w:fldCharType="begin"/>
      </w:r>
      <w:r>
        <w:instrText xml:space="preserve"> PAGEREF _Toc70502138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"_Toc70502139" </w:instrText>
      </w:r>
      <w:r>
        <w:fldChar w:fldCharType="separate"/>
      </w:r>
      <w:r>
        <w:rPr>
          <w:rStyle w:val="24"/>
        </w:rPr>
        <w:t>7.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4"/>
        </w:rPr>
        <w:t>评价结论</w:t>
      </w:r>
      <w:r>
        <w:tab/>
      </w:r>
      <w:r>
        <w:fldChar w:fldCharType="begin"/>
      </w:r>
      <w:r>
        <w:instrText xml:space="preserve"> PAGEREF _Toc70502139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rPr>
          <w:sz w:val="28"/>
          <w:szCs w:val="28"/>
        </w:rPr>
        <w:sectPr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rPr>
          <w:sz w:val="28"/>
          <w:szCs w:val="28"/>
        </w:rPr>
        <w:fldChar w:fldCharType="end"/>
      </w:r>
      <w:bookmarkEnd w:id="0"/>
    </w:p>
    <w:p>
      <w:pPr>
        <w:pStyle w:val="2"/>
        <w:ind w:left="432" w:hanging="432"/>
      </w:pPr>
      <w:bookmarkStart w:id="1" w:name="_Toc70502125"/>
      <w:r>
        <w:rPr>
          <w:rFonts w:hint="eastAsia"/>
        </w:rPr>
        <w:t>建筑</w:t>
      </w:r>
      <w:r>
        <w:t>概况</w:t>
      </w:r>
      <w:bookmarkEnd w:id="1"/>
    </w:p>
    <w:p>
      <w:pPr>
        <w:spacing w:line="360" w:lineRule="auto"/>
        <w:ind w:firstLine="315" w:firstLineChars="150"/>
        <w:jc w:val="left"/>
        <w:rPr>
          <w:rFonts w:ascii="黑体" w:hAnsi="黑体" w:eastAsia="黑体"/>
          <w:sz w:val="18"/>
          <w:lang w:val="en-US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项目位于珠海市香洲区梅华东路。总用地面积为43027.37平方米，总建筑面积33958.57平方米，其中地上建筑面积28140.11平方米，地下建筑面积5818.46平方米，综合容积率为1.6，绿地率为18%。</w:t>
      </w:r>
    </w:p>
    <w:p>
      <w:pPr>
        <w:pStyle w:val="2"/>
        <w:ind w:left="432" w:hanging="432"/>
      </w:pPr>
      <w:bookmarkStart w:id="2" w:name="_Toc70502126"/>
      <w:r>
        <w:rPr>
          <w:rFonts w:hint="eastAsia"/>
        </w:rPr>
        <w:t>分析目的</w:t>
      </w:r>
      <w:bookmarkEnd w:id="2"/>
    </w:p>
    <w:p>
      <w:pPr>
        <w:pStyle w:val="13"/>
        <w:spacing w:line="360" w:lineRule="auto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天然光营造的光环境以经济、自然、宜人、不可替代等特性为人们所习惯和喜爱。各种光源的视觉试验结果表明，在同样照度条件下，天然光的辨认能力优于人工光。天然采光不仅有利于照明节能，而且有利于增加室内外的自然信息交流，改善空间卫生环境，调节空间使用者的心情。在建筑中充分利用天然光，对于创造良好光环境、节约能源、保护环境和构建绿色建筑具有重要意义。</w:t>
      </w:r>
    </w:p>
    <w:p>
      <w:pPr>
        <w:pStyle w:val="13"/>
        <w:spacing w:line="360" w:lineRule="auto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窗的不舒适眩光是评价采光质量的重要指标</w:t>
      </w:r>
      <w:r>
        <w:rPr>
          <w:rFonts w:ascii="Times New Roman" w:hAnsi="Times New Roman"/>
          <w:sz w:val="21"/>
          <w:szCs w:val="21"/>
        </w:rPr>
        <w:t>，绿色建筑评价中也要求对主要功能房间有合理的控制眩光的措施。本分析报告以相关标准为依据，采用DALI软</w:t>
      </w:r>
      <w:r>
        <w:rPr>
          <w:rFonts w:hint="eastAsia"/>
          <w:sz w:val="21"/>
          <w:szCs w:val="21"/>
        </w:rPr>
        <w:t>件进行采光模拟，分析项目主要功能房间眩光指数，并给出绿色建筑评估所需要的评价分值。</w:t>
      </w:r>
    </w:p>
    <w:p>
      <w:pPr>
        <w:pStyle w:val="2"/>
        <w:ind w:left="432" w:hanging="432"/>
      </w:pPr>
      <w:bookmarkStart w:id="3" w:name="_Toc70502127"/>
      <w:r>
        <w:rPr>
          <w:rFonts w:hint="eastAsia"/>
        </w:rPr>
        <w:t>分析依据</w:t>
      </w:r>
      <w:bookmarkEnd w:id="3"/>
    </w:p>
    <w:p>
      <w:pPr>
        <w:pStyle w:val="4"/>
      </w:pPr>
      <w:bookmarkStart w:id="4" w:name="_Toc70502128"/>
      <w:r>
        <w:rPr>
          <w:rFonts w:hint="eastAsia"/>
        </w:rPr>
        <w:t>标准依据</w:t>
      </w:r>
      <w:bookmarkEnd w:id="4"/>
    </w:p>
    <w:p>
      <w:pPr>
        <w:pStyle w:val="3"/>
        <w:numPr>
          <w:ilvl w:val="0"/>
          <w:numId w:val="2"/>
        </w:numPr>
        <w:ind w:firstLineChars="0"/>
        <w:rPr>
          <w:lang w:val="en-US"/>
        </w:rPr>
      </w:pPr>
      <w:r>
        <w:rPr>
          <w:lang w:val="en-US"/>
        </w:rPr>
        <w:t>《建筑采光设计标准》</w:t>
      </w:r>
      <w:r>
        <w:rPr>
          <w:kern w:val="2"/>
          <w:lang w:val="en-US"/>
        </w:rPr>
        <w:t>GB 50033-2013</w:t>
      </w:r>
    </w:p>
    <w:p>
      <w:pPr>
        <w:pStyle w:val="3"/>
        <w:numPr>
          <w:ilvl w:val="0"/>
          <w:numId w:val="2"/>
        </w:numPr>
        <w:ind w:firstLineChars="0"/>
        <w:rPr>
          <w:lang w:val="en-US"/>
        </w:rPr>
      </w:pPr>
      <w:r>
        <w:rPr>
          <w:lang w:val="en-US"/>
        </w:rPr>
        <w:t>《绿色建筑评价标准》</w:t>
      </w:r>
      <w:r>
        <w:rPr>
          <w:kern w:val="2"/>
          <w:lang w:val="en-US"/>
        </w:rPr>
        <w:t>GB/T 50378-2019</w:t>
      </w:r>
    </w:p>
    <w:p>
      <w:pPr>
        <w:pStyle w:val="3"/>
        <w:numPr>
          <w:ilvl w:val="0"/>
          <w:numId w:val="2"/>
        </w:numPr>
        <w:ind w:firstLineChars="0"/>
        <w:rPr>
          <w:lang w:val="en-US"/>
        </w:rPr>
      </w:pPr>
      <w:r>
        <w:rPr>
          <w:lang w:val="en-US"/>
        </w:rPr>
        <w:t>《采光测量方法》</w:t>
      </w:r>
      <w:r>
        <w:rPr>
          <w:kern w:val="2"/>
          <w:lang w:val="en-US"/>
        </w:rPr>
        <w:t>GB/T5699-2008</w:t>
      </w:r>
    </w:p>
    <w:p>
      <w:pPr>
        <w:pStyle w:val="3"/>
        <w:numPr>
          <w:ilvl w:val="0"/>
          <w:numId w:val="2"/>
        </w:numPr>
        <w:ind w:firstLineChars="0"/>
        <w:rPr>
          <w:lang w:val="en-US"/>
        </w:rPr>
      </w:pPr>
      <w:r>
        <w:rPr>
          <w:lang w:val="en-US"/>
        </w:rPr>
        <w:t>委托方提供的项目总平面图、建筑设计图纸、设计效果图等图纸资料</w:t>
      </w:r>
    </w:p>
    <w:p>
      <w:pPr>
        <w:pStyle w:val="3"/>
        <w:numPr>
          <w:ilvl w:val="0"/>
          <w:numId w:val="2"/>
        </w:numPr>
        <w:ind w:firstLineChars="0"/>
        <w:rPr>
          <w:lang w:val="en-US"/>
        </w:rPr>
      </w:pPr>
      <w:r>
        <w:rPr>
          <w:lang w:val="en-US"/>
        </w:rPr>
        <w:t xml:space="preserve">委托方提供的其它相关资料 </w:t>
      </w:r>
    </w:p>
    <w:p>
      <w:pPr>
        <w:pStyle w:val="4"/>
      </w:pPr>
      <w:bookmarkStart w:id="5" w:name="_Toc70502129"/>
      <w:r>
        <w:rPr>
          <w:rFonts w:hint="eastAsia"/>
        </w:rPr>
        <w:t>标准要求</w:t>
      </w:r>
      <w:bookmarkEnd w:id="5"/>
    </w:p>
    <w:p>
      <w:pPr>
        <w:pStyle w:val="3"/>
        <w:spacing w:line="360" w:lineRule="auto"/>
        <w:ind w:firstLine="420"/>
        <w:rPr>
          <w:lang w:val="en-US"/>
        </w:rPr>
      </w:pPr>
      <w:r>
        <w:rPr>
          <w:lang w:val="en-US"/>
        </w:rPr>
        <w:t>本报告以《建筑采光设计标准》GB 50033-2013为计算依据，以《绿色建筑评价标准》GB/T 50378－2019为评价依据。</w:t>
      </w:r>
    </w:p>
    <w:p>
      <w:pPr>
        <w:pStyle w:val="13"/>
        <w:spacing w:line="360" w:lineRule="auto"/>
        <w:ind w:firstLine="422"/>
        <w:rPr>
          <w:kern w:val="0"/>
          <w:sz w:val="21"/>
          <w:szCs w:val="21"/>
        </w:rPr>
      </w:pPr>
      <w:r>
        <w:rPr>
          <w:rFonts w:hint="eastAsia"/>
          <w:b/>
          <w:kern w:val="0"/>
          <w:sz w:val="21"/>
          <w:szCs w:val="21"/>
        </w:rPr>
        <w:t>■ 《建筑采光设计标准》GB 50033-2013</w:t>
      </w:r>
      <w:r>
        <w:rPr>
          <w:rFonts w:hint="eastAsia"/>
          <w:kern w:val="0"/>
          <w:sz w:val="21"/>
          <w:szCs w:val="21"/>
        </w:rPr>
        <w:t>规定：</w:t>
      </w:r>
    </w:p>
    <w:p>
      <w:pPr>
        <w:pStyle w:val="13"/>
        <w:spacing w:line="360" w:lineRule="auto"/>
        <w:ind w:firstLine="420"/>
        <w:rPr>
          <w:rFonts w:hint="eastAsia" w:ascii="黑体" w:hAnsi="黑体" w:eastAsia="黑体"/>
          <w:kern w:val="0"/>
          <w:sz w:val="21"/>
          <w:szCs w:val="21"/>
        </w:rPr>
      </w:pPr>
      <w:r>
        <w:rPr>
          <w:rFonts w:hint="eastAsia" w:ascii="黑体" w:hAnsi="黑体" w:eastAsia="黑体"/>
          <w:kern w:val="0"/>
          <w:sz w:val="21"/>
          <w:szCs w:val="21"/>
        </w:rPr>
        <w:t>窗的不舒适眩光指数不宜高于表5.0.3规定的数值。</w:t>
      </w:r>
    </w:p>
    <w:p>
      <w:pPr>
        <w:pStyle w:val="13"/>
        <w:spacing w:line="360" w:lineRule="auto"/>
        <w:ind w:firstLine="420"/>
        <w:rPr>
          <w:rFonts w:hint="eastAsia" w:ascii="黑体" w:hAnsi="黑体" w:eastAsia="黑体"/>
          <w:kern w:val="0"/>
          <w:sz w:val="21"/>
          <w:szCs w:val="21"/>
        </w:rPr>
      </w:pPr>
    </w:p>
    <w:p>
      <w:pPr>
        <w:pStyle w:val="13"/>
        <w:spacing w:line="360" w:lineRule="auto"/>
        <w:ind w:firstLine="420"/>
        <w:rPr>
          <w:rFonts w:hint="eastAsia" w:ascii="黑体" w:hAnsi="黑体" w:eastAsia="黑体"/>
          <w:kern w:val="0"/>
          <w:sz w:val="21"/>
          <w:szCs w:val="21"/>
        </w:rPr>
      </w:pPr>
    </w:p>
    <w:p>
      <w:pPr>
        <w:pStyle w:val="32"/>
        <w:spacing w:line="420" w:lineRule="auto"/>
        <w:ind w:left="902" w:hanging="420" w:firstLineChars="0"/>
        <w:jc w:val="center"/>
        <w:rPr>
          <w:rFonts w:eastAsia="黑体"/>
          <w:sz w:val="21"/>
          <w:szCs w:val="21"/>
        </w:rPr>
      </w:pPr>
      <w:r>
        <w:rPr>
          <w:rFonts w:hint="eastAsia" w:eastAsia="黑体"/>
          <w:sz w:val="21"/>
          <w:szCs w:val="21"/>
        </w:rPr>
        <w:t>表5.0.3 窗的不舒适眩光指数（DGI）</w:t>
      </w: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1"/>
        <w:gridCol w:w="44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121" w:type="dxa"/>
            <w:vAlign w:val="center"/>
          </w:tcPr>
          <w:p>
            <w:pPr>
              <w:widowControl w:val="0"/>
              <w:jc w:val="center"/>
              <w:rPr>
                <w:rFonts w:eastAsia="黑体"/>
                <w:kern w:val="2"/>
                <w:sz w:val="21"/>
                <w:szCs w:val="21"/>
              </w:rPr>
            </w:pPr>
            <w:r>
              <w:rPr>
                <w:rFonts w:eastAsia="黑体"/>
                <w:szCs w:val="21"/>
              </w:rPr>
              <w:t>采光等级</w:t>
            </w:r>
          </w:p>
        </w:tc>
        <w:tc>
          <w:tcPr>
            <w:tcW w:w="4401" w:type="dxa"/>
            <w:vAlign w:val="center"/>
          </w:tcPr>
          <w:p>
            <w:pPr>
              <w:widowControl w:val="0"/>
              <w:jc w:val="center"/>
              <w:rPr>
                <w:rFonts w:eastAsia="黑体"/>
                <w:kern w:val="2"/>
                <w:sz w:val="21"/>
                <w:szCs w:val="21"/>
              </w:rPr>
            </w:pPr>
            <w:r>
              <w:rPr>
                <w:rFonts w:eastAsia="黑体"/>
                <w:szCs w:val="21"/>
              </w:rPr>
              <w:t>眩光指数值DGI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121" w:type="dxa"/>
            <w:vAlign w:val="center"/>
          </w:tcPr>
          <w:p>
            <w:pPr>
              <w:widowControl w:val="0"/>
              <w:jc w:val="center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Ⅰ</w:t>
            </w:r>
          </w:p>
        </w:tc>
        <w:tc>
          <w:tcPr>
            <w:tcW w:w="4401" w:type="dxa"/>
            <w:vAlign w:val="center"/>
          </w:tcPr>
          <w:p>
            <w:pPr>
              <w:widowControl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121" w:type="dxa"/>
            <w:vAlign w:val="center"/>
          </w:tcPr>
          <w:p>
            <w:pPr>
              <w:widowControl w:val="0"/>
              <w:jc w:val="center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Ⅱ</w:t>
            </w:r>
          </w:p>
        </w:tc>
        <w:tc>
          <w:tcPr>
            <w:tcW w:w="4401" w:type="dxa"/>
            <w:vAlign w:val="center"/>
          </w:tcPr>
          <w:p>
            <w:pPr>
              <w:widowControl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121" w:type="dxa"/>
            <w:vAlign w:val="center"/>
          </w:tcPr>
          <w:p>
            <w:pPr>
              <w:widowControl w:val="0"/>
              <w:jc w:val="center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Ⅲ</w:t>
            </w:r>
          </w:p>
        </w:tc>
        <w:tc>
          <w:tcPr>
            <w:tcW w:w="4401" w:type="dxa"/>
            <w:vAlign w:val="center"/>
          </w:tcPr>
          <w:p>
            <w:pPr>
              <w:widowControl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121" w:type="dxa"/>
            <w:vAlign w:val="center"/>
          </w:tcPr>
          <w:p>
            <w:pPr>
              <w:widowControl w:val="0"/>
              <w:jc w:val="center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Ⅳ</w:t>
            </w:r>
          </w:p>
        </w:tc>
        <w:tc>
          <w:tcPr>
            <w:tcW w:w="4401" w:type="dxa"/>
            <w:vAlign w:val="center"/>
          </w:tcPr>
          <w:p>
            <w:pPr>
              <w:widowControl w:val="0"/>
              <w:jc w:val="center"/>
              <w:rPr>
                <w:rFonts w:eastAsia="黑体"/>
                <w:kern w:val="2"/>
                <w:sz w:val="21"/>
                <w:szCs w:val="21"/>
              </w:rPr>
            </w:pPr>
            <w:r>
              <w:rPr>
                <w:rFonts w:eastAsia="黑体"/>
                <w:szCs w:val="21"/>
              </w:rPr>
              <w:t>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121" w:type="dxa"/>
            <w:vAlign w:val="center"/>
          </w:tcPr>
          <w:p>
            <w:pPr>
              <w:widowControl w:val="0"/>
              <w:jc w:val="center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Ⅴ</w:t>
            </w:r>
          </w:p>
        </w:tc>
        <w:tc>
          <w:tcPr>
            <w:tcW w:w="4401" w:type="dxa"/>
            <w:vAlign w:val="center"/>
          </w:tcPr>
          <w:p>
            <w:pPr>
              <w:widowControl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28</w:t>
            </w:r>
          </w:p>
        </w:tc>
      </w:tr>
    </w:tbl>
    <w:p>
      <w:pPr>
        <w:pStyle w:val="13"/>
        <w:spacing w:line="360" w:lineRule="auto"/>
        <w:ind w:firstLine="420"/>
        <w:rPr>
          <w:kern w:val="0"/>
          <w:sz w:val="21"/>
          <w:szCs w:val="21"/>
        </w:rPr>
      </w:pPr>
    </w:p>
    <w:p>
      <w:pPr>
        <w:pStyle w:val="3"/>
        <w:spacing w:line="360" w:lineRule="auto"/>
        <w:ind w:firstLine="420"/>
        <w:rPr>
          <w:rFonts w:ascii="宋体" w:hAnsi="宋体"/>
          <w:lang w:val="en-US"/>
        </w:rPr>
      </w:pPr>
      <w:r>
        <w:rPr>
          <w:rFonts w:hint="eastAsia" w:ascii="宋体" w:hAnsi="宋体"/>
          <w:lang w:val="en-US"/>
        </w:rPr>
        <w:t xml:space="preserve">■ </w:t>
      </w:r>
      <w:r>
        <w:rPr>
          <w:rFonts w:hint="eastAsia" w:ascii="宋体" w:hAnsi="宋体"/>
          <w:b/>
          <w:lang w:val="en-US"/>
        </w:rPr>
        <w:t>《绿色建筑评价标准》GB/T 50378-201</w:t>
      </w:r>
      <w:r>
        <w:rPr>
          <w:rFonts w:ascii="宋体" w:hAnsi="宋体"/>
          <w:b/>
          <w:lang w:val="en-US"/>
        </w:rPr>
        <w:t>9</w:t>
      </w:r>
      <w:r>
        <w:rPr>
          <w:rFonts w:hint="eastAsia" w:ascii="宋体" w:hAnsi="宋体"/>
          <w:lang w:val="en-US"/>
        </w:rPr>
        <w:t>规定：</w:t>
      </w:r>
    </w:p>
    <w:p>
      <w:pPr>
        <w:pStyle w:val="13"/>
        <w:spacing w:line="360" w:lineRule="auto"/>
        <w:ind w:firstLine="315" w:firstLineChars="150"/>
        <w:rPr>
          <w:rFonts w:ascii="黑体" w:hAnsi="黑体" w:eastAsia="黑体"/>
          <w:sz w:val="21"/>
          <w:szCs w:val="21"/>
        </w:rPr>
      </w:pPr>
      <w:r>
        <w:rPr>
          <w:rFonts w:ascii="黑体" w:hAnsi="黑体" w:eastAsia="黑体"/>
          <w:sz w:val="21"/>
          <w:szCs w:val="21"/>
        </w:rPr>
        <w:t xml:space="preserve">5. 2. 8 </w:t>
      </w:r>
      <w:r>
        <w:rPr>
          <w:rFonts w:hint="eastAsia" w:ascii="黑体" w:hAnsi="黑体" w:eastAsia="黑体"/>
          <w:sz w:val="21"/>
          <w:szCs w:val="21"/>
        </w:rPr>
        <w:t>充分利用天然光，评价总分值为</w:t>
      </w:r>
      <w:r>
        <w:rPr>
          <w:rFonts w:ascii="黑体" w:hAnsi="黑体" w:eastAsia="黑体"/>
          <w:sz w:val="21"/>
          <w:szCs w:val="21"/>
        </w:rPr>
        <w:t xml:space="preserve">12 </w:t>
      </w:r>
      <w:r>
        <w:rPr>
          <w:rFonts w:hint="eastAsia" w:ascii="黑体" w:hAnsi="黑体" w:eastAsia="黑体"/>
          <w:sz w:val="21"/>
          <w:szCs w:val="21"/>
        </w:rPr>
        <w:t>分，并按下列规则分别评分并累计：</w:t>
      </w:r>
    </w:p>
    <w:p>
      <w:pPr>
        <w:pStyle w:val="13"/>
        <w:spacing w:line="360" w:lineRule="auto"/>
        <w:ind w:left="419" w:leftChars="233" w:firstLine="60" w:firstLineChars="0"/>
        <w:rPr>
          <w:rFonts w:ascii="黑体" w:hAnsi="黑体" w:eastAsia="黑体"/>
          <w:sz w:val="21"/>
          <w:szCs w:val="21"/>
        </w:rPr>
      </w:pPr>
      <w:r>
        <w:rPr>
          <w:rFonts w:ascii="黑体" w:hAnsi="黑体" w:eastAsia="黑体"/>
          <w:sz w:val="21"/>
          <w:szCs w:val="21"/>
        </w:rPr>
        <w:t xml:space="preserve">1 </w:t>
      </w:r>
      <w:r>
        <w:rPr>
          <w:rFonts w:hint="eastAsia" w:ascii="黑体" w:hAnsi="黑体" w:eastAsia="黑体"/>
          <w:sz w:val="21"/>
          <w:szCs w:val="21"/>
        </w:rPr>
        <w:t>住宅建筑室内主要功能空间至少</w:t>
      </w:r>
      <w:r>
        <w:rPr>
          <w:rFonts w:ascii="黑体" w:hAnsi="黑体" w:eastAsia="黑体"/>
          <w:sz w:val="21"/>
          <w:szCs w:val="21"/>
        </w:rPr>
        <w:t xml:space="preserve">60% </w:t>
      </w:r>
      <w:r>
        <w:rPr>
          <w:rFonts w:hint="eastAsia" w:ascii="黑体" w:hAnsi="黑体" w:eastAsia="黑体"/>
          <w:sz w:val="21"/>
          <w:szCs w:val="21"/>
        </w:rPr>
        <w:t>面积比例区域，其采光照度值不低千</w:t>
      </w:r>
      <w:r>
        <w:rPr>
          <w:rFonts w:ascii="黑体" w:hAnsi="黑体" w:eastAsia="黑体"/>
          <w:sz w:val="21"/>
          <w:szCs w:val="21"/>
        </w:rPr>
        <w:t xml:space="preserve">300lx </w:t>
      </w:r>
      <w:r>
        <w:rPr>
          <w:rFonts w:hint="eastAsia" w:ascii="黑体" w:hAnsi="黑体" w:eastAsia="黑体"/>
          <w:sz w:val="21"/>
          <w:szCs w:val="21"/>
        </w:rPr>
        <w:t>的小时数平均不少于</w:t>
      </w:r>
      <w:r>
        <w:rPr>
          <w:rFonts w:ascii="黑体" w:hAnsi="黑体" w:eastAsia="黑体"/>
          <w:sz w:val="21"/>
          <w:szCs w:val="21"/>
        </w:rPr>
        <w:t xml:space="preserve">8h/d, </w:t>
      </w:r>
      <w:r>
        <w:rPr>
          <w:rFonts w:hint="eastAsia" w:ascii="黑体" w:hAnsi="黑体" w:eastAsia="黑体"/>
          <w:sz w:val="21"/>
          <w:szCs w:val="21"/>
        </w:rPr>
        <w:t>得</w:t>
      </w:r>
      <w:r>
        <w:rPr>
          <w:rFonts w:ascii="黑体" w:hAnsi="黑体" w:eastAsia="黑体"/>
          <w:sz w:val="21"/>
          <w:szCs w:val="21"/>
        </w:rPr>
        <w:t xml:space="preserve">9 </w:t>
      </w:r>
      <w:r>
        <w:rPr>
          <w:rFonts w:hint="eastAsia" w:ascii="黑体" w:hAnsi="黑体" w:eastAsia="黑体"/>
          <w:sz w:val="21"/>
          <w:szCs w:val="21"/>
        </w:rPr>
        <w:t>分。</w:t>
      </w:r>
    </w:p>
    <w:p>
      <w:pPr>
        <w:pStyle w:val="13"/>
        <w:spacing w:line="360" w:lineRule="auto"/>
        <w:ind w:left="418" w:leftChars="232" w:firstLine="60" w:firstLineChars="0"/>
        <w:rPr>
          <w:rFonts w:ascii="黑体" w:hAnsi="黑体" w:eastAsia="黑体"/>
          <w:sz w:val="21"/>
          <w:szCs w:val="21"/>
        </w:rPr>
      </w:pPr>
      <w:r>
        <w:rPr>
          <w:rFonts w:ascii="黑体" w:hAnsi="黑体" w:eastAsia="黑体"/>
          <w:sz w:val="21"/>
          <w:szCs w:val="21"/>
        </w:rPr>
        <w:t xml:space="preserve">2 </w:t>
      </w:r>
      <w:r>
        <w:rPr>
          <w:rFonts w:hint="eastAsia" w:ascii="黑体" w:hAnsi="黑体" w:eastAsia="黑体"/>
          <w:sz w:val="21"/>
          <w:szCs w:val="21"/>
        </w:rPr>
        <w:t>公共建筑按下列规则分别评分并累计：</w:t>
      </w:r>
    </w:p>
    <w:p>
      <w:pPr>
        <w:pStyle w:val="13"/>
        <w:spacing w:line="360" w:lineRule="auto"/>
        <w:ind w:left="419" w:leftChars="233" w:firstLine="420"/>
        <w:rPr>
          <w:rFonts w:ascii="黑体" w:hAnsi="黑体" w:eastAsia="黑体"/>
          <w:sz w:val="21"/>
          <w:szCs w:val="21"/>
        </w:rPr>
      </w:pPr>
      <w:r>
        <w:rPr>
          <w:rFonts w:ascii="黑体" w:hAnsi="黑体" w:eastAsia="黑体"/>
          <w:sz w:val="21"/>
          <w:szCs w:val="21"/>
        </w:rPr>
        <w:t xml:space="preserve">1) </w:t>
      </w:r>
      <w:r>
        <w:rPr>
          <w:rFonts w:hint="eastAsia" w:ascii="黑体" w:hAnsi="黑体" w:eastAsia="黑体"/>
          <w:sz w:val="21"/>
          <w:szCs w:val="21"/>
        </w:rPr>
        <w:t>内区采光系数满足采光要求的面积比例达到</w:t>
      </w:r>
      <w:r>
        <w:rPr>
          <w:rFonts w:ascii="黑体" w:hAnsi="黑体" w:eastAsia="黑体"/>
          <w:sz w:val="21"/>
          <w:szCs w:val="21"/>
        </w:rPr>
        <w:t xml:space="preserve">60%, </w:t>
      </w:r>
      <w:r>
        <w:rPr>
          <w:rFonts w:hint="eastAsia" w:ascii="黑体" w:hAnsi="黑体" w:eastAsia="黑体"/>
          <w:sz w:val="21"/>
          <w:szCs w:val="21"/>
        </w:rPr>
        <w:t>得</w:t>
      </w:r>
      <w:r>
        <w:rPr>
          <w:rFonts w:ascii="黑体" w:hAnsi="黑体" w:eastAsia="黑体"/>
          <w:sz w:val="21"/>
          <w:szCs w:val="21"/>
        </w:rPr>
        <w:t xml:space="preserve">3 </w:t>
      </w:r>
      <w:r>
        <w:rPr>
          <w:rFonts w:hint="eastAsia" w:ascii="黑体" w:hAnsi="黑体" w:eastAsia="黑体"/>
          <w:sz w:val="21"/>
          <w:szCs w:val="21"/>
        </w:rPr>
        <w:t>分；</w:t>
      </w:r>
    </w:p>
    <w:p>
      <w:pPr>
        <w:pStyle w:val="13"/>
        <w:spacing w:line="360" w:lineRule="auto"/>
        <w:ind w:left="418" w:leftChars="232" w:firstLine="420"/>
        <w:rPr>
          <w:rFonts w:ascii="黑体" w:hAnsi="黑体" w:eastAsia="黑体"/>
          <w:sz w:val="21"/>
          <w:szCs w:val="21"/>
        </w:rPr>
      </w:pPr>
      <w:r>
        <w:rPr>
          <w:rFonts w:ascii="黑体" w:hAnsi="黑体" w:eastAsia="黑体"/>
          <w:sz w:val="21"/>
          <w:szCs w:val="21"/>
        </w:rPr>
        <w:t xml:space="preserve">2) </w:t>
      </w:r>
      <w:r>
        <w:rPr>
          <w:rFonts w:hint="eastAsia" w:ascii="黑体" w:hAnsi="黑体" w:eastAsia="黑体"/>
          <w:sz w:val="21"/>
          <w:szCs w:val="21"/>
        </w:rPr>
        <w:t>地下空间平均采光系数不小于</w:t>
      </w:r>
      <w:r>
        <w:rPr>
          <w:rFonts w:ascii="黑体" w:hAnsi="黑体" w:eastAsia="黑体"/>
          <w:sz w:val="21"/>
          <w:szCs w:val="21"/>
        </w:rPr>
        <w:t xml:space="preserve">0. 5% </w:t>
      </w:r>
      <w:r>
        <w:rPr>
          <w:rFonts w:hint="eastAsia" w:ascii="黑体" w:hAnsi="黑体" w:eastAsia="黑体"/>
          <w:sz w:val="21"/>
          <w:szCs w:val="21"/>
        </w:rPr>
        <w:t>的面积与地下室首层面积的比例达到</w:t>
      </w:r>
      <w:r>
        <w:rPr>
          <w:rFonts w:ascii="黑体" w:hAnsi="黑体" w:eastAsia="黑体"/>
          <w:sz w:val="21"/>
          <w:szCs w:val="21"/>
        </w:rPr>
        <w:t xml:space="preserve">10% </w:t>
      </w:r>
      <w:r>
        <w:rPr>
          <w:rFonts w:hint="eastAsia" w:ascii="黑体" w:hAnsi="黑体" w:eastAsia="黑体"/>
          <w:sz w:val="21"/>
          <w:szCs w:val="21"/>
        </w:rPr>
        <w:t>以上，得</w:t>
      </w:r>
      <w:r>
        <w:rPr>
          <w:rFonts w:ascii="黑体" w:hAnsi="黑体" w:eastAsia="黑体"/>
          <w:sz w:val="21"/>
          <w:szCs w:val="21"/>
        </w:rPr>
        <w:t xml:space="preserve">3 </w:t>
      </w:r>
      <w:r>
        <w:rPr>
          <w:rFonts w:hint="eastAsia" w:ascii="黑体" w:hAnsi="黑体" w:eastAsia="黑体"/>
          <w:sz w:val="21"/>
          <w:szCs w:val="21"/>
        </w:rPr>
        <w:t>分；</w:t>
      </w:r>
    </w:p>
    <w:p>
      <w:pPr>
        <w:pStyle w:val="13"/>
        <w:spacing w:line="360" w:lineRule="auto"/>
        <w:ind w:left="419" w:leftChars="233" w:firstLine="420"/>
        <w:rPr>
          <w:rFonts w:ascii="黑体" w:hAnsi="黑体" w:eastAsia="黑体"/>
          <w:sz w:val="21"/>
          <w:szCs w:val="21"/>
        </w:rPr>
      </w:pPr>
      <w:r>
        <w:rPr>
          <w:rFonts w:ascii="黑体" w:hAnsi="黑体" w:eastAsia="黑体"/>
          <w:sz w:val="21"/>
          <w:szCs w:val="21"/>
        </w:rPr>
        <w:t xml:space="preserve">3) </w:t>
      </w:r>
      <w:r>
        <w:rPr>
          <w:rFonts w:hint="eastAsia" w:ascii="黑体" w:hAnsi="黑体" w:eastAsia="黑体"/>
          <w:sz w:val="21"/>
          <w:szCs w:val="21"/>
        </w:rPr>
        <w:t>室内主要功能空间至少</w:t>
      </w:r>
      <w:r>
        <w:rPr>
          <w:rFonts w:ascii="黑体" w:hAnsi="黑体" w:eastAsia="黑体"/>
          <w:sz w:val="21"/>
          <w:szCs w:val="21"/>
        </w:rPr>
        <w:t xml:space="preserve">60% </w:t>
      </w:r>
      <w:r>
        <w:rPr>
          <w:rFonts w:hint="eastAsia" w:ascii="黑体" w:hAnsi="黑体" w:eastAsia="黑体"/>
          <w:sz w:val="21"/>
          <w:szCs w:val="21"/>
        </w:rPr>
        <w:t>面积比例区域的采光照度值</w:t>
      </w:r>
      <w:r>
        <w:rPr>
          <w:rFonts w:ascii="黑体" w:hAnsi="黑体" w:eastAsia="黑体"/>
          <w:sz w:val="21"/>
          <w:szCs w:val="21"/>
        </w:rPr>
        <w:t>不低千采光要求的小</w:t>
      </w:r>
      <w:r>
        <w:rPr>
          <w:rFonts w:hint="eastAsia" w:ascii="黑体" w:hAnsi="黑体" w:eastAsia="黑体"/>
          <w:sz w:val="21"/>
          <w:szCs w:val="21"/>
        </w:rPr>
        <w:t>时</w:t>
      </w:r>
      <w:r>
        <w:rPr>
          <w:rFonts w:ascii="黑体" w:hAnsi="黑体" w:eastAsia="黑体"/>
          <w:sz w:val="21"/>
          <w:szCs w:val="21"/>
        </w:rPr>
        <w:t xml:space="preserve">数平均不少于4h/d, </w:t>
      </w:r>
      <w:r>
        <w:rPr>
          <w:rFonts w:hint="eastAsia" w:ascii="黑体" w:hAnsi="黑体" w:eastAsia="黑体"/>
          <w:sz w:val="21"/>
          <w:szCs w:val="21"/>
        </w:rPr>
        <w:t>得</w:t>
      </w:r>
      <w:r>
        <w:rPr>
          <w:rFonts w:ascii="黑体" w:hAnsi="黑体" w:eastAsia="黑体"/>
          <w:sz w:val="21"/>
          <w:szCs w:val="21"/>
        </w:rPr>
        <w:t xml:space="preserve">3 </w:t>
      </w:r>
      <w:r>
        <w:rPr>
          <w:rFonts w:hint="eastAsia" w:ascii="黑体" w:hAnsi="黑体" w:eastAsia="黑体"/>
          <w:sz w:val="21"/>
          <w:szCs w:val="21"/>
        </w:rPr>
        <w:t>分。</w:t>
      </w:r>
    </w:p>
    <w:p>
      <w:pPr>
        <w:pStyle w:val="13"/>
        <w:spacing w:line="360" w:lineRule="auto"/>
        <w:ind w:left="371" w:leftChars="206" w:firstLine="60" w:firstLineChars="0"/>
        <w:rPr>
          <w:rFonts w:ascii="黑体" w:hAnsi="黑体" w:eastAsia="黑体"/>
          <w:b/>
          <w:sz w:val="21"/>
          <w:szCs w:val="21"/>
        </w:rPr>
      </w:pPr>
      <w:r>
        <w:rPr>
          <w:rFonts w:ascii="黑体" w:hAnsi="黑体" w:eastAsia="黑体"/>
          <w:b/>
          <w:sz w:val="21"/>
          <w:szCs w:val="21"/>
        </w:rPr>
        <w:t xml:space="preserve">3 </w:t>
      </w:r>
      <w:r>
        <w:rPr>
          <w:rFonts w:hint="eastAsia" w:ascii="黑体" w:hAnsi="黑体" w:eastAsia="黑体"/>
          <w:b/>
          <w:sz w:val="21"/>
          <w:szCs w:val="21"/>
        </w:rPr>
        <w:t>主要功能房间</w:t>
      </w:r>
      <w:r>
        <w:rPr>
          <w:rFonts w:ascii="黑体" w:hAnsi="黑体" w:eastAsia="黑体"/>
          <w:b/>
          <w:sz w:val="21"/>
          <w:szCs w:val="21"/>
        </w:rPr>
        <w:t>有眩光控制措施，得</w:t>
      </w:r>
      <w:bookmarkStart w:id="6" w:name="眩光评价分值"/>
      <w:r>
        <w:rPr>
          <w:rFonts w:ascii="黑体" w:hAnsi="黑体" w:eastAsia="黑体"/>
          <w:b/>
          <w:sz w:val="21"/>
          <w:szCs w:val="21"/>
        </w:rPr>
        <w:t>3</w:t>
      </w:r>
      <w:bookmarkEnd w:id="6"/>
      <w:r>
        <w:rPr>
          <w:rFonts w:ascii="黑体" w:hAnsi="黑体" w:eastAsia="黑体"/>
          <w:b/>
          <w:sz w:val="21"/>
          <w:szCs w:val="21"/>
        </w:rPr>
        <w:t xml:space="preserve"> </w:t>
      </w:r>
      <w:r>
        <w:rPr>
          <w:rFonts w:hint="eastAsia" w:ascii="黑体" w:hAnsi="黑体" w:eastAsia="黑体"/>
          <w:b/>
          <w:sz w:val="21"/>
          <w:szCs w:val="21"/>
        </w:rPr>
        <w:t>分。</w:t>
      </w:r>
    </w:p>
    <w:p>
      <w:pPr>
        <w:pStyle w:val="2"/>
        <w:ind w:left="432" w:hanging="432"/>
      </w:pPr>
      <w:bookmarkStart w:id="7" w:name="_Toc70502130"/>
      <w:r>
        <w:rPr>
          <w:rFonts w:hint="eastAsia"/>
        </w:rPr>
        <w:t>应用软件与计算方法</w:t>
      </w:r>
      <w:bookmarkEnd w:id="7"/>
    </w:p>
    <w:p>
      <w:pPr>
        <w:pStyle w:val="4"/>
      </w:pPr>
      <w:bookmarkStart w:id="8" w:name="_Toc70502131"/>
      <w:r>
        <w:t>软件</w:t>
      </w:r>
      <w:r>
        <w:rPr>
          <w:rFonts w:hint="eastAsia"/>
        </w:rPr>
        <w:t>选用</w:t>
      </w:r>
      <w:bookmarkEnd w:id="8"/>
    </w:p>
    <w:p>
      <w:pPr>
        <w:pStyle w:val="13"/>
        <w:spacing w:line="360" w:lineRule="auto"/>
        <w:ind w:firstLine="4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本报告采用绿建斯维尔采光分析软件DALI建模</w:t>
      </w:r>
      <w:r>
        <w:rPr>
          <w:rFonts w:hint="eastAsia" w:ascii="Times New Roman" w:hAnsi="Times New Roman"/>
          <w:sz w:val="21"/>
          <w:szCs w:val="21"/>
        </w:rPr>
        <w:t>。</w:t>
      </w:r>
      <w:r>
        <w:rPr>
          <w:rFonts w:ascii="Times New Roman" w:hAnsi="Times New Roman"/>
          <w:sz w:val="21"/>
          <w:szCs w:val="21"/>
        </w:rPr>
        <w:t>DALI是国内首款与国标《建筑采光设计标准》GB50033-2013配套的软件，支持《绿色建筑评价标准》GB/T50378-2014的采光指标要求。</w:t>
      </w:r>
      <w:r>
        <w:rPr>
          <w:rFonts w:hint="eastAsia" w:ascii="Times New Roman" w:hAnsi="Times New Roman"/>
          <w:sz w:val="21"/>
          <w:szCs w:val="21"/>
        </w:rPr>
        <w:t>软件</w:t>
      </w:r>
      <w:r>
        <w:rPr>
          <w:rFonts w:ascii="Times New Roman" w:hAnsi="Times New Roman"/>
          <w:sz w:val="21"/>
          <w:szCs w:val="21"/>
        </w:rPr>
        <w:t>以Radiance为计算核心，将计算结果返回到DALI进行处理分析。DALI可对</w:t>
      </w:r>
      <w:r>
        <w:rPr>
          <w:rFonts w:ascii="Times New Roman" w:hAnsi="Times New Roman"/>
          <w:b/>
          <w:sz w:val="21"/>
          <w:szCs w:val="21"/>
        </w:rPr>
        <w:t>眩光指数</w:t>
      </w:r>
      <w:r>
        <w:rPr>
          <w:rFonts w:hint="eastAsia" w:ascii="Times New Roman" w:hAnsi="Times New Roman"/>
          <w:sz w:val="21"/>
          <w:szCs w:val="21"/>
        </w:rPr>
        <w:t>、</w:t>
      </w:r>
      <w:r>
        <w:rPr>
          <w:rFonts w:ascii="Times New Roman" w:hAnsi="Times New Roman"/>
          <w:sz w:val="21"/>
          <w:szCs w:val="21"/>
        </w:rPr>
        <w:t>达标率、地下采光、内区采光、视野率等进行快速分析，并根据不同需求生成</w:t>
      </w:r>
      <w:r>
        <w:rPr>
          <w:rFonts w:hint="eastAsia" w:ascii="Times New Roman" w:hAnsi="Times New Roman"/>
          <w:sz w:val="21"/>
          <w:szCs w:val="21"/>
        </w:rPr>
        <w:t>《不舒适眩光</w:t>
      </w:r>
      <w:r>
        <w:rPr>
          <w:rFonts w:ascii="Times New Roman" w:hAnsi="Times New Roman"/>
          <w:sz w:val="21"/>
          <w:szCs w:val="21"/>
        </w:rPr>
        <w:t>分析报告书</w:t>
      </w:r>
      <w:r>
        <w:rPr>
          <w:rFonts w:hint="eastAsia" w:ascii="Times New Roman" w:hAnsi="Times New Roman"/>
          <w:sz w:val="21"/>
          <w:szCs w:val="21"/>
        </w:rPr>
        <w:t>》等</w:t>
      </w:r>
      <w:r>
        <w:rPr>
          <w:rFonts w:ascii="Times New Roman" w:hAnsi="Times New Roman"/>
          <w:sz w:val="21"/>
          <w:szCs w:val="21"/>
        </w:rPr>
        <w:t>系列采光分析报告书。</w:t>
      </w:r>
    </w:p>
    <w:p>
      <w:pPr>
        <w:pStyle w:val="13"/>
        <w:spacing w:line="360" w:lineRule="auto"/>
        <w:ind w:firstLine="422"/>
        <w:rPr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DALI已通过了《建筑采光设计标准》GB50033-2013标准编制组的鉴定，获得国家建筑工程质量监督检验中心鉴定报告，编号BETC-GMJC-2014-1。同时，DALI还通过了住房和城乡建设部科技发展促进中心专家组评审鉴定，获得《建设行业科技成果评估证书》，编号建科评[2014]069，评估委员会认定软件总体已达到国内领先水平</w:t>
      </w:r>
      <w:r>
        <w:rPr>
          <w:rFonts w:hint="eastAsia"/>
          <w:sz w:val="21"/>
          <w:szCs w:val="21"/>
        </w:rPr>
        <w:t>。</w:t>
      </w:r>
    </w:p>
    <w:p>
      <w:pPr>
        <w:pStyle w:val="4"/>
      </w:pPr>
      <w:bookmarkStart w:id="9" w:name="_Toc70502132"/>
      <w:r>
        <w:rPr>
          <w:rFonts w:hint="eastAsia"/>
        </w:rPr>
        <w:t>计算原理</w:t>
      </w:r>
      <w:bookmarkEnd w:id="9"/>
    </w:p>
    <w:p>
      <w:pPr>
        <w:pStyle w:val="13"/>
        <w:spacing w:line="360" w:lineRule="auto"/>
        <w:ind w:firstLine="422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■ 窗的不舒适眩光指数（</w:t>
      </w:r>
      <w:r>
        <w:rPr>
          <w:rFonts w:ascii="Times New Roman" w:hAnsi="Times New Roman"/>
          <w:b/>
          <w:sz w:val="21"/>
          <w:szCs w:val="21"/>
        </w:rPr>
        <w:t>DGI</w:t>
      </w:r>
      <w:r>
        <w:rPr>
          <w:rFonts w:hint="eastAsia"/>
          <w:b/>
          <w:sz w:val="21"/>
          <w:szCs w:val="21"/>
        </w:rPr>
        <w:t xml:space="preserve">）可按下列公式计算： </w:t>
      </w:r>
    </w:p>
    <w:p>
      <w:pPr>
        <w:pStyle w:val="13"/>
        <w:spacing w:line="288" w:lineRule="auto"/>
        <w:ind w:firstLine="420"/>
        <w:rPr>
          <w:sz w:val="21"/>
          <w:szCs w:val="21"/>
        </w:rPr>
      </w:pPr>
      <w:r>
        <w:rPr>
          <w:sz w:val="21"/>
          <w:szCs w:val="21"/>
        </w:rPr>
        <w:object>
          <v:shape id="_x0000_i1025" o:spt="75" type="#_x0000_t75" style="height:19.9pt;width:90.5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s" ShapeID="_x0000_i1025" DrawAspect="Content" ObjectID="_1468075725" r:id="rId8">
            <o:LockedField>false</o:LockedField>
          </o:OLEObject>
        </w:object>
      </w:r>
    </w:p>
    <w:p>
      <w:pPr>
        <w:pStyle w:val="13"/>
        <w:spacing w:line="288" w:lineRule="auto"/>
        <w:ind w:firstLine="420"/>
        <w:rPr>
          <w:sz w:val="21"/>
          <w:szCs w:val="21"/>
        </w:rPr>
      </w:pPr>
      <w:r>
        <w:rPr>
          <w:sz w:val="21"/>
          <w:szCs w:val="21"/>
        </w:rPr>
        <w:object>
          <v:shape id="_x0000_i1026" o:spt="75" type="#_x0000_t75" style="height:36.65pt;width:135.6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s" ShapeID="_x0000_i1026" DrawAspect="Content" ObjectID="_1468075726" r:id="rId10">
            <o:LockedField>false</o:LockedField>
          </o:OLEObject>
        </w:object>
      </w:r>
    </w:p>
    <w:p>
      <w:pPr>
        <w:pStyle w:val="13"/>
        <w:spacing w:line="288" w:lineRule="auto"/>
        <w:ind w:firstLine="420"/>
        <w:rPr>
          <w:sz w:val="21"/>
          <w:szCs w:val="21"/>
        </w:rPr>
      </w:pPr>
      <w:r>
        <w:rPr>
          <w:sz w:val="21"/>
          <w:szCs w:val="21"/>
        </w:rPr>
        <w:object>
          <v:shape id="_x0000_i1027" o:spt="75" type="#_x0000_t75" style="height:33.15pt;width:49.9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s" ShapeID="_x0000_i1027" DrawAspect="Content" ObjectID="_1468075727" r:id="rId12">
            <o:LockedField>false</o:LockedField>
          </o:OLEObject>
        </w:object>
      </w:r>
    </w:p>
    <w:p>
      <w:pPr>
        <w:pStyle w:val="13"/>
        <w:spacing w:line="288" w:lineRule="auto"/>
        <w:ind w:firstLine="420"/>
        <w:rPr>
          <w:sz w:val="21"/>
          <w:szCs w:val="21"/>
        </w:rPr>
      </w:pPr>
      <w:r>
        <w:rPr>
          <w:sz w:val="21"/>
          <w:szCs w:val="21"/>
        </w:rPr>
        <w:object>
          <v:shape id="_x0000_i1028" o:spt="75" type="#_x0000_t75" style="height:18.55pt;width:419.6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s" ShapeID="_x0000_i1028" DrawAspect="Content" ObjectID="_1468075728" r:id="rId14">
            <o:LockedField>false</o:LockedField>
          </o:OLEObject>
        </w:object>
      </w:r>
    </w:p>
    <w:p>
      <w:pPr>
        <w:pStyle w:val="13"/>
        <w:spacing w:line="288" w:lineRule="auto"/>
        <w:ind w:firstLine="420"/>
        <w:rPr>
          <w:sz w:val="21"/>
          <w:szCs w:val="21"/>
        </w:rPr>
      </w:pPr>
    </w:p>
    <w:p>
      <w:pPr>
        <w:pStyle w:val="13"/>
        <w:spacing w:line="288" w:lineRule="auto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式中：</w:t>
      </w:r>
    </w:p>
    <w:p>
      <w:pPr>
        <w:pStyle w:val="13"/>
        <w:spacing w:line="288" w:lineRule="auto"/>
        <w:ind w:left="420" w:firstLine="4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Gn----眩光常数；</w:t>
      </w:r>
    </w:p>
    <w:p>
      <w:pPr>
        <w:pStyle w:val="13"/>
        <w:spacing w:line="288" w:lineRule="auto"/>
        <w:ind w:left="420" w:firstLine="4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Ls----窗亮度，通过窗所看到的天空、遮挡物和地面的加权平均亮度（cd/m</w:t>
      </w:r>
      <w:r>
        <w:rPr>
          <w:rFonts w:ascii="Times New Roman" w:hAnsi="Times New Roman"/>
          <w:sz w:val="21"/>
          <w:szCs w:val="21"/>
          <w:vertAlign w:val="superscript"/>
        </w:rPr>
        <w:t>2</w:t>
      </w:r>
      <w:r>
        <w:rPr>
          <w:rFonts w:ascii="Times New Roman" w:hAnsi="Times New Roman"/>
          <w:sz w:val="21"/>
          <w:szCs w:val="21"/>
        </w:rPr>
        <w:t>）；</w:t>
      </w:r>
    </w:p>
    <w:p>
      <w:pPr>
        <w:pStyle w:val="13"/>
        <w:spacing w:line="288" w:lineRule="auto"/>
        <w:ind w:left="420" w:firstLine="4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Lb----背景亮度，观察者视野内各表面的平均亮度（cd/m</w:t>
      </w:r>
      <w:r>
        <w:rPr>
          <w:rFonts w:ascii="Times New Roman" w:hAnsi="Times New Roman"/>
          <w:sz w:val="21"/>
          <w:szCs w:val="21"/>
          <w:vertAlign w:val="superscript"/>
        </w:rPr>
        <w:t>2</w:t>
      </w:r>
      <w:r>
        <w:rPr>
          <w:rFonts w:ascii="Times New Roman" w:hAnsi="Times New Roman"/>
          <w:sz w:val="21"/>
          <w:szCs w:val="21"/>
        </w:rPr>
        <w:t>）；</w:t>
      </w:r>
    </w:p>
    <w:p>
      <w:pPr>
        <w:pStyle w:val="13"/>
        <w:spacing w:line="288" w:lineRule="auto"/>
        <w:ind w:left="420" w:firstLine="4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ω----窗对计算点形成的立体角（sr）；</w:t>
      </w:r>
    </w:p>
    <w:p>
      <w:pPr>
        <w:pStyle w:val="13"/>
        <w:spacing w:line="288" w:lineRule="auto"/>
        <w:ind w:left="420" w:firstLine="4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Ω----考虑窗位置修正的立体角（sr）；</w:t>
      </w:r>
    </w:p>
    <w:p>
      <w:pPr>
        <w:pStyle w:val="13"/>
        <w:spacing w:line="288" w:lineRule="auto"/>
        <w:ind w:left="420" w:firstLine="4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P ----古斯位置指数</w:t>
      </w:r>
    </w:p>
    <w:p>
      <w:pPr>
        <w:pStyle w:val="13"/>
        <w:spacing w:line="288" w:lineRule="auto"/>
        <w:ind w:left="420" w:firstLine="4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α----窗对角线与窗垂直方向的夹角；</w:t>
      </w:r>
    </w:p>
    <w:p>
      <w:pPr>
        <w:pStyle w:val="13"/>
        <w:spacing w:line="288" w:lineRule="auto"/>
        <w:ind w:left="420" w:firstLine="4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β----观察者眼睛与窗中心点的连线与视线方向的夹角。</w:t>
      </w:r>
    </w:p>
    <w:p>
      <w:pPr>
        <w:pStyle w:val="13"/>
        <w:spacing w:line="360" w:lineRule="auto"/>
        <w:ind w:firstLine="0" w:firstLineChars="0"/>
        <w:jc w:val="center"/>
        <w:rPr>
          <w:sz w:val="21"/>
          <w:szCs w:val="21"/>
        </w:rPr>
      </w:pPr>
      <w:r>
        <w:rPr>
          <w:sz w:val="21"/>
          <w:szCs w:val="21"/>
        </w:rPr>
        <w:drawing>
          <wp:inline distT="0" distB="0" distL="0" distR="0">
            <wp:extent cx="3713480" cy="311912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3480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spacing w:line="360" w:lineRule="auto"/>
        <w:ind w:firstLine="0" w:firstLineChars="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窗的不舒适眩光计算各角度示意图</w:t>
      </w:r>
    </w:p>
    <w:p>
      <w:pPr>
        <w:pStyle w:val="2"/>
        <w:ind w:left="432" w:hanging="432"/>
      </w:pPr>
      <w:bookmarkStart w:id="10" w:name="_Toc70502133"/>
      <w:r>
        <w:rPr>
          <w:rFonts w:hint="eastAsia"/>
        </w:rPr>
        <w:t>计算参数选用</w:t>
      </w:r>
      <w:bookmarkEnd w:id="10"/>
    </w:p>
    <w:p>
      <w:pPr>
        <w:pStyle w:val="4"/>
      </w:pPr>
      <w:bookmarkStart w:id="11" w:name="_Toc70502134"/>
      <w:r>
        <w:rPr>
          <w:rFonts w:hint="eastAsia"/>
        </w:rPr>
        <w:t>模拟条件</w:t>
      </w:r>
      <w:bookmarkEnd w:id="11"/>
    </w:p>
    <w:p>
      <w:pPr>
        <w:pStyle w:val="13"/>
        <w:spacing w:line="420" w:lineRule="auto"/>
        <w:ind w:firstLine="422"/>
        <w:rPr>
          <w:sz w:val="21"/>
          <w:szCs w:val="21"/>
        </w:rPr>
      </w:pPr>
      <w:r>
        <w:rPr>
          <w:rFonts w:hint="eastAsia"/>
          <w:b/>
          <w:sz w:val="21"/>
          <w:szCs w:val="21"/>
        </w:rPr>
        <w:t>天空状态：</w:t>
      </w:r>
      <w:bookmarkStart w:id="12" w:name="天空模型"/>
      <w:r>
        <w:rPr>
          <w:rFonts w:hint="eastAsia"/>
          <w:b/>
          <w:sz w:val="21"/>
          <w:szCs w:val="21"/>
        </w:rPr>
        <w:t>晴天－CIE12（大气清晰）：4月28日 11:12 考虑太阳直射</w:t>
      </w:r>
      <w:bookmarkEnd w:id="12"/>
    </w:p>
    <w:p>
      <w:pPr>
        <w:pStyle w:val="13"/>
        <w:spacing w:line="420" w:lineRule="auto"/>
        <w:ind w:firstLine="422"/>
        <w:rPr>
          <w:sz w:val="21"/>
          <w:szCs w:val="21"/>
        </w:rPr>
      </w:pPr>
      <w:r>
        <w:rPr>
          <w:b/>
          <w:sz w:val="21"/>
          <w:szCs w:val="21"/>
        </w:rPr>
        <w:t>周边环境</w:t>
      </w:r>
      <w:r>
        <w:rPr>
          <w:rFonts w:hint="eastAsia"/>
          <w:b/>
          <w:sz w:val="21"/>
          <w:szCs w:val="21"/>
        </w:rPr>
        <w:t>：</w:t>
      </w:r>
      <w:r>
        <w:rPr>
          <w:sz w:val="21"/>
          <w:szCs w:val="21"/>
        </w:rPr>
        <w:t>考虑</w:t>
      </w:r>
      <w:r>
        <w:rPr>
          <w:rFonts w:hint="eastAsia"/>
          <w:sz w:val="21"/>
          <w:szCs w:val="21"/>
        </w:rPr>
        <w:t>分析区内的</w:t>
      </w:r>
      <w:r>
        <w:rPr>
          <w:sz w:val="21"/>
          <w:szCs w:val="21"/>
        </w:rPr>
        <w:t>建筑物</w:t>
      </w:r>
      <w:r>
        <w:rPr>
          <w:rFonts w:hint="eastAsia"/>
          <w:sz w:val="21"/>
          <w:szCs w:val="21"/>
        </w:rPr>
        <w:t>之间</w:t>
      </w:r>
      <w:r>
        <w:rPr>
          <w:sz w:val="21"/>
          <w:szCs w:val="21"/>
        </w:rPr>
        <w:t>遮挡</w:t>
      </w:r>
    </w:p>
    <w:p>
      <w:pPr>
        <w:pStyle w:val="13"/>
        <w:spacing w:line="420" w:lineRule="auto"/>
        <w:ind w:firstLine="422"/>
        <w:rPr>
          <w:sz w:val="21"/>
          <w:szCs w:val="21"/>
        </w:rPr>
      </w:pPr>
      <w:r>
        <w:rPr>
          <w:rFonts w:hint="eastAsia"/>
          <w:b/>
          <w:sz w:val="21"/>
          <w:szCs w:val="21"/>
        </w:rPr>
        <w:t>室内环境：</w:t>
      </w:r>
      <w:r>
        <w:rPr>
          <w:sz w:val="21"/>
          <w:szCs w:val="21"/>
        </w:rPr>
        <w:t>忽略室内家具</w:t>
      </w:r>
      <w:r>
        <w:rPr>
          <w:rFonts w:hint="eastAsia"/>
          <w:sz w:val="21"/>
          <w:szCs w:val="21"/>
        </w:rPr>
        <w:t>类设施</w:t>
      </w:r>
      <w:r>
        <w:rPr>
          <w:sz w:val="21"/>
          <w:szCs w:val="21"/>
        </w:rPr>
        <w:t>的影响，</w:t>
      </w:r>
      <w:r>
        <w:rPr>
          <w:rFonts w:hint="eastAsia"/>
          <w:sz w:val="21"/>
          <w:szCs w:val="21"/>
        </w:rPr>
        <w:t>只考虑永久固定的顶棚、地面和墙面、</w:t>
      </w:r>
      <w:r>
        <w:rPr>
          <w:sz w:val="21"/>
          <w:szCs w:val="21"/>
        </w:rPr>
        <w:t>。</w:t>
      </w:r>
    </w:p>
    <w:p>
      <w:pPr>
        <w:pStyle w:val="4"/>
      </w:pPr>
      <w:bookmarkStart w:id="13" w:name="_Toc70502135"/>
      <w:r>
        <w:rPr>
          <w:rFonts w:hint="eastAsia"/>
        </w:rPr>
        <w:t>建筑饰面材料参数</w:t>
      </w:r>
      <w:bookmarkEnd w:id="13"/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4"/>
        <w:gridCol w:w="3464"/>
        <w:gridCol w:w="35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9" w:type="dxa"/>
            <w:gridSpan w:val="3"/>
            <w:tcBorders>
              <w:top w:val="single" w:color="auto" w:sz="12" w:space="0"/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宋体" w:hAnsi="宋体"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Cs w:val="18"/>
              </w:rPr>
              <w:t>建筑饰面材料选用与反射比取值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4" w:type="dxa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部位</w:t>
            </w:r>
          </w:p>
        </w:tc>
        <w:tc>
          <w:tcPr>
            <w:tcW w:w="3464" w:type="dxa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反射比材料设计取值</w:t>
            </w:r>
          </w:p>
        </w:tc>
        <w:tc>
          <w:tcPr>
            <w:tcW w:w="3531" w:type="dxa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顶棚</w:t>
            </w:r>
          </w:p>
        </w:tc>
        <w:tc>
          <w:tcPr>
            <w:tcW w:w="346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18"/>
              </w:rPr>
            </w:pPr>
            <w:bookmarkStart w:id="14" w:name="顶棚反射比"/>
            <w:r>
              <w:rPr>
                <w:rFonts w:hint="eastAsia"/>
                <w:szCs w:val="18"/>
              </w:rPr>
              <w:t>0.75</w:t>
            </w:r>
            <w:bookmarkEnd w:id="14"/>
          </w:p>
        </w:tc>
        <w:tc>
          <w:tcPr>
            <w:tcW w:w="353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地面</w:t>
            </w:r>
          </w:p>
        </w:tc>
        <w:tc>
          <w:tcPr>
            <w:tcW w:w="346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18"/>
              </w:rPr>
            </w:pPr>
            <w:bookmarkStart w:id="15" w:name="地面反射比"/>
            <w:r>
              <w:rPr>
                <w:rFonts w:hint="eastAsia"/>
                <w:szCs w:val="18"/>
              </w:rPr>
              <w:t>0.30</w:t>
            </w:r>
            <w:bookmarkEnd w:id="15"/>
          </w:p>
        </w:tc>
        <w:tc>
          <w:tcPr>
            <w:tcW w:w="353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墙面</w:t>
            </w:r>
          </w:p>
        </w:tc>
        <w:tc>
          <w:tcPr>
            <w:tcW w:w="346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18"/>
              </w:rPr>
            </w:pPr>
            <w:bookmarkStart w:id="16" w:name="墙面反射比"/>
            <w:r>
              <w:rPr>
                <w:rFonts w:hint="eastAsia"/>
                <w:szCs w:val="18"/>
              </w:rPr>
              <w:t>0.60</w:t>
            </w:r>
            <w:bookmarkEnd w:id="16"/>
          </w:p>
        </w:tc>
        <w:tc>
          <w:tcPr>
            <w:tcW w:w="353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外表面</w:t>
            </w:r>
          </w:p>
        </w:tc>
        <w:tc>
          <w:tcPr>
            <w:tcW w:w="346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18"/>
              </w:rPr>
            </w:pPr>
            <w:bookmarkStart w:id="17" w:name="外表面反射比"/>
            <w:r>
              <w:rPr>
                <w:rFonts w:hint="eastAsia"/>
                <w:szCs w:val="18"/>
              </w:rPr>
              <w:t>0.50</w:t>
            </w:r>
            <w:bookmarkEnd w:id="17"/>
          </w:p>
        </w:tc>
        <w:tc>
          <w:tcPr>
            <w:tcW w:w="353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18"/>
              </w:rPr>
            </w:pPr>
          </w:p>
        </w:tc>
      </w:tr>
    </w:tbl>
    <w:p>
      <w:pPr>
        <w:pStyle w:val="13"/>
        <w:spacing w:line="360" w:lineRule="auto"/>
        <w:ind w:firstLine="360"/>
        <w:rPr>
          <w:sz w:val="18"/>
          <w:szCs w:val="18"/>
        </w:rPr>
      </w:pPr>
      <w:r>
        <w:rPr>
          <w:sz w:val="18"/>
          <w:szCs w:val="18"/>
        </w:rPr>
        <w:t>注</w:t>
      </w:r>
      <w:r>
        <w:rPr>
          <w:rFonts w:hint="eastAsia"/>
          <w:sz w:val="18"/>
          <w:szCs w:val="18"/>
        </w:rPr>
        <w:t>1</w:t>
      </w:r>
      <w:r>
        <w:rPr>
          <w:sz w:val="18"/>
          <w:szCs w:val="18"/>
        </w:rPr>
        <w:t>：</w:t>
      </w:r>
      <w:r>
        <w:rPr>
          <w:rFonts w:hint="eastAsia"/>
          <w:sz w:val="18"/>
          <w:szCs w:val="18"/>
        </w:rPr>
        <w:t>数据参考自：《建筑采光设计标准》</w:t>
      </w:r>
      <w:r>
        <w:rPr>
          <w:sz w:val="18"/>
          <w:szCs w:val="18"/>
        </w:rPr>
        <w:t>GB50033-2013</w:t>
      </w:r>
      <w:r>
        <w:rPr>
          <w:rFonts w:hint="eastAsia"/>
          <w:sz w:val="18"/>
          <w:szCs w:val="18"/>
        </w:rPr>
        <w:t>附录</w:t>
      </w:r>
      <w:r>
        <w:rPr>
          <w:sz w:val="18"/>
          <w:szCs w:val="18"/>
        </w:rPr>
        <w:t>D</w:t>
      </w:r>
      <w:r>
        <w:rPr>
          <w:rFonts w:hint="eastAsia"/>
          <w:sz w:val="18"/>
          <w:szCs w:val="18"/>
        </w:rPr>
        <w:t xml:space="preserve"> 表D.0.5；</w:t>
      </w:r>
      <w:r>
        <w:rPr>
          <w:rFonts w:hint="eastAsia"/>
          <w:szCs w:val="21"/>
        </w:rPr>
        <w:tab/>
      </w:r>
    </w:p>
    <w:p>
      <w:pPr>
        <w:pStyle w:val="4"/>
      </w:pPr>
      <w:bookmarkStart w:id="18" w:name="_Toc70502136"/>
      <w:r>
        <w:rPr>
          <w:rFonts w:hint="eastAsia"/>
        </w:rPr>
        <w:t>门窗类型参数</w:t>
      </w:r>
      <w:bookmarkEnd w:id="18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窗</w:t>
      </w:r>
      <w:r>
        <w:rPr>
          <w:lang w:val="en-US"/>
        </w:rPr>
        <w:t>的不舒适眩光是评价采光质量的重要指标，在计算眩光指数时，窗以及透光门都会结果产生影响，本章</w:t>
      </w:r>
      <w:r>
        <w:rPr>
          <w:rFonts w:hint="eastAsia"/>
          <w:lang w:val="en-US"/>
        </w:rPr>
        <w:t>对</w:t>
      </w:r>
      <w:r>
        <w:rPr>
          <w:lang w:val="en-US"/>
        </w:rPr>
        <w:t>计算中必要的门窗参数</w:t>
      </w:r>
      <w:r>
        <w:rPr>
          <w:rFonts w:hint="eastAsia"/>
          <w:lang w:val="en-US"/>
        </w:rPr>
        <w:t>进行</w:t>
      </w:r>
      <w:r>
        <w:rPr>
          <w:lang w:val="en-US"/>
        </w:rPr>
        <w:t>统计</w:t>
      </w:r>
      <w:r>
        <w:rPr>
          <w:rFonts w:hint="eastAsia"/>
          <w:lang w:val="en-US"/>
        </w:rPr>
        <w:t>。</w:t>
      </w:r>
    </w:p>
    <w:p>
      <w:pPr>
        <w:pStyle w:val="3"/>
        <w:ind w:firstLine="0" w:firstLineChars="0"/>
        <w:rPr>
          <w:rFonts w:ascii="宋体" w:hAnsi="宋体"/>
          <w:sz w:val="18"/>
          <w:szCs w:val="18"/>
          <w:lang w:val="en-US"/>
        </w:rPr>
      </w:pPr>
    </w:p>
    <w:p>
      <w:pPr>
        <w:pStyle w:val="5"/>
      </w:pPr>
      <w:bookmarkStart w:id="19" w:name="_Toc70502137"/>
      <w:bookmarkStart w:id="20" w:name="窗"/>
      <w:r>
        <w:t>普通</w:t>
      </w:r>
      <w:r>
        <w:rPr>
          <w:rFonts w:hint="eastAsia"/>
        </w:rPr>
        <w:t>窗</w:t>
      </w:r>
      <w:bookmarkEnd w:id="19"/>
    </w:p>
    <w:bookmarkEnd w:id="20"/>
    <w:tbl>
      <w:tblPr>
        <w:tblStyle w:val="19"/>
        <w:tblW w:w="922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246"/>
        <w:gridCol w:w="1245"/>
        <w:gridCol w:w="1301"/>
        <w:gridCol w:w="1301"/>
        <w:gridCol w:w="1358"/>
        <w:gridCol w:w="135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1245" w:type="dxa"/>
            <w:shd w:val="clear" w:color="auto" w:fill="E6E6E6"/>
            <w:vAlign w:val="center"/>
          </w:tcPr>
          <w:p>
            <w:pPr>
              <w:jc w:val="center"/>
            </w:pPr>
            <w:r>
              <w:t>宽度(mm)</w:t>
            </w:r>
          </w:p>
        </w:tc>
        <w:tc>
          <w:tcPr>
            <w:tcW w:w="1245" w:type="dxa"/>
            <w:shd w:val="clear" w:color="auto" w:fill="E6E6E6"/>
            <w:vAlign w:val="center"/>
          </w:tcPr>
          <w:p>
            <w:pPr>
              <w:jc w:val="center"/>
            </w:pPr>
            <w:r>
              <w:t>高度(mm)</w:t>
            </w:r>
          </w:p>
        </w:tc>
        <w:tc>
          <w:tcPr>
            <w:tcW w:w="1301" w:type="dxa"/>
            <w:shd w:val="clear" w:color="auto" w:fill="E6E6E6"/>
            <w:vAlign w:val="center"/>
          </w:tcPr>
          <w:p>
            <w:pPr>
              <w:jc w:val="center"/>
            </w:pPr>
            <w:r>
              <w:t>窗框类型</w:t>
            </w:r>
          </w:p>
        </w:tc>
        <w:tc>
          <w:tcPr>
            <w:tcW w:w="1301" w:type="dxa"/>
            <w:shd w:val="clear" w:color="auto" w:fill="E6E6E6"/>
            <w:vAlign w:val="center"/>
          </w:tcPr>
          <w:p>
            <w:pPr>
              <w:jc w:val="center"/>
            </w:pPr>
            <w:r>
              <w:t>玻璃类型</w:t>
            </w:r>
          </w:p>
        </w:tc>
        <w:tc>
          <w:tcPr>
            <w:tcW w:w="1358" w:type="dxa"/>
            <w:shd w:val="clear" w:color="auto" w:fill="E6E6E6"/>
            <w:vAlign w:val="center"/>
          </w:tcPr>
          <w:p>
            <w:pPr>
              <w:jc w:val="center"/>
            </w:pPr>
            <w:r>
              <w:t>可见光透射比</w:t>
            </w:r>
          </w:p>
        </w:tc>
        <w:tc>
          <w:tcPr>
            <w:tcW w:w="1358" w:type="dxa"/>
            <w:shd w:val="clear" w:color="auto" w:fill="E6E6E6"/>
            <w:vAlign w:val="center"/>
          </w:tcPr>
          <w:p>
            <w:pPr>
              <w:jc w:val="center"/>
            </w:pPr>
            <w:r>
              <w:t>玻璃反射比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vAlign w:val="center"/>
          </w:tcPr>
          <w:p/>
        </w:tc>
        <w:tc>
          <w:tcPr>
            <w:tcW w:w="1245" w:type="dxa"/>
            <w:vAlign w:val="center"/>
          </w:tcPr>
          <w:p>
            <w:r>
              <w:t>1300</w:t>
            </w:r>
          </w:p>
        </w:tc>
        <w:tc>
          <w:tcPr>
            <w:tcW w:w="1245" w:type="dxa"/>
            <w:vAlign w:val="center"/>
          </w:tcPr>
          <w:p>
            <w:r>
              <w:t>2000</w:t>
            </w:r>
          </w:p>
        </w:tc>
        <w:tc>
          <w:tcPr>
            <w:tcW w:w="1301" w:type="dxa"/>
            <w:vAlign w:val="center"/>
          </w:tcPr>
          <w:p>
            <w:r>
              <w:t>单层铝窗</w:t>
            </w:r>
          </w:p>
        </w:tc>
        <w:tc>
          <w:tcPr>
            <w:tcW w:w="1301" w:type="dxa"/>
            <w:vAlign w:val="center"/>
          </w:tcPr>
          <w:p>
            <w:r>
              <w:t>高透Low-E</w:t>
            </w:r>
          </w:p>
        </w:tc>
        <w:tc>
          <w:tcPr>
            <w:tcW w:w="1358" w:type="dxa"/>
            <w:vAlign w:val="center"/>
          </w:tcPr>
          <w:p>
            <w:r>
              <w:t>0.76</w:t>
            </w:r>
          </w:p>
        </w:tc>
        <w:tc>
          <w:tcPr>
            <w:tcW w:w="1358" w:type="dxa"/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vAlign w:val="center"/>
          </w:tcPr>
          <w:p>
            <w:r>
              <w:t>C1220</w:t>
            </w:r>
          </w:p>
        </w:tc>
        <w:tc>
          <w:tcPr>
            <w:tcW w:w="1245" w:type="dxa"/>
            <w:vAlign w:val="center"/>
          </w:tcPr>
          <w:p>
            <w:r>
              <w:t>1200</w:t>
            </w:r>
          </w:p>
        </w:tc>
        <w:tc>
          <w:tcPr>
            <w:tcW w:w="1245" w:type="dxa"/>
            <w:vAlign w:val="center"/>
          </w:tcPr>
          <w:p>
            <w:r>
              <w:t>2000</w:t>
            </w:r>
          </w:p>
        </w:tc>
        <w:tc>
          <w:tcPr>
            <w:tcW w:w="1301" w:type="dxa"/>
            <w:vAlign w:val="center"/>
          </w:tcPr>
          <w:p>
            <w:r>
              <w:t>单层铝窗</w:t>
            </w:r>
          </w:p>
        </w:tc>
        <w:tc>
          <w:tcPr>
            <w:tcW w:w="1301" w:type="dxa"/>
            <w:vAlign w:val="center"/>
          </w:tcPr>
          <w:p>
            <w:r>
              <w:t>高透Low-E</w:t>
            </w:r>
          </w:p>
        </w:tc>
        <w:tc>
          <w:tcPr>
            <w:tcW w:w="1358" w:type="dxa"/>
            <w:vAlign w:val="center"/>
          </w:tcPr>
          <w:p>
            <w:r>
              <w:t>0.76</w:t>
            </w:r>
          </w:p>
        </w:tc>
        <w:tc>
          <w:tcPr>
            <w:tcW w:w="1358" w:type="dxa"/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vAlign w:val="center"/>
          </w:tcPr>
          <w:p>
            <w:r>
              <w:t>C14020</w:t>
            </w:r>
          </w:p>
        </w:tc>
        <w:tc>
          <w:tcPr>
            <w:tcW w:w="1245" w:type="dxa"/>
            <w:vAlign w:val="center"/>
          </w:tcPr>
          <w:p>
            <w:r>
              <w:t>14000</w:t>
            </w:r>
          </w:p>
        </w:tc>
        <w:tc>
          <w:tcPr>
            <w:tcW w:w="1245" w:type="dxa"/>
            <w:vAlign w:val="center"/>
          </w:tcPr>
          <w:p>
            <w:r>
              <w:t>2000</w:t>
            </w:r>
          </w:p>
        </w:tc>
        <w:tc>
          <w:tcPr>
            <w:tcW w:w="1301" w:type="dxa"/>
            <w:vAlign w:val="center"/>
          </w:tcPr>
          <w:p>
            <w:r>
              <w:t>单层铝窗</w:t>
            </w:r>
          </w:p>
        </w:tc>
        <w:tc>
          <w:tcPr>
            <w:tcW w:w="1301" w:type="dxa"/>
            <w:vAlign w:val="center"/>
          </w:tcPr>
          <w:p>
            <w:r>
              <w:t>高透Low-E</w:t>
            </w:r>
          </w:p>
        </w:tc>
        <w:tc>
          <w:tcPr>
            <w:tcW w:w="1358" w:type="dxa"/>
            <w:vAlign w:val="center"/>
          </w:tcPr>
          <w:p>
            <w:r>
              <w:t>0.76</w:t>
            </w:r>
          </w:p>
        </w:tc>
        <w:tc>
          <w:tcPr>
            <w:tcW w:w="1358" w:type="dxa"/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vAlign w:val="center"/>
          </w:tcPr>
          <w:p>
            <w:r>
              <w:t>C1410</w:t>
            </w:r>
          </w:p>
        </w:tc>
        <w:tc>
          <w:tcPr>
            <w:tcW w:w="1245" w:type="dxa"/>
            <w:vAlign w:val="center"/>
          </w:tcPr>
          <w:p>
            <w:r>
              <w:t>1400</w:t>
            </w:r>
          </w:p>
        </w:tc>
        <w:tc>
          <w:tcPr>
            <w:tcW w:w="1245" w:type="dxa"/>
            <w:vAlign w:val="center"/>
          </w:tcPr>
          <w:p>
            <w:r>
              <w:t>1000</w:t>
            </w:r>
          </w:p>
        </w:tc>
        <w:tc>
          <w:tcPr>
            <w:tcW w:w="1301" w:type="dxa"/>
            <w:vAlign w:val="center"/>
          </w:tcPr>
          <w:p>
            <w:r>
              <w:t>单层铝窗</w:t>
            </w:r>
          </w:p>
        </w:tc>
        <w:tc>
          <w:tcPr>
            <w:tcW w:w="1301" w:type="dxa"/>
            <w:vAlign w:val="center"/>
          </w:tcPr>
          <w:p>
            <w:r>
              <w:t>高透Low-E</w:t>
            </w:r>
          </w:p>
        </w:tc>
        <w:tc>
          <w:tcPr>
            <w:tcW w:w="1358" w:type="dxa"/>
            <w:vAlign w:val="center"/>
          </w:tcPr>
          <w:p>
            <w:r>
              <w:t>0.76</w:t>
            </w:r>
          </w:p>
        </w:tc>
        <w:tc>
          <w:tcPr>
            <w:tcW w:w="1358" w:type="dxa"/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vAlign w:val="center"/>
          </w:tcPr>
          <w:p>
            <w:r>
              <w:t>C1515</w:t>
            </w:r>
          </w:p>
        </w:tc>
        <w:tc>
          <w:tcPr>
            <w:tcW w:w="1245" w:type="dxa"/>
            <w:vAlign w:val="center"/>
          </w:tcPr>
          <w:p>
            <w:r>
              <w:t>1500</w:t>
            </w:r>
          </w:p>
        </w:tc>
        <w:tc>
          <w:tcPr>
            <w:tcW w:w="1245" w:type="dxa"/>
            <w:vAlign w:val="center"/>
          </w:tcPr>
          <w:p>
            <w:r>
              <w:t>1500</w:t>
            </w:r>
          </w:p>
        </w:tc>
        <w:tc>
          <w:tcPr>
            <w:tcW w:w="1301" w:type="dxa"/>
            <w:vAlign w:val="center"/>
          </w:tcPr>
          <w:p>
            <w:r>
              <w:t>单层铝窗</w:t>
            </w:r>
          </w:p>
        </w:tc>
        <w:tc>
          <w:tcPr>
            <w:tcW w:w="1301" w:type="dxa"/>
            <w:vAlign w:val="center"/>
          </w:tcPr>
          <w:p>
            <w:r>
              <w:t>高透Low-E</w:t>
            </w:r>
          </w:p>
        </w:tc>
        <w:tc>
          <w:tcPr>
            <w:tcW w:w="1358" w:type="dxa"/>
            <w:vAlign w:val="center"/>
          </w:tcPr>
          <w:p>
            <w:r>
              <w:t>0.76</w:t>
            </w:r>
          </w:p>
        </w:tc>
        <w:tc>
          <w:tcPr>
            <w:tcW w:w="1358" w:type="dxa"/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vAlign w:val="center"/>
          </w:tcPr>
          <w:p>
            <w:r>
              <w:t>C1529</w:t>
            </w:r>
          </w:p>
        </w:tc>
        <w:tc>
          <w:tcPr>
            <w:tcW w:w="1245" w:type="dxa"/>
            <w:vAlign w:val="center"/>
          </w:tcPr>
          <w:p>
            <w:r>
              <w:t>1500</w:t>
            </w:r>
          </w:p>
        </w:tc>
        <w:tc>
          <w:tcPr>
            <w:tcW w:w="1245" w:type="dxa"/>
            <w:vAlign w:val="center"/>
          </w:tcPr>
          <w:p>
            <w:r>
              <w:t>2900</w:t>
            </w:r>
          </w:p>
        </w:tc>
        <w:tc>
          <w:tcPr>
            <w:tcW w:w="1301" w:type="dxa"/>
            <w:vAlign w:val="center"/>
          </w:tcPr>
          <w:p>
            <w:r>
              <w:t>单层铝窗</w:t>
            </w:r>
          </w:p>
        </w:tc>
        <w:tc>
          <w:tcPr>
            <w:tcW w:w="1301" w:type="dxa"/>
            <w:vAlign w:val="center"/>
          </w:tcPr>
          <w:p>
            <w:r>
              <w:t>高透Low-E</w:t>
            </w:r>
          </w:p>
        </w:tc>
        <w:tc>
          <w:tcPr>
            <w:tcW w:w="1358" w:type="dxa"/>
            <w:vAlign w:val="center"/>
          </w:tcPr>
          <w:p>
            <w:r>
              <w:t>0.76</w:t>
            </w:r>
          </w:p>
        </w:tc>
        <w:tc>
          <w:tcPr>
            <w:tcW w:w="1358" w:type="dxa"/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vAlign w:val="center"/>
          </w:tcPr>
          <w:p>
            <w:r>
              <w:t>C1543</w:t>
            </w:r>
          </w:p>
        </w:tc>
        <w:tc>
          <w:tcPr>
            <w:tcW w:w="1245" w:type="dxa"/>
            <w:vAlign w:val="center"/>
          </w:tcPr>
          <w:p>
            <w:r>
              <w:t>1500</w:t>
            </w:r>
          </w:p>
        </w:tc>
        <w:tc>
          <w:tcPr>
            <w:tcW w:w="1245" w:type="dxa"/>
            <w:vAlign w:val="center"/>
          </w:tcPr>
          <w:p>
            <w:r>
              <w:t>4300</w:t>
            </w:r>
          </w:p>
        </w:tc>
        <w:tc>
          <w:tcPr>
            <w:tcW w:w="1301" w:type="dxa"/>
            <w:vAlign w:val="center"/>
          </w:tcPr>
          <w:p>
            <w:r>
              <w:t>单层铝窗</w:t>
            </w:r>
          </w:p>
        </w:tc>
        <w:tc>
          <w:tcPr>
            <w:tcW w:w="1301" w:type="dxa"/>
            <w:vAlign w:val="center"/>
          </w:tcPr>
          <w:p>
            <w:r>
              <w:t>高透Low-E</w:t>
            </w:r>
          </w:p>
        </w:tc>
        <w:tc>
          <w:tcPr>
            <w:tcW w:w="1358" w:type="dxa"/>
            <w:vAlign w:val="center"/>
          </w:tcPr>
          <w:p>
            <w:r>
              <w:t>0.76</w:t>
            </w:r>
          </w:p>
        </w:tc>
        <w:tc>
          <w:tcPr>
            <w:tcW w:w="1358" w:type="dxa"/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vAlign w:val="center"/>
          </w:tcPr>
          <w:p>
            <w:r>
              <w:t>C1629</w:t>
            </w:r>
          </w:p>
        </w:tc>
        <w:tc>
          <w:tcPr>
            <w:tcW w:w="1245" w:type="dxa"/>
            <w:vAlign w:val="center"/>
          </w:tcPr>
          <w:p>
            <w:r>
              <w:t>1600</w:t>
            </w:r>
          </w:p>
        </w:tc>
        <w:tc>
          <w:tcPr>
            <w:tcW w:w="1245" w:type="dxa"/>
            <w:vAlign w:val="center"/>
          </w:tcPr>
          <w:p>
            <w:r>
              <w:t>2900</w:t>
            </w:r>
          </w:p>
        </w:tc>
        <w:tc>
          <w:tcPr>
            <w:tcW w:w="1301" w:type="dxa"/>
            <w:vAlign w:val="center"/>
          </w:tcPr>
          <w:p>
            <w:r>
              <w:t>单层铝窗</w:t>
            </w:r>
          </w:p>
        </w:tc>
        <w:tc>
          <w:tcPr>
            <w:tcW w:w="1301" w:type="dxa"/>
            <w:vAlign w:val="center"/>
          </w:tcPr>
          <w:p>
            <w:r>
              <w:t>高透Low-E</w:t>
            </w:r>
          </w:p>
        </w:tc>
        <w:tc>
          <w:tcPr>
            <w:tcW w:w="1358" w:type="dxa"/>
            <w:vAlign w:val="center"/>
          </w:tcPr>
          <w:p>
            <w:r>
              <w:t>0.76</w:t>
            </w:r>
          </w:p>
        </w:tc>
        <w:tc>
          <w:tcPr>
            <w:tcW w:w="1358" w:type="dxa"/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vAlign w:val="center"/>
          </w:tcPr>
          <w:p>
            <w:r>
              <w:t>C1629a</w:t>
            </w:r>
          </w:p>
        </w:tc>
        <w:tc>
          <w:tcPr>
            <w:tcW w:w="1245" w:type="dxa"/>
            <w:vAlign w:val="center"/>
          </w:tcPr>
          <w:p>
            <w:r>
              <w:t>1600</w:t>
            </w:r>
          </w:p>
        </w:tc>
        <w:tc>
          <w:tcPr>
            <w:tcW w:w="1245" w:type="dxa"/>
            <w:vAlign w:val="center"/>
          </w:tcPr>
          <w:p>
            <w:r>
              <w:t>2900</w:t>
            </w:r>
          </w:p>
        </w:tc>
        <w:tc>
          <w:tcPr>
            <w:tcW w:w="1301" w:type="dxa"/>
            <w:vAlign w:val="center"/>
          </w:tcPr>
          <w:p>
            <w:r>
              <w:t>单层铝窗</w:t>
            </w:r>
          </w:p>
        </w:tc>
        <w:tc>
          <w:tcPr>
            <w:tcW w:w="1301" w:type="dxa"/>
            <w:vAlign w:val="center"/>
          </w:tcPr>
          <w:p>
            <w:r>
              <w:t>高透Low-E</w:t>
            </w:r>
          </w:p>
        </w:tc>
        <w:tc>
          <w:tcPr>
            <w:tcW w:w="1358" w:type="dxa"/>
            <w:vAlign w:val="center"/>
          </w:tcPr>
          <w:p>
            <w:r>
              <w:t>0.76</w:t>
            </w:r>
          </w:p>
        </w:tc>
        <w:tc>
          <w:tcPr>
            <w:tcW w:w="1358" w:type="dxa"/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vAlign w:val="center"/>
          </w:tcPr>
          <w:p>
            <w:r>
              <w:t>C1643</w:t>
            </w:r>
          </w:p>
        </w:tc>
        <w:tc>
          <w:tcPr>
            <w:tcW w:w="1245" w:type="dxa"/>
            <w:vAlign w:val="center"/>
          </w:tcPr>
          <w:p>
            <w:r>
              <w:t>1600</w:t>
            </w:r>
          </w:p>
        </w:tc>
        <w:tc>
          <w:tcPr>
            <w:tcW w:w="1245" w:type="dxa"/>
            <w:vAlign w:val="center"/>
          </w:tcPr>
          <w:p>
            <w:r>
              <w:t>2900</w:t>
            </w:r>
          </w:p>
        </w:tc>
        <w:tc>
          <w:tcPr>
            <w:tcW w:w="1301" w:type="dxa"/>
            <w:vAlign w:val="center"/>
          </w:tcPr>
          <w:p>
            <w:r>
              <w:t>单层铝窗</w:t>
            </w:r>
          </w:p>
        </w:tc>
        <w:tc>
          <w:tcPr>
            <w:tcW w:w="1301" w:type="dxa"/>
            <w:vAlign w:val="center"/>
          </w:tcPr>
          <w:p>
            <w:r>
              <w:t>高透Low-E</w:t>
            </w:r>
          </w:p>
        </w:tc>
        <w:tc>
          <w:tcPr>
            <w:tcW w:w="1358" w:type="dxa"/>
            <w:vAlign w:val="center"/>
          </w:tcPr>
          <w:p>
            <w:r>
              <w:t>0.76</w:t>
            </w:r>
          </w:p>
        </w:tc>
        <w:tc>
          <w:tcPr>
            <w:tcW w:w="1358" w:type="dxa"/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vAlign w:val="center"/>
          </w:tcPr>
          <w:p>
            <w:r>
              <w:t>C1929</w:t>
            </w:r>
          </w:p>
        </w:tc>
        <w:tc>
          <w:tcPr>
            <w:tcW w:w="1245" w:type="dxa"/>
            <w:vAlign w:val="center"/>
          </w:tcPr>
          <w:p>
            <w:r>
              <w:t>1900</w:t>
            </w:r>
          </w:p>
        </w:tc>
        <w:tc>
          <w:tcPr>
            <w:tcW w:w="1245" w:type="dxa"/>
            <w:vAlign w:val="center"/>
          </w:tcPr>
          <w:p>
            <w:r>
              <w:t>2900</w:t>
            </w:r>
          </w:p>
        </w:tc>
        <w:tc>
          <w:tcPr>
            <w:tcW w:w="1301" w:type="dxa"/>
            <w:vAlign w:val="center"/>
          </w:tcPr>
          <w:p>
            <w:r>
              <w:t>单层铝窗</w:t>
            </w:r>
          </w:p>
        </w:tc>
        <w:tc>
          <w:tcPr>
            <w:tcW w:w="1301" w:type="dxa"/>
            <w:vAlign w:val="center"/>
          </w:tcPr>
          <w:p>
            <w:r>
              <w:t>高透Low-E</w:t>
            </w:r>
          </w:p>
        </w:tc>
        <w:tc>
          <w:tcPr>
            <w:tcW w:w="1358" w:type="dxa"/>
            <w:vAlign w:val="center"/>
          </w:tcPr>
          <w:p>
            <w:r>
              <w:t>0.76</w:t>
            </w:r>
          </w:p>
        </w:tc>
        <w:tc>
          <w:tcPr>
            <w:tcW w:w="1358" w:type="dxa"/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vAlign w:val="center"/>
          </w:tcPr>
          <w:p>
            <w:r>
              <w:t>C2129</w:t>
            </w:r>
          </w:p>
        </w:tc>
        <w:tc>
          <w:tcPr>
            <w:tcW w:w="1245" w:type="dxa"/>
            <w:vAlign w:val="center"/>
          </w:tcPr>
          <w:p>
            <w:r>
              <w:t>2100</w:t>
            </w:r>
          </w:p>
        </w:tc>
        <w:tc>
          <w:tcPr>
            <w:tcW w:w="1245" w:type="dxa"/>
            <w:vAlign w:val="center"/>
          </w:tcPr>
          <w:p>
            <w:r>
              <w:t>2900</w:t>
            </w:r>
          </w:p>
        </w:tc>
        <w:tc>
          <w:tcPr>
            <w:tcW w:w="1301" w:type="dxa"/>
            <w:vAlign w:val="center"/>
          </w:tcPr>
          <w:p>
            <w:r>
              <w:t>单层铝窗</w:t>
            </w:r>
          </w:p>
        </w:tc>
        <w:tc>
          <w:tcPr>
            <w:tcW w:w="1301" w:type="dxa"/>
            <w:vAlign w:val="center"/>
          </w:tcPr>
          <w:p>
            <w:r>
              <w:t>高透Low-E</w:t>
            </w:r>
          </w:p>
        </w:tc>
        <w:tc>
          <w:tcPr>
            <w:tcW w:w="1358" w:type="dxa"/>
            <w:vAlign w:val="center"/>
          </w:tcPr>
          <w:p>
            <w:r>
              <w:t>0.76</w:t>
            </w:r>
          </w:p>
        </w:tc>
        <w:tc>
          <w:tcPr>
            <w:tcW w:w="1358" w:type="dxa"/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vAlign w:val="center"/>
          </w:tcPr>
          <w:p>
            <w:r>
              <w:t>C2129a</w:t>
            </w:r>
          </w:p>
        </w:tc>
        <w:tc>
          <w:tcPr>
            <w:tcW w:w="1245" w:type="dxa"/>
            <w:vAlign w:val="center"/>
          </w:tcPr>
          <w:p>
            <w:r>
              <w:t>2100</w:t>
            </w:r>
          </w:p>
        </w:tc>
        <w:tc>
          <w:tcPr>
            <w:tcW w:w="1245" w:type="dxa"/>
            <w:vAlign w:val="center"/>
          </w:tcPr>
          <w:p>
            <w:r>
              <w:t>2900</w:t>
            </w:r>
          </w:p>
        </w:tc>
        <w:tc>
          <w:tcPr>
            <w:tcW w:w="1301" w:type="dxa"/>
            <w:vAlign w:val="center"/>
          </w:tcPr>
          <w:p>
            <w:r>
              <w:t>单层铝窗</w:t>
            </w:r>
          </w:p>
        </w:tc>
        <w:tc>
          <w:tcPr>
            <w:tcW w:w="1301" w:type="dxa"/>
            <w:vAlign w:val="center"/>
          </w:tcPr>
          <w:p>
            <w:r>
              <w:t>高透Low-E</w:t>
            </w:r>
          </w:p>
        </w:tc>
        <w:tc>
          <w:tcPr>
            <w:tcW w:w="1358" w:type="dxa"/>
            <w:vAlign w:val="center"/>
          </w:tcPr>
          <w:p>
            <w:r>
              <w:t>0.76</w:t>
            </w:r>
          </w:p>
        </w:tc>
        <w:tc>
          <w:tcPr>
            <w:tcW w:w="1358" w:type="dxa"/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vAlign w:val="center"/>
          </w:tcPr>
          <w:p>
            <w:r>
              <w:t>C2143</w:t>
            </w:r>
          </w:p>
        </w:tc>
        <w:tc>
          <w:tcPr>
            <w:tcW w:w="1245" w:type="dxa"/>
            <w:vAlign w:val="center"/>
          </w:tcPr>
          <w:p>
            <w:r>
              <w:t>2100</w:t>
            </w:r>
          </w:p>
        </w:tc>
        <w:tc>
          <w:tcPr>
            <w:tcW w:w="1245" w:type="dxa"/>
            <w:vAlign w:val="center"/>
          </w:tcPr>
          <w:p>
            <w:r>
              <w:t>3700</w:t>
            </w:r>
          </w:p>
        </w:tc>
        <w:tc>
          <w:tcPr>
            <w:tcW w:w="1301" w:type="dxa"/>
            <w:vAlign w:val="center"/>
          </w:tcPr>
          <w:p>
            <w:r>
              <w:t>单层铝窗</w:t>
            </w:r>
          </w:p>
        </w:tc>
        <w:tc>
          <w:tcPr>
            <w:tcW w:w="1301" w:type="dxa"/>
            <w:vAlign w:val="center"/>
          </w:tcPr>
          <w:p>
            <w:r>
              <w:t>高透Low-E</w:t>
            </w:r>
          </w:p>
        </w:tc>
        <w:tc>
          <w:tcPr>
            <w:tcW w:w="1358" w:type="dxa"/>
            <w:vAlign w:val="center"/>
          </w:tcPr>
          <w:p>
            <w:r>
              <w:t>0.76</w:t>
            </w:r>
          </w:p>
        </w:tc>
        <w:tc>
          <w:tcPr>
            <w:tcW w:w="1358" w:type="dxa"/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vAlign w:val="center"/>
          </w:tcPr>
          <w:p>
            <w:r>
              <w:t>C37420</w:t>
            </w:r>
          </w:p>
        </w:tc>
        <w:tc>
          <w:tcPr>
            <w:tcW w:w="1245" w:type="dxa"/>
            <w:vAlign w:val="center"/>
          </w:tcPr>
          <w:p>
            <w:r>
              <w:t>37420</w:t>
            </w:r>
          </w:p>
        </w:tc>
        <w:tc>
          <w:tcPr>
            <w:tcW w:w="1245" w:type="dxa"/>
            <w:vAlign w:val="center"/>
          </w:tcPr>
          <w:p>
            <w:r>
              <w:t>2000</w:t>
            </w:r>
          </w:p>
        </w:tc>
        <w:tc>
          <w:tcPr>
            <w:tcW w:w="1301" w:type="dxa"/>
            <w:vAlign w:val="center"/>
          </w:tcPr>
          <w:p>
            <w:r>
              <w:t>单层铝窗</w:t>
            </w:r>
          </w:p>
        </w:tc>
        <w:tc>
          <w:tcPr>
            <w:tcW w:w="1301" w:type="dxa"/>
            <w:vAlign w:val="center"/>
          </w:tcPr>
          <w:p>
            <w:r>
              <w:t>高透Low-E</w:t>
            </w:r>
          </w:p>
        </w:tc>
        <w:tc>
          <w:tcPr>
            <w:tcW w:w="1358" w:type="dxa"/>
            <w:vAlign w:val="center"/>
          </w:tcPr>
          <w:p>
            <w:r>
              <w:t>0.76</w:t>
            </w:r>
          </w:p>
        </w:tc>
        <w:tc>
          <w:tcPr>
            <w:tcW w:w="1358" w:type="dxa"/>
            <w:vAlign w:val="center"/>
          </w:tcPr>
          <w:p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vAlign w:val="center"/>
          </w:tcPr>
          <w:p>
            <w:r>
              <w:t>C4829</w:t>
            </w:r>
          </w:p>
        </w:tc>
        <w:tc>
          <w:tcPr>
            <w:tcW w:w="1245" w:type="dxa"/>
            <w:vAlign w:val="center"/>
          </w:tcPr>
          <w:p>
            <w:r>
              <w:t>4800</w:t>
            </w:r>
          </w:p>
        </w:tc>
        <w:tc>
          <w:tcPr>
            <w:tcW w:w="1245" w:type="dxa"/>
            <w:vAlign w:val="center"/>
          </w:tcPr>
          <w:p>
            <w:r>
              <w:t>2900</w:t>
            </w:r>
          </w:p>
        </w:tc>
        <w:tc>
          <w:tcPr>
            <w:tcW w:w="1301" w:type="dxa"/>
            <w:vAlign w:val="center"/>
          </w:tcPr>
          <w:p>
            <w:r>
              <w:t>单层铝窗</w:t>
            </w:r>
          </w:p>
        </w:tc>
        <w:tc>
          <w:tcPr>
            <w:tcW w:w="1301" w:type="dxa"/>
            <w:vAlign w:val="center"/>
          </w:tcPr>
          <w:p>
            <w:r>
              <w:t>高透Low-E</w:t>
            </w:r>
          </w:p>
        </w:tc>
        <w:tc>
          <w:tcPr>
            <w:tcW w:w="1358" w:type="dxa"/>
            <w:vAlign w:val="center"/>
          </w:tcPr>
          <w:p>
            <w:r>
              <w:t>0.76</w:t>
            </w:r>
          </w:p>
        </w:tc>
        <w:tc>
          <w:tcPr>
            <w:tcW w:w="1358" w:type="dxa"/>
            <w:vAlign w:val="center"/>
          </w:tcPr>
          <w:p>
            <w:r>
              <w:t>0.08</w:t>
            </w:r>
          </w:p>
        </w:tc>
      </w:tr>
    </w:tbl>
    <w:p>
      <w:pPr>
        <w:pStyle w:val="3"/>
        <w:ind w:firstLine="0" w:firstLineChars="0"/>
        <w:rPr>
          <w:rFonts w:ascii="宋体" w:hAnsi="宋体"/>
          <w:sz w:val="18"/>
          <w:szCs w:val="18"/>
          <w:lang w:val="en-US"/>
        </w:rPr>
      </w:pPr>
      <w:r>
        <w:rPr>
          <w:rFonts w:ascii="宋体" w:hAnsi="宋体"/>
          <w:sz w:val="18"/>
          <w:szCs w:val="18"/>
          <w:lang w:val="en-US"/>
        </w:rPr>
        <w:t>注：计算考虑了外窗玻璃的污染折减系数影响，系数取值0.9。</w:t>
      </w:r>
    </w:p>
    <w:p>
      <w:pPr>
        <w:pStyle w:val="3"/>
        <w:ind w:firstLine="0" w:firstLineChars="0"/>
        <w:rPr>
          <w:rFonts w:ascii="宋体" w:hAnsi="宋体"/>
          <w:sz w:val="18"/>
          <w:szCs w:val="18"/>
          <w:lang w:val="en-US"/>
        </w:rPr>
      </w:pPr>
    </w:p>
    <w:p>
      <w:pPr>
        <w:pStyle w:val="3"/>
        <w:ind w:firstLine="0" w:firstLineChars="0"/>
        <w:rPr>
          <w:rFonts w:ascii="宋体" w:hAnsi="宋体"/>
          <w:sz w:val="18"/>
          <w:szCs w:val="18"/>
          <w:lang w:val="en-US"/>
        </w:rPr>
      </w:pPr>
    </w:p>
    <w:p>
      <w:pPr>
        <w:pStyle w:val="3"/>
        <w:ind w:firstLine="0" w:firstLineChars="0"/>
        <w:rPr>
          <w:rFonts w:ascii="宋体" w:hAnsi="宋体"/>
          <w:sz w:val="18"/>
          <w:szCs w:val="18"/>
          <w:lang w:val="en-US"/>
        </w:rPr>
      </w:pPr>
    </w:p>
    <w:p>
      <w:pPr>
        <w:pStyle w:val="2"/>
        <w:ind w:left="432" w:hanging="432"/>
      </w:pPr>
      <w:bookmarkStart w:id="21" w:name="_Toc70502138"/>
      <w:r>
        <w:rPr>
          <w:rFonts w:hint="eastAsia"/>
        </w:rPr>
        <w:t>眩光分析结果</w:t>
      </w:r>
      <w:bookmarkEnd w:id="21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计算</w:t>
      </w:r>
      <w:r>
        <w:rPr>
          <w:lang w:val="en-US"/>
        </w:rPr>
        <w:t>参数选定后，</w:t>
      </w:r>
      <w:r>
        <w:rPr>
          <w:rFonts w:hint="eastAsia"/>
          <w:lang w:val="en-US"/>
        </w:rPr>
        <w:t>利用</w:t>
      </w:r>
      <w:r>
        <w:rPr>
          <w:lang w:val="en-US"/>
        </w:rPr>
        <w:t>门窗参数等进行</w:t>
      </w:r>
      <w:r>
        <w:rPr>
          <w:rFonts w:hint="eastAsia"/>
          <w:lang w:val="en-US"/>
        </w:rPr>
        <w:t>不舒适</w:t>
      </w:r>
      <w:r>
        <w:rPr>
          <w:lang w:val="en-US"/>
        </w:rPr>
        <w:t>眩光指数</w:t>
      </w:r>
      <w:r>
        <w:rPr>
          <w:rFonts w:hint="eastAsia"/>
          <w:lang w:val="en-US"/>
        </w:rPr>
        <w:t>计算，</w:t>
      </w:r>
      <w:r>
        <w:rPr>
          <w:lang w:val="en-US"/>
        </w:rPr>
        <w:t>结果如下表所示：</w:t>
      </w:r>
    </w:p>
    <w:p>
      <w:pPr>
        <w:pStyle w:val="3"/>
        <w:ind w:firstLine="420"/>
        <w:jc w:val="center"/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居住建筑</w:t>
      </w:r>
    </w:p>
    <w:tbl>
      <w:tblPr>
        <w:tblStyle w:val="19"/>
        <w:tblW w:w="922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708"/>
        <w:gridCol w:w="708"/>
        <w:gridCol w:w="1075"/>
        <w:gridCol w:w="707"/>
        <w:gridCol w:w="707"/>
        <w:gridCol w:w="1444"/>
        <w:gridCol w:w="1075"/>
        <w:gridCol w:w="1075"/>
        <w:gridCol w:w="9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t>户型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t>房间</w:t>
            </w:r>
            <w:r>
              <w:br w:type="textWrapping"/>
            </w:r>
            <w:r>
              <w:t>编号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t>采光</w:t>
            </w:r>
            <w:r>
              <w:br w:type="textWrapping"/>
            </w:r>
            <w:r>
              <w:t>等级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t>采光</w:t>
            </w:r>
            <w:r>
              <w:br w:type="textWrapping"/>
            </w:r>
            <w:r>
              <w:t>类型</w:t>
            </w:r>
          </w:p>
        </w:tc>
        <w:tc>
          <w:tcPr>
            <w:tcW w:w="1443" w:type="dxa"/>
            <w:shd w:val="clear" w:color="auto" w:fill="E6E6E6"/>
            <w:vAlign w:val="center"/>
          </w:tcPr>
          <w:p>
            <w:pPr>
              <w:jc w:val="center"/>
            </w:pPr>
            <w:r>
              <w:t>房间面积</w:t>
            </w:r>
            <w:r>
              <w:br w:type="textWrapping"/>
            </w:r>
            <w:r>
              <w:t>(m2)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眩光指数</w:t>
            </w:r>
            <w:r>
              <w:br w:type="textWrapping"/>
            </w:r>
            <w:r>
              <w:t>DGI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DGI限值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07" w:type="dxa"/>
            <w:vMerge w:val="restart"/>
            <w:vAlign w:val="center"/>
          </w:tcPr>
          <w:p>
            <w:pPr>
              <w:jc w:val="center"/>
            </w:pPr>
            <w:r>
              <w:t>1-E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1005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23.06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21.4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1008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23.06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21.4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1009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23.06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21.3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1010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23.18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21.5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1012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23.18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21.3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1013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23.18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21.4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1014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23.18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21.5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1015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23.18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21.1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1016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23.18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21.2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1017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23.18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21.4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Merge w:val="restart"/>
            <w:vAlign w:val="center"/>
          </w:tcPr>
          <w:p>
            <w:pPr>
              <w:jc w:val="center"/>
            </w:pPr>
            <w:r>
              <w:t>1-I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1003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23.00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21.4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1004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23.18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21.5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1006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23.00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21.4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1007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23.00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21.3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1011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23.18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21.4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1018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23.18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21.4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1019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23.00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21.4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2~3</w:t>
            </w:r>
          </w:p>
        </w:tc>
        <w:tc>
          <w:tcPr>
            <w:tcW w:w="707" w:type="dxa"/>
            <w:vMerge w:val="restart"/>
            <w:vAlign w:val="center"/>
          </w:tcPr>
          <w:p>
            <w:pPr>
              <w:jc w:val="center"/>
            </w:pPr>
            <w:r>
              <w:t>1-B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2006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23.00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20.8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2007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22.94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21.3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2008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22.94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21.1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2009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23.00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21.0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2010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23.00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20.8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2011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23.18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21.6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2012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23.18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21.1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2013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23.06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21.2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2014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23.06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21.1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2015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23.18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21.1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2016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23.18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21.2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2017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23.18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21.0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2018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23.18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20.6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2019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23.18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21.2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2020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23.06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21.2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2021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23.18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21.4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2022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23.18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21.3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2023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23.00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20.6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4~5</w:t>
            </w:r>
          </w:p>
        </w:tc>
        <w:tc>
          <w:tcPr>
            <w:tcW w:w="707" w:type="dxa"/>
            <w:vMerge w:val="restart"/>
            <w:vAlign w:val="center"/>
          </w:tcPr>
          <w:p>
            <w:pPr>
              <w:jc w:val="center"/>
            </w:pPr>
            <w:r>
              <w:t>1-C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4004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22.94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21.3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4006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23.18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21.2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4008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23.06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21.3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4012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23.18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21.0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4013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23.18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21.2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4014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23.06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21.2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4015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23.06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21.1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4016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23.18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21.4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4017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23.18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21.3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4018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23.18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21.4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Merge w:val="restart"/>
            <w:vAlign w:val="center"/>
          </w:tcPr>
          <w:p>
            <w:pPr>
              <w:jc w:val="center"/>
            </w:pPr>
            <w:r>
              <w:t>1-G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4003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23.00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20.9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4005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23.18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21.0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4007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23.18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21.2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4009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23.00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20.8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4010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23.18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20.6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4011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23.00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21.0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4019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22.94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21.1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4020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23.00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20.7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6~7</w:t>
            </w:r>
          </w:p>
        </w:tc>
        <w:tc>
          <w:tcPr>
            <w:tcW w:w="707" w:type="dxa"/>
            <w:vMerge w:val="restart"/>
            <w:vAlign w:val="center"/>
          </w:tcPr>
          <w:p>
            <w:pPr>
              <w:jc w:val="center"/>
            </w:pPr>
            <w:r>
              <w:t>1-A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6003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23.00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20.9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6004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22.94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21.4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6005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22.94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21.2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6006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23.18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21.0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6007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23.18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21.4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6008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23.18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21.0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6009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23.06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21.3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6010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23.06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21.4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6011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23.06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20.9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6012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23.18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21.2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6013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23.18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20.6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6014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23.00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20.8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6015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23.00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21.0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6016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23.18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21.2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6017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23.18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21.5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6018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23.18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21.3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6019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23.18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21.4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6020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23.00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20.7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707" w:type="dxa"/>
            <w:vMerge w:val="restart"/>
            <w:vAlign w:val="center"/>
          </w:tcPr>
          <w:p>
            <w:pPr>
              <w:jc w:val="center"/>
            </w:pPr>
            <w:r>
              <w:t>1-D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8004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22.94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21.2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8008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23.18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21.4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8009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23.18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21.3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8010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23.18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21.2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8011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23.06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21.0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8012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23.06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21.2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8013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23.06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20.9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8016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23.18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21.0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8017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23.18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21.4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8018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23.18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21.3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Merge w:val="restart"/>
            <w:vAlign w:val="center"/>
          </w:tcPr>
          <w:p>
            <w:pPr>
              <w:jc w:val="center"/>
            </w:pPr>
            <w:r>
              <w:t>1-F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8003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23.00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20.9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8005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23.18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21.2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8006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23.18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21.0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8007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23.18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20.6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8014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23.00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20.8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8015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23.00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21.1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8019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22.94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21.2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8020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23.00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20.7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707" w:type="dxa"/>
            <w:vMerge w:val="restart"/>
            <w:vAlign w:val="center"/>
          </w:tcPr>
          <w:p>
            <w:pPr>
              <w:jc w:val="center"/>
            </w:pPr>
            <w:r>
              <w:t>1-H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9002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23.10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20.7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9003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23.18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21.0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9004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23.18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20.6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9005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23.10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21.1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9006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23.18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21.2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9007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23.18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21.2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9008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23.10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20.9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9009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23.10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21.0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</w:tbl>
    <w:p>
      <w:pPr>
        <w:pStyle w:val="3"/>
        <w:spacing w:line="240" w:lineRule="atLeast"/>
        <w:ind w:firstLine="0" w:firstLineChars="0"/>
        <w:jc w:val="center"/>
        <w:rPr>
          <w:lang w:val="en-US"/>
        </w:rPr>
      </w:pPr>
      <w:bookmarkStart w:id="22" w:name="房间眩光表"/>
      <w:bookmarkEnd w:id="22"/>
    </w:p>
    <w:p>
      <w:pPr>
        <w:pStyle w:val="3"/>
        <w:spacing w:line="240" w:lineRule="atLeast"/>
        <w:ind w:firstLine="0" w:firstLineChars="0"/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公共建筑</w:t>
      </w:r>
      <w:bookmarkStart w:id="28" w:name="_GoBack"/>
      <w:bookmarkEnd w:id="28"/>
    </w:p>
    <w:tbl>
      <w:tblPr>
        <w:tblStyle w:val="19"/>
        <w:tblW w:w="922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1076"/>
        <w:gridCol w:w="1076"/>
        <w:gridCol w:w="707"/>
        <w:gridCol w:w="707"/>
        <w:gridCol w:w="1443"/>
        <w:gridCol w:w="1075"/>
        <w:gridCol w:w="1075"/>
        <w:gridCol w:w="9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房间</w:t>
            </w:r>
            <w:r>
              <w:br w:type="textWrapping"/>
            </w:r>
            <w:r>
              <w:t>编号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t>采光</w:t>
            </w:r>
            <w:r>
              <w:br w:type="textWrapping"/>
            </w:r>
            <w:r>
              <w:t>等级</w:t>
            </w:r>
          </w:p>
        </w:tc>
        <w:tc>
          <w:tcPr>
            <w:tcW w:w="707" w:type="dxa"/>
            <w:shd w:val="clear" w:color="auto" w:fill="E6E6E6"/>
            <w:vAlign w:val="center"/>
          </w:tcPr>
          <w:p>
            <w:pPr>
              <w:jc w:val="center"/>
            </w:pPr>
            <w:r>
              <w:t>采光</w:t>
            </w:r>
            <w:r>
              <w:br w:type="textWrapping"/>
            </w:r>
            <w:r>
              <w:t>类型</w:t>
            </w:r>
          </w:p>
        </w:tc>
        <w:tc>
          <w:tcPr>
            <w:tcW w:w="1443" w:type="dxa"/>
            <w:shd w:val="clear" w:color="auto" w:fill="E6E6E6"/>
            <w:vAlign w:val="center"/>
          </w:tcPr>
          <w:p>
            <w:pPr>
              <w:jc w:val="center"/>
            </w:pPr>
            <w:r>
              <w:t>房间面积</w:t>
            </w:r>
            <w:r>
              <w:br w:type="textWrapping"/>
            </w:r>
            <w:r>
              <w:t>(m2)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眩光指数</w:t>
            </w:r>
            <w:r>
              <w:br w:type="textWrapping"/>
            </w:r>
            <w:r>
              <w:t>DGI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DGI限值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1001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专用教室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683.86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19.2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2001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专用教室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525.49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22.7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restart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3006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专用教室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23.72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0.0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3002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专用教室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123.73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18.6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3004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专用教室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35.68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16.9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3005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专用教室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35.02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16.5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restart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4004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78.64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16.9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4003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80.24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16.4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4002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80.24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16.6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4005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80.24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16.8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restart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5006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78.64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17.1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5005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80.24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16.7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5003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80.24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16.8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5004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80.24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17.0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restart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6004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78.65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16.9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6003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80.24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16.9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6002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80.24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16.9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6005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80.25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17.0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restart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7005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78.25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16.9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7004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80.24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17.0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7002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80.24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16.8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7003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80.24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17.0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restart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8005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78.64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18.4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8002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80.24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18.3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8003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80.24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18.4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8004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普通教室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</w:pPr>
            <w:r>
              <w:t>80.24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18.4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满足</w:t>
            </w:r>
          </w:p>
        </w:tc>
      </w:tr>
    </w:tbl>
    <w:p>
      <w:pPr>
        <w:pStyle w:val="3"/>
        <w:spacing w:line="240" w:lineRule="atLeast"/>
        <w:ind w:firstLine="0" w:firstLineChars="0"/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2"/>
        <w:ind w:left="432" w:hanging="432"/>
      </w:pPr>
      <w:bookmarkStart w:id="23" w:name="_Toc70502139"/>
      <w:r>
        <w:rPr>
          <w:rFonts w:hint="eastAsia"/>
        </w:rPr>
        <w:t>评价结论</w:t>
      </w:r>
      <w:bookmarkEnd w:id="23"/>
    </w:p>
    <w:p>
      <w:pPr>
        <w:pStyle w:val="13"/>
        <w:spacing w:line="360" w:lineRule="auto"/>
        <w:ind w:firstLine="4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通过计算分析，同时依据《建筑采光设计标准》GB 50033-2013对本项目的</w:t>
      </w:r>
      <w:r>
        <w:rPr>
          <w:rFonts w:ascii="Times New Roman" w:hAnsi="Times New Roman"/>
          <w:sz w:val="21"/>
          <w:szCs w:val="21"/>
          <w:u w:val="single"/>
        </w:rPr>
        <w:t xml:space="preserve"> </w:t>
      </w:r>
      <w:bookmarkStart w:id="24" w:name="眩光评价房间数"/>
      <w:r>
        <w:rPr>
          <w:rFonts w:ascii="Times New Roman" w:hAnsi="Times New Roman"/>
          <w:sz w:val="21"/>
          <w:szCs w:val="21"/>
          <w:u w:val="single"/>
        </w:rPr>
        <w:t>151</w:t>
      </w:r>
      <w:bookmarkEnd w:id="24"/>
      <w:r>
        <w:rPr>
          <w:rFonts w:ascii="Times New Roman" w:hAnsi="Times New Roman"/>
          <w:sz w:val="21"/>
          <w:szCs w:val="21"/>
          <w:u w:val="single"/>
        </w:rPr>
        <w:t xml:space="preserve"> </w:t>
      </w:r>
      <w:r>
        <w:rPr>
          <w:rFonts w:ascii="Times New Roman" w:hAnsi="Times New Roman"/>
          <w:sz w:val="21"/>
          <w:szCs w:val="21"/>
        </w:rPr>
        <w:t>个主要功能房间进行眩光分析计算，其中</w:t>
      </w:r>
      <w:r>
        <w:rPr>
          <w:rFonts w:ascii="Times New Roman" w:hAnsi="Times New Roman"/>
          <w:sz w:val="21"/>
          <w:szCs w:val="21"/>
          <w:u w:val="single"/>
        </w:rPr>
        <w:t xml:space="preserve"> </w:t>
      </w:r>
      <w:bookmarkStart w:id="25" w:name="眩光不达标房间数"/>
      <w:r>
        <w:rPr>
          <w:rFonts w:ascii="Times New Roman" w:hAnsi="Times New Roman"/>
          <w:sz w:val="21"/>
          <w:szCs w:val="21"/>
          <w:u w:val="single"/>
        </w:rPr>
        <w:t>0</w:t>
      </w:r>
      <w:bookmarkEnd w:id="25"/>
      <w:r>
        <w:rPr>
          <w:rFonts w:ascii="Times New Roman" w:hAnsi="Times New Roman"/>
          <w:sz w:val="21"/>
          <w:szCs w:val="21"/>
          <w:u w:val="single"/>
        </w:rPr>
        <w:t xml:space="preserve"> </w:t>
      </w:r>
      <w:r>
        <w:rPr>
          <w:rFonts w:ascii="Times New Roman" w:hAnsi="Times New Roman"/>
          <w:sz w:val="21"/>
          <w:szCs w:val="21"/>
        </w:rPr>
        <w:t>个房间不满足标准限值要求，根据</w:t>
      </w:r>
      <w:r>
        <w:rPr>
          <w:rFonts w:hint="eastAsia" w:ascii="Times New Roman" w:hAnsi="Times New Roman"/>
          <w:sz w:val="21"/>
          <w:szCs w:val="21"/>
        </w:rPr>
        <w:t>《</w:t>
      </w:r>
      <w:r>
        <w:rPr>
          <w:rFonts w:ascii="Times New Roman" w:hAnsi="Times New Roman"/>
          <w:sz w:val="21"/>
          <w:szCs w:val="21"/>
        </w:rPr>
        <w:t>绿色建筑评价标准</w:t>
      </w:r>
      <w:r>
        <w:rPr>
          <w:rFonts w:hint="eastAsia" w:ascii="Times New Roman" w:hAnsi="Times New Roman"/>
          <w:sz w:val="21"/>
          <w:szCs w:val="21"/>
        </w:rPr>
        <w:t>》 GB</w:t>
      </w:r>
      <w:r>
        <w:rPr>
          <w:rFonts w:ascii="Times New Roman" w:hAnsi="Times New Roman"/>
          <w:sz w:val="21"/>
          <w:szCs w:val="21"/>
        </w:rPr>
        <w:t>/T 50378-2019的5.2.8条款要求，本项目合理控制眩光项得分为</w:t>
      </w:r>
      <w:r>
        <w:rPr>
          <w:rFonts w:ascii="Times New Roman" w:hAnsi="Times New Roman"/>
          <w:sz w:val="21"/>
          <w:szCs w:val="21"/>
          <w:u w:val="single"/>
        </w:rPr>
        <w:t xml:space="preserve"> </w:t>
      </w:r>
      <w:bookmarkStart w:id="26" w:name="眩光评价得分"/>
      <w:r>
        <w:rPr>
          <w:rFonts w:ascii="Times New Roman" w:hAnsi="Times New Roman"/>
          <w:sz w:val="21"/>
          <w:szCs w:val="21"/>
          <w:u w:val="single"/>
        </w:rPr>
        <w:t>3</w:t>
      </w:r>
      <w:bookmarkEnd w:id="26"/>
      <w:r>
        <w:rPr>
          <w:rFonts w:ascii="Times New Roman" w:hAnsi="Times New Roman"/>
          <w:sz w:val="21"/>
          <w:szCs w:val="21"/>
          <w:u w:val="single"/>
        </w:rPr>
        <w:t xml:space="preserve"> </w:t>
      </w:r>
      <w:r>
        <w:rPr>
          <w:rFonts w:ascii="Times New Roman" w:hAnsi="Times New Roman"/>
          <w:sz w:val="21"/>
          <w:szCs w:val="21"/>
        </w:rPr>
        <w:t>分。</w:t>
      </w:r>
    </w:p>
    <w:p>
      <w:pPr>
        <w:pStyle w:val="3"/>
        <w:spacing w:line="240" w:lineRule="auto"/>
        <w:ind w:firstLine="0" w:firstLineChars="0"/>
        <w:rPr>
          <w:lang w:val="en-US"/>
        </w:r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>
      <w:pPr>
        <w:pStyle w:val="3"/>
        <w:spacing w:line="240" w:lineRule="auto"/>
        <w:ind w:firstLine="0" w:firstLineChars="0"/>
        <w:rPr>
          <w:b/>
          <w:sz w:val="28"/>
          <w:szCs w:val="28"/>
          <w:lang w:val="en-US"/>
        </w:rPr>
      </w:pPr>
      <w:r>
        <w:rPr>
          <w:rFonts w:hint="eastAsia"/>
          <w:b/>
          <w:sz w:val="28"/>
          <w:szCs w:val="28"/>
          <w:lang w:val="en-US"/>
        </w:rPr>
        <w:t>附：周边遮挡总平面图</w:t>
      </w:r>
    </w:p>
    <w:p>
      <w:pPr>
        <w:pStyle w:val="3"/>
        <w:spacing w:line="240" w:lineRule="auto"/>
        <w:ind w:firstLine="0" w:firstLineChars="0"/>
        <w:jc w:val="center"/>
        <w:rPr>
          <w:sz w:val="28"/>
          <w:szCs w:val="28"/>
          <w:lang w:val="en-US"/>
        </w:rPr>
      </w:pPr>
      <w:bookmarkStart w:id="27" w:name="总平面图"/>
      <w:bookmarkEnd w:id="27"/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tabs>
        <w:tab w:val="center" w:pos="4535"/>
        <w:tab w:val="right" w:pos="9070"/>
        <w:tab w:val="clear" w:pos="4153"/>
        <w:tab w:val="clear" w:pos="8306"/>
      </w:tabs>
    </w:pPr>
    <w:r>
      <w:fldChar w:fldCharType="begin"/>
    </w:r>
    <w:r>
      <w:instrText xml:space="preserve"> HYPERLINK "http://www.gbsware.cn/" </w:instrText>
    </w:r>
    <w:r>
      <w:fldChar w:fldCharType="separate"/>
    </w:r>
    <w:r>
      <w:rPr>
        <w:rStyle w:val="24"/>
        <w:u w:val="none"/>
      </w:rPr>
      <w:t>http://www.gbsware.cn/</w:t>
    </w:r>
    <w:r>
      <w:rPr>
        <w:rStyle w:val="24"/>
        <w:u w:val="none"/>
      </w:rPr>
      <w:fldChar w:fldCharType="end"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t>8</w:t>
    </w:r>
    <w:r>
      <w:fldChar w:fldCharType="end"/>
    </w:r>
    <w:r>
      <w:rPr>
        <w:b/>
      </w:rPr>
      <w:t>/</w:t>
    </w:r>
    <w:r>
      <w:fldChar w:fldCharType="begin"/>
    </w:r>
    <w:r>
      <w:instrText xml:space="preserve"> NUMPAGES  \* Arabic  \* MERGEFORMAT </w:instrText>
    </w:r>
    <w:r>
      <w:fldChar w:fldCharType="separate"/>
    </w:r>
    <w:r>
      <w:t>8</w:t>
    </w:r>
    <w:r>
      <w:fldChar w:fldCharType="end"/>
    </w:r>
    <w:r>
      <w:tab/>
    </w:r>
    <w:r>
      <w:t>DALI2018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single" w:color="auto" w:sz="6" w:space="2"/>
      </w:pBdr>
      <w:spacing w:line="240" w:lineRule="auto"/>
      <w:jc w:val="left"/>
      <w:rPr>
        <w:sz w:val="21"/>
      </w:rPr>
    </w:pPr>
    <w:r>
      <w:rPr>
        <w:lang w:val="en-US"/>
      </w:rPr>
      <w:drawing>
        <wp:inline distT="0" distB="0" distL="0" distR="0">
          <wp:extent cx="975995" cy="252730"/>
          <wp:effectExtent l="0" t="0" r="0" b="0"/>
          <wp:docPr id="1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5995" cy="252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</w:t>
    </w:r>
    <w:r>
      <w:t xml:space="preserve">                                                </w:t>
    </w:r>
    <w:r>
      <w:rPr>
        <w:rFonts w:hint="eastAsia"/>
        <w:sz w:val="21"/>
      </w:rPr>
      <w:t>不舒适眩光</w:t>
    </w:r>
    <w:r>
      <w:rPr>
        <w:sz w:val="21"/>
      </w:rPr>
      <w:t>分析报告书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0DE529C8"/>
    <w:multiLevelType w:val="multilevel"/>
    <w:tmpl w:val="0DE529C8"/>
    <w:lvl w:ilvl="0" w:tentative="0">
      <w:start w:val="1"/>
      <w:numFmt w:val="decimal"/>
      <w:lvlText w:val="%1."/>
      <w:lvlJc w:val="left"/>
      <w:pPr>
        <w:tabs>
          <w:tab w:val="left" w:pos="900"/>
        </w:tabs>
        <w:ind w:left="90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D6D"/>
    <w:rsid w:val="00022F54"/>
    <w:rsid w:val="00022FE4"/>
    <w:rsid w:val="0003015C"/>
    <w:rsid w:val="00037A4C"/>
    <w:rsid w:val="000431C3"/>
    <w:rsid w:val="00045796"/>
    <w:rsid w:val="00047BEF"/>
    <w:rsid w:val="00047D27"/>
    <w:rsid w:val="00060BD8"/>
    <w:rsid w:val="000631B3"/>
    <w:rsid w:val="0006507C"/>
    <w:rsid w:val="00070454"/>
    <w:rsid w:val="000725A9"/>
    <w:rsid w:val="000739BB"/>
    <w:rsid w:val="00073D32"/>
    <w:rsid w:val="00073E94"/>
    <w:rsid w:val="00075C7F"/>
    <w:rsid w:val="0007642D"/>
    <w:rsid w:val="000805DC"/>
    <w:rsid w:val="00083664"/>
    <w:rsid w:val="00083FC5"/>
    <w:rsid w:val="000926EC"/>
    <w:rsid w:val="00094B16"/>
    <w:rsid w:val="0009672C"/>
    <w:rsid w:val="000A6EC1"/>
    <w:rsid w:val="000A7482"/>
    <w:rsid w:val="000B2B33"/>
    <w:rsid w:val="000B51D1"/>
    <w:rsid w:val="000B7505"/>
    <w:rsid w:val="000B762E"/>
    <w:rsid w:val="000C2578"/>
    <w:rsid w:val="000C731C"/>
    <w:rsid w:val="000C735A"/>
    <w:rsid w:val="000D17C2"/>
    <w:rsid w:val="000D1936"/>
    <w:rsid w:val="000E3005"/>
    <w:rsid w:val="000F1573"/>
    <w:rsid w:val="000F48FD"/>
    <w:rsid w:val="000F7EF2"/>
    <w:rsid w:val="000F7FEF"/>
    <w:rsid w:val="00101764"/>
    <w:rsid w:val="0010266A"/>
    <w:rsid w:val="001037D7"/>
    <w:rsid w:val="00105DF2"/>
    <w:rsid w:val="001104AC"/>
    <w:rsid w:val="00110A51"/>
    <w:rsid w:val="00111340"/>
    <w:rsid w:val="00112680"/>
    <w:rsid w:val="001146C5"/>
    <w:rsid w:val="00117919"/>
    <w:rsid w:val="00122AE1"/>
    <w:rsid w:val="00136510"/>
    <w:rsid w:val="00141170"/>
    <w:rsid w:val="00145FA8"/>
    <w:rsid w:val="001463F5"/>
    <w:rsid w:val="0014776A"/>
    <w:rsid w:val="00150077"/>
    <w:rsid w:val="001511F2"/>
    <w:rsid w:val="00152AD1"/>
    <w:rsid w:val="001549CD"/>
    <w:rsid w:val="00170E95"/>
    <w:rsid w:val="0017134B"/>
    <w:rsid w:val="00180509"/>
    <w:rsid w:val="00180537"/>
    <w:rsid w:val="001811B7"/>
    <w:rsid w:val="00191705"/>
    <w:rsid w:val="00195963"/>
    <w:rsid w:val="00196F57"/>
    <w:rsid w:val="001A213A"/>
    <w:rsid w:val="001A3A15"/>
    <w:rsid w:val="001B14CC"/>
    <w:rsid w:val="001B6E89"/>
    <w:rsid w:val="001C20F5"/>
    <w:rsid w:val="001D7C6B"/>
    <w:rsid w:val="001E049F"/>
    <w:rsid w:val="001E157B"/>
    <w:rsid w:val="001E32B4"/>
    <w:rsid w:val="00201BD9"/>
    <w:rsid w:val="002038AE"/>
    <w:rsid w:val="00203A7D"/>
    <w:rsid w:val="00204D80"/>
    <w:rsid w:val="0022062D"/>
    <w:rsid w:val="002229C1"/>
    <w:rsid w:val="00224948"/>
    <w:rsid w:val="00241D4E"/>
    <w:rsid w:val="00244792"/>
    <w:rsid w:val="0025362B"/>
    <w:rsid w:val="002555B8"/>
    <w:rsid w:val="00261764"/>
    <w:rsid w:val="0027073D"/>
    <w:rsid w:val="00283BF0"/>
    <w:rsid w:val="002933AC"/>
    <w:rsid w:val="00294F67"/>
    <w:rsid w:val="00294F7E"/>
    <w:rsid w:val="002A2F2E"/>
    <w:rsid w:val="002A4519"/>
    <w:rsid w:val="002A7369"/>
    <w:rsid w:val="002A79FB"/>
    <w:rsid w:val="002B2590"/>
    <w:rsid w:val="002B32AB"/>
    <w:rsid w:val="002B7899"/>
    <w:rsid w:val="002C17A2"/>
    <w:rsid w:val="002C62E3"/>
    <w:rsid w:val="002D2BBC"/>
    <w:rsid w:val="002E5393"/>
    <w:rsid w:val="002E574B"/>
    <w:rsid w:val="002E7C19"/>
    <w:rsid w:val="0030437C"/>
    <w:rsid w:val="003113F4"/>
    <w:rsid w:val="003121F7"/>
    <w:rsid w:val="003123FB"/>
    <w:rsid w:val="00312B73"/>
    <w:rsid w:val="00314D29"/>
    <w:rsid w:val="00317C52"/>
    <w:rsid w:val="0032366D"/>
    <w:rsid w:val="00330BA7"/>
    <w:rsid w:val="0033176E"/>
    <w:rsid w:val="00332086"/>
    <w:rsid w:val="0035421F"/>
    <w:rsid w:val="00355840"/>
    <w:rsid w:val="00356224"/>
    <w:rsid w:val="0036330B"/>
    <w:rsid w:val="003642AC"/>
    <w:rsid w:val="00370E69"/>
    <w:rsid w:val="0037556D"/>
    <w:rsid w:val="00380AAF"/>
    <w:rsid w:val="00390296"/>
    <w:rsid w:val="00391613"/>
    <w:rsid w:val="00393106"/>
    <w:rsid w:val="003964EA"/>
    <w:rsid w:val="003A2B52"/>
    <w:rsid w:val="003A2CE1"/>
    <w:rsid w:val="003A3E76"/>
    <w:rsid w:val="003A5353"/>
    <w:rsid w:val="003B1331"/>
    <w:rsid w:val="003B47BB"/>
    <w:rsid w:val="003C056D"/>
    <w:rsid w:val="003C5FD5"/>
    <w:rsid w:val="003C61FC"/>
    <w:rsid w:val="003D0076"/>
    <w:rsid w:val="003D11B4"/>
    <w:rsid w:val="003D1FC7"/>
    <w:rsid w:val="003D5C64"/>
    <w:rsid w:val="003F27D2"/>
    <w:rsid w:val="003F60B9"/>
    <w:rsid w:val="003F66A9"/>
    <w:rsid w:val="00400053"/>
    <w:rsid w:val="00403635"/>
    <w:rsid w:val="0040698B"/>
    <w:rsid w:val="00406B01"/>
    <w:rsid w:val="00413082"/>
    <w:rsid w:val="004140D8"/>
    <w:rsid w:val="00420487"/>
    <w:rsid w:val="00420DBF"/>
    <w:rsid w:val="0042654D"/>
    <w:rsid w:val="00426C2B"/>
    <w:rsid w:val="00430DCC"/>
    <w:rsid w:val="004315D3"/>
    <w:rsid w:val="00431AD1"/>
    <w:rsid w:val="00432639"/>
    <w:rsid w:val="00433D62"/>
    <w:rsid w:val="00443779"/>
    <w:rsid w:val="00443A24"/>
    <w:rsid w:val="00444C49"/>
    <w:rsid w:val="00447FF7"/>
    <w:rsid w:val="00455D17"/>
    <w:rsid w:val="004560AC"/>
    <w:rsid w:val="004732C6"/>
    <w:rsid w:val="0047512A"/>
    <w:rsid w:val="004839C8"/>
    <w:rsid w:val="00486B69"/>
    <w:rsid w:val="00486F6E"/>
    <w:rsid w:val="004871E7"/>
    <w:rsid w:val="0049058C"/>
    <w:rsid w:val="004A008B"/>
    <w:rsid w:val="004A5301"/>
    <w:rsid w:val="004D230F"/>
    <w:rsid w:val="004D239D"/>
    <w:rsid w:val="004D449D"/>
    <w:rsid w:val="004D4831"/>
    <w:rsid w:val="004E5DEA"/>
    <w:rsid w:val="004F181A"/>
    <w:rsid w:val="004F2B43"/>
    <w:rsid w:val="005044FC"/>
    <w:rsid w:val="00504F54"/>
    <w:rsid w:val="005051EB"/>
    <w:rsid w:val="00507065"/>
    <w:rsid w:val="00513D6D"/>
    <w:rsid w:val="0051542F"/>
    <w:rsid w:val="0051646C"/>
    <w:rsid w:val="005215FB"/>
    <w:rsid w:val="00521623"/>
    <w:rsid w:val="00531BC0"/>
    <w:rsid w:val="00540B17"/>
    <w:rsid w:val="0054304B"/>
    <w:rsid w:val="005430C1"/>
    <w:rsid w:val="005449BD"/>
    <w:rsid w:val="00547052"/>
    <w:rsid w:val="00553946"/>
    <w:rsid w:val="00555634"/>
    <w:rsid w:val="00555EF2"/>
    <w:rsid w:val="00560CD5"/>
    <w:rsid w:val="005619D2"/>
    <w:rsid w:val="00562B4A"/>
    <w:rsid w:val="00563BAC"/>
    <w:rsid w:val="005675EF"/>
    <w:rsid w:val="00567DFC"/>
    <w:rsid w:val="00570A92"/>
    <w:rsid w:val="005755BA"/>
    <w:rsid w:val="00580CDE"/>
    <w:rsid w:val="00591D7B"/>
    <w:rsid w:val="005927FC"/>
    <w:rsid w:val="0059357E"/>
    <w:rsid w:val="00594914"/>
    <w:rsid w:val="00595E32"/>
    <w:rsid w:val="005A0064"/>
    <w:rsid w:val="005B0295"/>
    <w:rsid w:val="005B290E"/>
    <w:rsid w:val="005B370C"/>
    <w:rsid w:val="005C1293"/>
    <w:rsid w:val="005C5E53"/>
    <w:rsid w:val="005D14F5"/>
    <w:rsid w:val="005D6617"/>
    <w:rsid w:val="005E5442"/>
    <w:rsid w:val="005E5D67"/>
    <w:rsid w:val="005E6722"/>
    <w:rsid w:val="005E6DB2"/>
    <w:rsid w:val="005F5BA5"/>
    <w:rsid w:val="005F76EF"/>
    <w:rsid w:val="00603BD9"/>
    <w:rsid w:val="0061137B"/>
    <w:rsid w:val="00611A83"/>
    <w:rsid w:val="006142C8"/>
    <w:rsid w:val="00616D08"/>
    <w:rsid w:val="00617087"/>
    <w:rsid w:val="006170E1"/>
    <w:rsid w:val="0062034E"/>
    <w:rsid w:val="00621132"/>
    <w:rsid w:val="0062232E"/>
    <w:rsid w:val="00623194"/>
    <w:rsid w:val="006240DC"/>
    <w:rsid w:val="00652934"/>
    <w:rsid w:val="006544F4"/>
    <w:rsid w:val="006677F4"/>
    <w:rsid w:val="00670B60"/>
    <w:rsid w:val="00681C5E"/>
    <w:rsid w:val="00691729"/>
    <w:rsid w:val="00694FCA"/>
    <w:rsid w:val="00696156"/>
    <w:rsid w:val="006B628D"/>
    <w:rsid w:val="006C2054"/>
    <w:rsid w:val="006C31C0"/>
    <w:rsid w:val="006E2DB9"/>
    <w:rsid w:val="006F1E82"/>
    <w:rsid w:val="006F480A"/>
    <w:rsid w:val="006F6958"/>
    <w:rsid w:val="0070016E"/>
    <w:rsid w:val="00700961"/>
    <w:rsid w:val="00704059"/>
    <w:rsid w:val="00720044"/>
    <w:rsid w:val="00720CD9"/>
    <w:rsid w:val="00722CF6"/>
    <w:rsid w:val="007250A6"/>
    <w:rsid w:val="00725EDE"/>
    <w:rsid w:val="0073394A"/>
    <w:rsid w:val="00741564"/>
    <w:rsid w:val="0074389B"/>
    <w:rsid w:val="00755503"/>
    <w:rsid w:val="00760461"/>
    <w:rsid w:val="0076205C"/>
    <w:rsid w:val="0078389D"/>
    <w:rsid w:val="00784B44"/>
    <w:rsid w:val="007859D0"/>
    <w:rsid w:val="007A2481"/>
    <w:rsid w:val="007A2817"/>
    <w:rsid w:val="007A7DF0"/>
    <w:rsid w:val="007B7859"/>
    <w:rsid w:val="007C190A"/>
    <w:rsid w:val="007C324F"/>
    <w:rsid w:val="007D2688"/>
    <w:rsid w:val="007E0DA0"/>
    <w:rsid w:val="007E39A8"/>
    <w:rsid w:val="007E3D1F"/>
    <w:rsid w:val="007F09EA"/>
    <w:rsid w:val="00800F96"/>
    <w:rsid w:val="00801632"/>
    <w:rsid w:val="00804362"/>
    <w:rsid w:val="008060C3"/>
    <w:rsid w:val="00806523"/>
    <w:rsid w:val="00810B33"/>
    <w:rsid w:val="008138E5"/>
    <w:rsid w:val="00815480"/>
    <w:rsid w:val="00817D75"/>
    <w:rsid w:val="0083639A"/>
    <w:rsid w:val="00837670"/>
    <w:rsid w:val="00840D90"/>
    <w:rsid w:val="008439F8"/>
    <w:rsid w:val="00850136"/>
    <w:rsid w:val="008704AB"/>
    <w:rsid w:val="00871FC0"/>
    <w:rsid w:val="0087441B"/>
    <w:rsid w:val="00883D6C"/>
    <w:rsid w:val="00892594"/>
    <w:rsid w:val="008A1241"/>
    <w:rsid w:val="008A54A0"/>
    <w:rsid w:val="008A6504"/>
    <w:rsid w:val="008B0CA0"/>
    <w:rsid w:val="008C1297"/>
    <w:rsid w:val="008C66D5"/>
    <w:rsid w:val="008D31F9"/>
    <w:rsid w:val="008D35DA"/>
    <w:rsid w:val="008D4BEC"/>
    <w:rsid w:val="008D7168"/>
    <w:rsid w:val="008F0010"/>
    <w:rsid w:val="008F5BF5"/>
    <w:rsid w:val="0090340B"/>
    <w:rsid w:val="00905F94"/>
    <w:rsid w:val="00916196"/>
    <w:rsid w:val="00925F4C"/>
    <w:rsid w:val="00925FCF"/>
    <w:rsid w:val="009363FF"/>
    <w:rsid w:val="0095123C"/>
    <w:rsid w:val="0096074B"/>
    <w:rsid w:val="00965A34"/>
    <w:rsid w:val="00973452"/>
    <w:rsid w:val="00975F79"/>
    <w:rsid w:val="0098285F"/>
    <w:rsid w:val="00990766"/>
    <w:rsid w:val="00990F63"/>
    <w:rsid w:val="00991801"/>
    <w:rsid w:val="00993CF2"/>
    <w:rsid w:val="009A15B5"/>
    <w:rsid w:val="009A6B0F"/>
    <w:rsid w:val="009B0C40"/>
    <w:rsid w:val="009C4AE6"/>
    <w:rsid w:val="009D4733"/>
    <w:rsid w:val="009D5AAC"/>
    <w:rsid w:val="009E6B81"/>
    <w:rsid w:val="009E6EA9"/>
    <w:rsid w:val="009F5016"/>
    <w:rsid w:val="009F5A35"/>
    <w:rsid w:val="009F7C95"/>
    <w:rsid w:val="00A0525F"/>
    <w:rsid w:val="00A12783"/>
    <w:rsid w:val="00A1367E"/>
    <w:rsid w:val="00A13D95"/>
    <w:rsid w:val="00A14ECB"/>
    <w:rsid w:val="00A177A6"/>
    <w:rsid w:val="00A32590"/>
    <w:rsid w:val="00A355BD"/>
    <w:rsid w:val="00A357F7"/>
    <w:rsid w:val="00A47443"/>
    <w:rsid w:val="00A47585"/>
    <w:rsid w:val="00A57E38"/>
    <w:rsid w:val="00A60B63"/>
    <w:rsid w:val="00A6610F"/>
    <w:rsid w:val="00A73DF3"/>
    <w:rsid w:val="00A86476"/>
    <w:rsid w:val="00A90BB1"/>
    <w:rsid w:val="00A920E8"/>
    <w:rsid w:val="00A92636"/>
    <w:rsid w:val="00A95E06"/>
    <w:rsid w:val="00A972F1"/>
    <w:rsid w:val="00AA47FE"/>
    <w:rsid w:val="00AA7D07"/>
    <w:rsid w:val="00AB1AE2"/>
    <w:rsid w:val="00AB5182"/>
    <w:rsid w:val="00AB5572"/>
    <w:rsid w:val="00AC4125"/>
    <w:rsid w:val="00AD0888"/>
    <w:rsid w:val="00AE206F"/>
    <w:rsid w:val="00AF050E"/>
    <w:rsid w:val="00AF0542"/>
    <w:rsid w:val="00AF06AD"/>
    <w:rsid w:val="00B00FFB"/>
    <w:rsid w:val="00B11FD8"/>
    <w:rsid w:val="00B3131F"/>
    <w:rsid w:val="00B364B6"/>
    <w:rsid w:val="00B41640"/>
    <w:rsid w:val="00B44F88"/>
    <w:rsid w:val="00B55B22"/>
    <w:rsid w:val="00B60841"/>
    <w:rsid w:val="00B70998"/>
    <w:rsid w:val="00B774E4"/>
    <w:rsid w:val="00B86B1C"/>
    <w:rsid w:val="00B950DF"/>
    <w:rsid w:val="00BA0863"/>
    <w:rsid w:val="00BA4C10"/>
    <w:rsid w:val="00BB3B23"/>
    <w:rsid w:val="00BB64F7"/>
    <w:rsid w:val="00BC17B9"/>
    <w:rsid w:val="00BD06BB"/>
    <w:rsid w:val="00BD47A9"/>
    <w:rsid w:val="00BD7DD2"/>
    <w:rsid w:val="00BE118E"/>
    <w:rsid w:val="00BE18AD"/>
    <w:rsid w:val="00BE4583"/>
    <w:rsid w:val="00BF5975"/>
    <w:rsid w:val="00C02ABE"/>
    <w:rsid w:val="00C127CA"/>
    <w:rsid w:val="00C15DF5"/>
    <w:rsid w:val="00C257AB"/>
    <w:rsid w:val="00C3168B"/>
    <w:rsid w:val="00C31D17"/>
    <w:rsid w:val="00C33D67"/>
    <w:rsid w:val="00C37F41"/>
    <w:rsid w:val="00C44808"/>
    <w:rsid w:val="00C45C1D"/>
    <w:rsid w:val="00C52CCB"/>
    <w:rsid w:val="00C56EF0"/>
    <w:rsid w:val="00C60B76"/>
    <w:rsid w:val="00C63237"/>
    <w:rsid w:val="00C662A4"/>
    <w:rsid w:val="00C67778"/>
    <w:rsid w:val="00C677CE"/>
    <w:rsid w:val="00C72CFF"/>
    <w:rsid w:val="00C77FB8"/>
    <w:rsid w:val="00C8032E"/>
    <w:rsid w:val="00C832CC"/>
    <w:rsid w:val="00C851CF"/>
    <w:rsid w:val="00C85350"/>
    <w:rsid w:val="00C855E5"/>
    <w:rsid w:val="00C8629E"/>
    <w:rsid w:val="00C865E9"/>
    <w:rsid w:val="00C95C03"/>
    <w:rsid w:val="00C9765F"/>
    <w:rsid w:val="00C97E25"/>
    <w:rsid w:val="00CA7AE3"/>
    <w:rsid w:val="00CB296C"/>
    <w:rsid w:val="00CB6248"/>
    <w:rsid w:val="00CC196B"/>
    <w:rsid w:val="00CC6133"/>
    <w:rsid w:val="00CC74BC"/>
    <w:rsid w:val="00CD01C9"/>
    <w:rsid w:val="00CD4869"/>
    <w:rsid w:val="00CE28AA"/>
    <w:rsid w:val="00CF1874"/>
    <w:rsid w:val="00CF6917"/>
    <w:rsid w:val="00D02D59"/>
    <w:rsid w:val="00D02FD6"/>
    <w:rsid w:val="00D05B0B"/>
    <w:rsid w:val="00D062D7"/>
    <w:rsid w:val="00D06954"/>
    <w:rsid w:val="00D11DAD"/>
    <w:rsid w:val="00D13684"/>
    <w:rsid w:val="00D264C0"/>
    <w:rsid w:val="00D31E80"/>
    <w:rsid w:val="00D36619"/>
    <w:rsid w:val="00D40158"/>
    <w:rsid w:val="00D42291"/>
    <w:rsid w:val="00D43C46"/>
    <w:rsid w:val="00D60976"/>
    <w:rsid w:val="00D60E7E"/>
    <w:rsid w:val="00D62634"/>
    <w:rsid w:val="00D62A9A"/>
    <w:rsid w:val="00D65949"/>
    <w:rsid w:val="00D708E3"/>
    <w:rsid w:val="00D73139"/>
    <w:rsid w:val="00D74281"/>
    <w:rsid w:val="00D80C28"/>
    <w:rsid w:val="00D85296"/>
    <w:rsid w:val="00D85A78"/>
    <w:rsid w:val="00DA543D"/>
    <w:rsid w:val="00DB1F7E"/>
    <w:rsid w:val="00DB29C3"/>
    <w:rsid w:val="00DC08B7"/>
    <w:rsid w:val="00DC73AD"/>
    <w:rsid w:val="00DD2507"/>
    <w:rsid w:val="00DD33B1"/>
    <w:rsid w:val="00DD3C92"/>
    <w:rsid w:val="00DD56FC"/>
    <w:rsid w:val="00DE15EB"/>
    <w:rsid w:val="00DE39CD"/>
    <w:rsid w:val="00DE5AEF"/>
    <w:rsid w:val="00DE7EA5"/>
    <w:rsid w:val="00DF470C"/>
    <w:rsid w:val="00DF7D67"/>
    <w:rsid w:val="00E01D75"/>
    <w:rsid w:val="00E04BB6"/>
    <w:rsid w:val="00E12326"/>
    <w:rsid w:val="00E125AE"/>
    <w:rsid w:val="00E12AD1"/>
    <w:rsid w:val="00E17240"/>
    <w:rsid w:val="00E17F17"/>
    <w:rsid w:val="00E200C4"/>
    <w:rsid w:val="00E22381"/>
    <w:rsid w:val="00E23D22"/>
    <w:rsid w:val="00E278C1"/>
    <w:rsid w:val="00E341D6"/>
    <w:rsid w:val="00E34789"/>
    <w:rsid w:val="00E3796F"/>
    <w:rsid w:val="00E50FE4"/>
    <w:rsid w:val="00E55FF6"/>
    <w:rsid w:val="00E612BA"/>
    <w:rsid w:val="00E67432"/>
    <w:rsid w:val="00E75360"/>
    <w:rsid w:val="00E81ACD"/>
    <w:rsid w:val="00E93153"/>
    <w:rsid w:val="00E950A3"/>
    <w:rsid w:val="00EA30AE"/>
    <w:rsid w:val="00EB160E"/>
    <w:rsid w:val="00EB2565"/>
    <w:rsid w:val="00EB27DC"/>
    <w:rsid w:val="00EB450B"/>
    <w:rsid w:val="00EB65C7"/>
    <w:rsid w:val="00EC21CC"/>
    <w:rsid w:val="00ED5D36"/>
    <w:rsid w:val="00ED5F10"/>
    <w:rsid w:val="00ED5F4E"/>
    <w:rsid w:val="00EE0F57"/>
    <w:rsid w:val="00EE6FF7"/>
    <w:rsid w:val="00EF1307"/>
    <w:rsid w:val="00EF469A"/>
    <w:rsid w:val="00EF5D54"/>
    <w:rsid w:val="00F0686F"/>
    <w:rsid w:val="00F10667"/>
    <w:rsid w:val="00F11B75"/>
    <w:rsid w:val="00F14F02"/>
    <w:rsid w:val="00F15E1F"/>
    <w:rsid w:val="00F20C9F"/>
    <w:rsid w:val="00F20DE5"/>
    <w:rsid w:val="00F26211"/>
    <w:rsid w:val="00F27AD2"/>
    <w:rsid w:val="00F32066"/>
    <w:rsid w:val="00F4109F"/>
    <w:rsid w:val="00F41E78"/>
    <w:rsid w:val="00F42DDB"/>
    <w:rsid w:val="00F51600"/>
    <w:rsid w:val="00F54AF7"/>
    <w:rsid w:val="00F6461B"/>
    <w:rsid w:val="00F64719"/>
    <w:rsid w:val="00F6582C"/>
    <w:rsid w:val="00F66DC8"/>
    <w:rsid w:val="00F75DD1"/>
    <w:rsid w:val="00F82D7F"/>
    <w:rsid w:val="00F9138A"/>
    <w:rsid w:val="00F92266"/>
    <w:rsid w:val="00F959AF"/>
    <w:rsid w:val="00F972A6"/>
    <w:rsid w:val="00FA4B87"/>
    <w:rsid w:val="00FB0817"/>
    <w:rsid w:val="00FB084F"/>
    <w:rsid w:val="00FB1375"/>
    <w:rsid w:val="00FB3EEF"/>
    <w:rsid w:val="00FB688E"/>
    <w:rsid w:val="00FC5270"/>
    <w:rsid w:val="00FC7BC5"/>
    <w:rsid w:val="00FD0EF2"/>
    <w:rsid w:val="00FD44EE"/>
    <w:rsid w:val="00FE749C"/>
    <w:rsid w:val="00FF14DB"/>
    <w:rsid w:val="00FF2243"/>
    <w:rsid w:val="0A9F751A"/>
    <w:rsid w:val="0E8E30E9"/>
    <w:rsid w:val="17111531"/>
    <w:rsid w:val="51755FEB"/>
    <w:rsid w:val="5E7746AF"/>
    <w:rsid w:val="7F77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exact"/>
    </w:pPr>
    <w:rPr>
      <w:rFonts w:ascii="Times New Roman" w:hAnsi="Times New Roman" w:eastAsia="宋体" w:cs="Times New Roman"/>
      <w:sz w:val="18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 w:val="21"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 w:val="21"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 w:val="21"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1">
    <w:name w:val="Default Paragraph Font"/>
    <w:semiHidden/>
    <w:unhideWhenUsed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Body Text Indent"/>
    <w:basedOn w:val="1"/>
    <w:link w:val="25"/>
    <w:qFormat/>
    <w:uiPriority w:val="0"/>
    <w:pPr>
      <w:widowControl w:val="0"/>
      <w:spacing w:line="400" w:lineRule="exact"/>
      <w:ind w:firstLine="480" w:firstLineChars="200"/>
      <w:jc w:val="both"/>
    </w:pPr>
    <w:rPr>
      <w:rFonts w:ascii="宋体" w:hAnsi="宋体"/>
      <w:kern w:val="2"/>
      <w:sz w:val="24"/>
      <w:szCs w:val="24"/>
      <w:lang w:val="en-US"/>
    </w:rPr>
  </w:style>
  <w:style w:type="paragraph" w:styleId="14">
    <w:name w:val="toc 3"/>
    <w:basedOn w:val="1"/>
    <w:next w:val="1"/>
    <w:qFormat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 w:val="21"/>
      <w:szCs w:val="24"/>
      <w:lang w:val="en-US"/>
    </w:rPr>
  </w:style>
  <w:style w:type="paragraph" w:styleId="15">
    <w:name w:val="footer"/>
    <w:basedOn w:val="1"/>
    <w:link w:val="29"/>
    <w:qFormat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7">
    <w:name w:val="toc 1"/>
    <w:basedOn w:val="1"/>
    <w:next w:val="1"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 w:val="21"/>
      <w:szCs w:val="24"/>
      <w:lang w:val="en-US"/>
    </w:rPr>
  </w:style>
  <w:style w:type="paragraph" w:styleId="18">
    <w:name w:val="toc 2"/>
    <w:basedOn w:val="1"/>
    <w:next w:val="1"/>
    <w:qFormat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 w:val="21"/>
      <w:szCs w:val="24"/>
      <w:lang w:val="en-US"/>
    </w:rPr>
  </w:style>
  <w:style w:type="table" w:styleId="20">
    <w:name w:val="Table Grid"/>
    <w:basedOn w:val="19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page number"/>
    <w:basedOn w:val="21"/>
    <w:qFormat/>
    <w:uiPriority w:val="0"/>
  </w:style>
  <w:style w:type="character" w:styleId="23">
    <w:name w:val="FollowedHyperlink"/>
    <w:qFormat/>
    <w:uiPriority w:val="0"/>
    <w:rPr>
      <w:color w:val="800080"/>
      <w:u w:val="single"/>
    </w:rPr>
  </w:style>
  <w:style w:type="character" w:styleId="24">
    <w:name w:val="Hyperlink"/>
    <w:qFormat/>
    <w:uiPriority w:val="99"/>
    <w:rPr>
      <w:color w:val="0000FF"/>
      <w:u w:val="single"/>
    </w:rPr>
  </w:style>
  <w:style w:type="character" w:customStyle="1" w:styleId="25">
    <w:name w:val="正文文本缩进 字符"/>
    <w:link w:val="13"/>
    <w:qFormat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paragraph" w:customStyle="1" w:styleId="26">
    <w:name w:val="标题二"/>
    <w:basedOn w:val="4"/>
    <w:qFormat/>
    <w:uiPriority w:val="0"/>
    <w:pPr>
      <w:keepLines/>
      <w:widowControl w:val="0"/>
      <w:numPr>
        <w:numId w:val="0"/>
      </w:numPr>
      <w:kinsoku/>
      <w:autoSpaceDE w:val="0"/>
      <w:autoSpaceDN w:val="0"/>
      <w:adjustRightInd w:val="0"/>
      <w:spacing w:before="140" w:after="140" w:line="415" w:lineRule="auto"/>
      <w:ind w:right="240"/>
      <w:jc w:val="left"/>
    </w:pPr>
    <w:rPr>
      <w:rFonts w:ascii="仿宋_GB2312" w:eastAsia="黑体" w:cs="Times New Roman"/>
      <w:iCs w:val="0"/>
      <w:color w:val="auto"/>
      <w:sz w:val="28"/>
      <w:szCs w:val="32"/>
    </w:rPr>
  </w:style>
  <w:style w:type="character" w:customStyle="1" w:styleId="27">
    <w:name w:val="Char Char2"/>
    <w:qFormat/>
    <w:locked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character" w:customStyle="1" w:styleId="28">
    <w:name w:val="Char Char21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29">
    <w:name w:val="页脚 字符"/>
    <w:link w:val="15"/>
    <w:qFormat/>
    <w:uiPriority w:val="0"/>
    <w:rPr>
      <w:rFonts w:eastAsia="宋体"/>
      <w:sz w:val="18"/>
      <w:szCs w:val="18"/>
      <w:lang w:val="en-GB" w:eastAsia="zh-CN" w:bidi="ar-SA"/>
    </w:rPr>
  </w:style>
  <w:style w:type="character" w:customStyle="1" w:styleId="30">
    <w:name w:val="Char Char1"/>
    <w:qFormat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character" w:customStyle="1" w:styleId="31">
    <w:name w:val="Char Char"/>
    <w:qFormat/>
    <w:locked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  <w:style w:type="paragraph" w:customStyle="1" w:styleId="33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oleObject" Target="embeddings/oleObject1.bin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6.emf"/><Relationship Id="rId15" Type="http://schemas.openxmlformats.org/officeDocument/2006/relationships/image" Target="media/image5.wmf"/><Relationship Id="rId14" Type="http://schemas.openxmlformats.org/officeDocument/2006/relationships/oleObject" Target="embeddings/oleObject4.bin"/><Relationship Id="rId13" Type="http://schemas.openxmlformats.org/officeDocument/2006/relationships/image" Target="media/image4.wmf"/><Relationship Id="rId12" Type="http://schemas.openxmlformats.org/officeDocument/2006/relationships/oleObject" Target="embeddings/oleObject3.bin"/><Relationship Id="rId11" Type="http://schemas.openxmlformats.org/officeDocument/2006/relationships/image" Target="media/image3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YF\AppData\Local\Temp\tmp3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tmp3</Template>
  <Company>gbsware</Company>
  <Pages>11</Pages>
  <Words>1150</Words>
  <Characters>6558</Characters>
  <Lines>54</Lines>
  <Paragraphs>15</Paragraphs>
  <TotalTime>1</TotalTime>
  <ScaleCrop>false</ScaleCrop>
  <LinksUpToDate>false</LinksUpToDate>
  <CharactersWithSpaces>7693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2021-04-28T03:35:00Z</dcterms:created>
  <dc:creator>JYF</dc:creator>
  <cp:lastModifiedBy>JYF</cp:lastModifiedBy>
  <cp:lastPrinted>2411-12-31T16:00:00Z</cp:lastPrinted>
  <dcterms:modified xsi:type="dcterms:W3CDTF">2021-04-28T04:06:47Z</dcterms:modified>
  <dc:title>眩光分析报告书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3A4E54B24AF84588882D65DF7F4C8F8C</vt:lpwstr>
  </property>
</Properties>
</file>