
<file path=[Content_Types].xml><?xml version="1.0" encoding="utf-8"?>
<Types xmlns="http://schemas.openxmlformats.org/package/2006/content-types"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D53B8">
      <w:pPr>
        <w:spacing w:beforeLines="0" w:afterLines="0"/>
        <w:jc w:val="center"/>
        <w:rPr>
          <w:rFonts w:hint="eastAsia"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板式楼梯计算</w:t>
      </w:r>
    </w:p>
    <w:p w14:paraId="5310C47B">
      <w:pPr>
        <w:spacing w:beforeLines="0" w:afterLines="0"/>
        <w:rPr>
          <w:rFonts w:hint="eastAsia"/>
          <w:sz w:val="18"/>
          <w:szCs w:val="24"/>
        </w:rPr>
      </w:pPr>
    </w:p>
    <w:p w14:paraId="1E9B7DAD">
      <w:pPr>
        <w:spacing w:beforeLines="0" w:afterLines="0"/>
        <w:rPr>
          <w:rFonts w:hint="eastAsia"/>
          <w:sz w:val="18"/>
          <w:szCs w:val="24"/>
        </w:rPr>
      </w:pPr>
    </w:p>
    <w:p w14:paraId="1A825057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一、基本资料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45678C5E">
      <w:pPr>
        <w:spacing w:beforeLines="0" w:afterLines="0"/>
        <w:ind w:left="397"/>
        <w:rPr>
          <w:rFonts w:hint="eastAsia"/>
          <w:sz w:val="18"/>
          <w:szCs w:val="24"/>
        </w:rPr>
      </w:pPr>
    </w:p>
    <w:tbl>
      <w:tblPr>
        <w:tblStyle w:val="2"/>
        <w:tblW w:w="0" w:type="auto"/>
        <w:tblInd w:w="4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2"/>
        <w:gridCol w:w="4819"/>
      </w:tblGrid>
      <w:tr w14:paraId="283F1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4252" w:type="dxa"/>
            <w:tcBorders>
              <w:tl2br w:val="nil"/>
              <w:tr2bl w:val="nil"/>
            </w:tcBorders>
            <w:noWrap w:val="0"/>
            <w:vAlign w:val="top"/>
          </w:tcPr>
          <w:p w14:paraId="4D8F827E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工程名称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工程一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4D1380C4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工程项目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项目一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5974D9E9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楼梯编号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板式楼梯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1 </w:t>
            </w:r>
          </w:p>
          <w:p w14:paraId="60305BA2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是否考虑人防荷载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否</w:t>
            </w:r>
          </w:p>
          <w:p w14:paraId="6745E95D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楼梯类型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 w:ascii="方正姚体" w:hAnsi="方正姚体" w:eastAsia="方正姚体"/>
                <w:sz w:val="18"/>
                <w:szCs w:val="24"/>
              </w:rPr>
              <w:t>╱</w:t>
            </w:r>
            <w:r>
              <w:rPr>
                <w:rFonts w:hint="eastAsia"/>
                <w:sz w:val="18"/>
                <w:szCs w:val="24"/>
              </w:rPr>
              <w:t>型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449D8DBC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支座型式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两端弹性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78E7EDE7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踏步宽度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a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260 </w:t>
            </w:r>
          </w:p>
          <w:p w14:paraId="1F5E4616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踏步高度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d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171.43 </w:t>
            </w:r>
          </w:p>
          <w:p w14:paraId="62038E8E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踏步数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n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17 </w:t>
            </w:r>
          </w:p>
          <w:p w14:paraId="24D68821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梯段水平长度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L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4420 </w:t>
            </w:r>
          </w:p>
          <w:p w14:paraId="34CB4771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梯段总高度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H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3086 </w:t>
            </w:r>
          </w:p>
          <w:p w14:paraId="55EEB1BE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梯段板厚度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t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150 </w:t>
            </w:r>
          </w:p>
          <w:p w14:paraId="3DC9052E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梯段板宽度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B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1350 </w:t>
            </w:r>
          </w:p>
          <w:p w14:paraId="537D97CC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A</w:t>
            </w:r>
            <w:r>
              <w:rPr>
                <w:rFonts w:hint="eastAsia"/>
                <w:sz w:val="18"/>
                <w:szCs w:val="24"/>
              </w:rPr>
              <w:t>端支座宽度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b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  <w:vertAlign w:val="subscript"/>
              </w:rPr>
              <w:t>A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200 </w:t>
            </w:r>
          </w:p>
          <w:p w14:paraId="643B719C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B</w:t>
            </w:r>
            <w:r>
              <w:rPr>
                <w:rFonts w:hint="eastAsia"/>
                <w:sz w:val="18"/>
                <w:szCs w:val="24"/>
              </w:rPr>
              <w:t>端支座宽度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b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  <w:vertAlign w:val="subscript"/>
              </w:rPr>
              <w:t>B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200 </w:t>
            </w:r>
          </w:p>
          <w:p w14:paraId="0188C49A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楼梯保护层厚度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c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15 </w:t>
            </w:r>
          </w:p>
          <w:p w14:paraId="6AAC5CD3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弹性支座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/</w:t>
            </w:r>
            <w:r>
              <w:rPr>
                <w:rFonts w:hint="eastAsia"/>
                <w:sz w:val="18"/>
                <w:szCs w:val="24"/>
              </w:rPr>
              <w:t>按固定计算的支座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0.75 </w:t>
            </w:r>
          </w:p>
          <w:p w14:paraId="15F45EF5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弹性跨中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/</w:t>
            </w:r>
            <w:r>
              <w:rPr>
                <w:rFonts w:hint="eastAsia"/>
                <w:sz w:val="18"/>
                <w:szCs w:val="24"/>
              </w:rPr>
              <w:t>两端简支计算的跨中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0.8 </w:t>
            </w:r>
          </w:p>
          <w:p w14:paraId="7DD2751D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楼梯活荷载标准值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q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(kN/m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): 3.5 </w:t>
            </w:r>
          </w:p>
          <w:p w14:paraId="247401C9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两侧栏板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(</w:t>
            </w:r>
            <w:r>
              <w:rPr>
                <w:rFonts w:hint="eastAsia"/>
                <w:sz w:val="18"/>
                <w:szCs w:val="24"/>
              </w:rPr>
              <w:t>杆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)</w:t>
            </w:r>
            <w:r>
              <w:rPr>
                <w:rFonts w:hint="eastAsia"/>
                <w:sz w:val="18"/>
                <w:szCs w:val="24"/>
              </w:rPr>
              <w:t>总线荷载标准值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g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(kN/m): 1.0 </w:t>
            </w:r>
          </w:p>
          <w:p w14:paraId="4B906870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楼梯面层厚度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t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bscript"/>
              </w:rPr>
              <w:t>1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30 </w:t>
            </w:r>
          </w:p>
          <w:p w14:paraId="02065E61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楼梯面层容重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r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bscript"/>
              </w:rPr>
              <w:t>1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(kN/m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perscript"/>
              </w:rPr>
              <w:t>3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): 25 </w:t>
            </w:r>
          </w:p>
          <w:p w14:paraId="40E6F54E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楼梯底面抹灰厚度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t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20 </w:t>
            </w:r>
          </w:p>
          <w:p w14:paraId="2B4B4936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楼梯底面抹灰容重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r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bscript"/>
              </w:rPr>
              <w:t>2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(kN/m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perscript"/>
              </w:rPr>
              <w:t>3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): 18 </w:t>
            </w:r>
          </w:p>
          <w:p w14:paraId="0D70A89C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楼梯混凝土等级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C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30 </w:t>
            </w:r>
          </w:p>
          <w:p w14:paraId="599E6F09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楼梯纵筋级别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HRB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400 </w:t>
            </w:r>
          </w:p>
          <w:p w14:paraId="1EF44293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恒载分项系数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γ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  <w:vertAlign w:val="subscript"/>
              </w:rPr>
              <w:t>G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1.3 </w:t>
            </w:r>
          </w:p>
          <w:p w14:paraId="42724773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活载分项系数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γ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  <w:vertAlign w:val="subscript"/>
              </w:rPr>
              <w:t>Q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1.5 </w:t>
            </w:r>
          </w:p>
          <w:p w14:paraId="263A13C7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活载组合值系数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ψ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  <w:vertAlign w:val="subscript"/>
              </w:rPr>
              <w:t>c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0.7 </w:t>
            </w:r>
          </w:p>
          <w:p w14:paraId="7009E121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活载准永久值系数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ψ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  <w:vertAlign w:val="subscript"/>
              </w:rPr>
              <w:t>q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0.4 </w:t>
            </w:r>
          </w:p>
          <w:p w14:paraId="36F2EAA7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楼梯最小配筋率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(%): 0.25 </w:t>
            </w:r>
          </w:p>
          <w:p w14:paraId="7769B582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是否计算挠度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是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629951C1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挠度计算是否考虑踏步刚度的影响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是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3E93F3EB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挠度控制系数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L</w:t>
            </w:r>
            <w:r>
              <w:rPr>
                <w:rFonts w:hint="eastAsia" w:ascii="Times New Roman" w:hAnsi="Times New Roman" w:eastAsia="Times New Roman"/>
                <w:sz w:val="18"/>
                <w:szCs w:val="24"/>
                <w:vertAlign w:val="subscript"/>
              </w:rPr>
              <w:t>0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/: 200 </w:t>
            </w:r>
          </w:p>
          <w:p w14:paraId="046811D4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输出详细的挠度计算过程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是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7AE29538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是否计算裂缝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是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500E4810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最大裂缝限值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(mm): 0.3 </w:t>
            </w:r>
          </w:p>
          <w:p w14:paraId="72E03F98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输出详细的裂缝计算过程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是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2D35F025">
            <w:pPr>
              <w:spacing w:beforeLines="0" w:afterLines="0"/>
              <w:rPr>
                <w:rFonts w:hint="eastAsia" w:ascii="Times New Roman" w:hAnsi="Times New Roman" w:eastAsia="Times New Roman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输出内力图形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: </w:t>
            </w:r>
            <w:r>
              <w:rPr>
                <w:rFonts w:hint="eastAsia"/>
                <w:sz w:val="18"/>
                <w:szCs w:val="24"/>
              </w:rPr>
              <w:t>是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</w:t>
            </w:r>
          </w:p>
          <w:p w14:paraId="18610114">
            <w:pPr>
              <w:spacing w:beforeLines="0" w:afterLines="0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裂缝计算依据《混凝土结构设计规范》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GB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50010-2010</w:t>
            </w:r>
          </w:p>
        </w:tc>
        <w:tc>
          <w:tcPr>
            <w:tcW w:w="4819" w:type="dxa"/>
            <w:tcBorders>
              <w:tl2br w:val="nil"/>
              <w:tr2bl w:val="nil"/>
            </w:tcBorders>
            <w:noWrap w:val="0"/>
            <w:vAlign w:val="top"/>
          </w:tcPr>
          <w:p w14:paraId="78F16780">
            <w:pPr>
              <w:spacing w:beforeLines="0" w:afterLines="0"/>
              <w:jc w:val="right"/>
              <w:rPr>
                <w:rFonts w:hint="eastAsia"/>
                <w:sz w:val="18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drawing>
                <wp:inline distT="0" distB="0" distL="114300" distR="114300">
                  <wp:extent cx="2894965" cy="1602740"/>
                  <wp:effectExtent l="0" t="0" r="0" b="0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965" cy="160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C5B91E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7D71DB52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二、计算依据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54F877E8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12C119D4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《混凝土结构设计规范》</w:t>
      </w:r>
      <w:r>
        <w:rPr>
          <w:rFonts w:hint="eastAsia" w:ascii="Times New Roman" w:hAnsi="Times New Roman" w:eastAsia="Times New Roman"/>
          <w:i/>
          <w:sz w:val="18"/>
          <w:szCs w:val="24"/>
        </w:rPr>
        <w:t>GB</w:t>
      </w:r>
      <w:r>
        <w:rPr>
          <w:rFonts w:hint="eastAsia" w:ascii="Times New Roman" w:hAnsi="Times New Roman" w:eastAsia="Times New Roman"/>
          <w:sz w:val="18"/>
          <w:szCs w:val="24"/>
        </w:rPr>
        <w:t>50010-2010(2015</w:t>
      </w:r>
      <w:r>
        <w:rPr>
          <w:rFonts w:hint="eastAsia"/>
          <w:sz w:val="18"/>
          <w:szCs w:val="24"/>
        </w:rPr>
        <w:t>年版</w:t>
      </w:r>
      <w:r>
        <w:rPr>
          <w:rFonts w:hint="eastAsia" w:ascii="Times New Roman" w:hAnsi="Times New Roman" w:eastAsia="Times New Roman"/>
          <w:sz w:val="18"/>
          <w:szCs w:val="24"/>
        </w:rPr>
        <w:t>)</w:t>
      </w:r>
    </w:p>
    <w:p w14:paraId="323A143D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2A913985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三、梯段板荷载计算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052E4AE2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2EC86136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梯段板倾斜角度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 xml:space="preserve">: α=arctan(d/a)=arctan(0.171/0.26)=33.4° </w:t>
      </w:r>
    </w:p>
    <w:p w14:paraId="028C2C11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踏步处折算厚度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e=d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/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2+t/cos(α)=0.171/2+0.15/cos(33.4°)=0.265 m</w:t>
      </w:r>
    </w:p>
    <w:p w14:paraId="2836537F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三角形踏步自重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 xml:space="preserve"> g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_k1=(a×d×r)/(2×a)=(0.26×0.171×25)/(2×0.26)=2.14 kN∕m^2</w:t>
      </w:r>
    </w:p>
    <w:p w14:paraId="64991FCF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梯段板厚自重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g_k2=t×r/cos(α)=0.15×25/cos(33.4°)=4.49 kN∕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^2</w:t>
      </w:r>
    </w:p>
    <w:p w14:paraId="6CF05D80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梯段面层自重: g_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k3=〖(a+d)×t_1×r_1〗/a=〖(0.26+0.171)×0.03×25〗/0.26=1.24 kN∕m^2</w:t>
      </w:r>
    </w:p>
    <w:p w14:paraId="075B4A5A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梯段底面抹灰自重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g_k4=〖t_2×r_2〗/cos(α)=〖0.02×18〗/cos(33.4°)=0.43 kN∕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^2</w:t>
      </w:r>
    </w:p>
    <w:p w14:paraId="32D5CB08">
      <w:pPr>
        <w:spacing w:beforeLines="0" w:afterLines="0"/>
        <w:ind w:left="2180"/>
        <w:rPr>
          <w:rFonts w:hint="eastAsia"/>
          <w:sz w:val="18"/>
          <w:szCs w:val="24"/>
        </w:rPr>
      </w:pPr>
      <w:r>
        <w:rPr>
          <w:rFonts w:hint="eastAsia" w:ascii="Times New Roman" w:hAnsi="Times New Roman" w:eastAsia="Times New Roman"/>
          <w:sz w:val="18"/>
          <w:szCs w:val="24"/>
          <w:vertAlign w:val="superscript"/>
        </w:rPr>
        <w:t xml:space="preserve"> </w:t>
      </w:r>
    </w:p>
    <w:p w14:paraId="749FE814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栏杆自重: g_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k5=g_1/(B×cos(α))=1/(1.35×cos(33.4°))=0.89 kN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∕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m^2</w:t>
      </w:r>
    </w:p>
    <w:p w14:paraId="21E09E52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斜段恒载</w:t>
      </w:r>
      <w:r>
        <w:rPr>
          <w:rFonts w:hint="eastAsia" w:ascii="Cambria Math" w:eastAsia="宋体"/>
          <w:i w:val="0"/>
          <w:sz w:val="18"/>
          <w:szCs w:val="24"/>
        </w:rPr>
        <w:t>标准值总计</w:t>
      </w:r>
      <w:r>
        <w:rPr>
          <w:rFonts w:hint="eastAsia" w:ascii="Cambria Math" w:hAnsi="Times New Roman" w:eastAsia="宋体"/>
          <w:i w:val="0"/>
          <w:sz w:val="18"/>
          <w:szCs w:val="24"/>
        </w:rPr>
        <w:t>:</w:t>
      </w:r>
    </w:p>
    <w:p w14:paraId="4152A5D6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𝑞_𝐷1=𝑔_𝑘1+𝑔_𝑘2+𝑔_𝑘3+𝑔_𝑘4+𝑔_𝑘5=2.14+4.49+1.24+0.43+0.89=9.2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𝑘𝑁∕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>^2</w:t>
      </w:r>
    </w:p>
    <w:p w14:paraId="7A95B7A8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楼梯净跨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L_n=L=4.42 m</w:t>
      </w:r>
    </w:p>
    <w:p w14:paraId="4FC74755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楼</w:t>
      </w:r>
      <w:r>
        <w:rPr>
          <w:rFonts w:hint="eastAsia" w:ascii="Cambria Math" w:eastAsia="宋体"/>
          <w:i w:val="0"/>
          <w:sz w:val="18"/>
          <w:szCs w:val="24"/>
        </w:rPr>
        <w:t>梯计</w:t>
      </w:r>
      <w:r>
        <w:rPr>
          <w:rFonts w:hint="eastAsia"/>
          <w:sz w:val="18"/>
          <w:szCs w:val="24"/>
        </w:rPr>
        <w:t>算跨度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504F4A35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𝐿_0=𝑚𝑖𝑛{𝐿_𝑛+(𝑏_𝐴+𝑏_𝐵)/〖2〗,1.05×𝐿_𝑛}=𝑚𝑖𝑛{4.42+(0.2+0.2)/〖2〗,1.05×4.42}=4.62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𝑚</w:t>
      </w:r>
    </w:p>
    <w:p w14:paraId="54D354B0">
      <w:pPr>
        <w:spacing w:beforeLines="0" w:afterLines="0"/>
        <w:ind w:left="397"/>
        <m:rPr/>
        <w:rPr>
          <w:rFonts w:hint="eastAsia" w:hAnsi="Cambria Math" w:eastAsia="Times New Roman" w:cs="Times New Roman"/>
          <w:i/>
          <w:kern w:val="2"/>
          <w:sz w:val="18"/>
          <w:szCs w:val="24"/>
          <w:lang w:val="en-US" w:bidi="ar-SA"/>
        </w:rPr>
      </w:pPr>
    </w:p>
    <w:p w14:paraId="0A3C6BAF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四、荷载简图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0A9358FA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7AEBB913">
      <w:pPr>
        <w:spacing w:beforeLines="0" w:afterLines="0"/>
        <w:ind w:left="397"/>
        <w:rPr>
          <w:rFonts w:hint="eastAsia"/>
          <w:sz w:val="18"/>
          <w:szCs w:val="24"/>
        </w:rPr>
      </w:pPr>
      <w:r>
        <w:rPr>
          <w:rFonts w:hint="default"/>
          <w:sz w:val="24"/>
          <w:szCs w:val="24"/>
        </w:rPr>
        <w:drawing>
          <wp:inline distT="0" distB="0" distL="114300" distR="114300">
            <wp:extent cx="4562475" cy="1787525"/>
            <wp:effectExtent l="0" t="0" r="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1328D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Times New Roman" w:hAnsi="Times New Roman" w:eastAsia="Times New Roman"/>
          <w:sz w:val="18"/>
          <w:szCs w:val="24"/>
        </w:rPr>
        <w:t xml:space="preserve">   </w:t>
      </w:r>
      <w:r>
        <w:rPr>
          <w:rFonts w:hint="eastAsia"/>
          <w:sz w:val="18"/>
          <w:szCs w:val="24"/>
        </w:rPr>
        <w:t>图中标识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  <w:r>
        <w:rPr>
          <w:rFonts w:hint="eastAsia" w:ascii="Times New Roman" w:hAnsi="Times New Roman" w:eastAsia="Times New Roman"/>
          <w:i/>
          <w:sz w:val="18"/>
          <w:szCs w:val="24"/>
        </w:rPr>
        <w:t>G</w:t>
      </w:r>
      <w:r>
        <w:rPr>
          <w:rFonts w:hint="eastAsia" w:ascii="Times New Roman" w:hAnsi="Times New Roman" w:eastAsia="Times New Roman"/>
          <w:sz w:val="18"/>
          <w:szCs w:val="24"/>
        </w:rPr>
        <w:t>-</w:t>
      </w:r>
      <w:r>
        <w:rPr>
          <w:rFonts w:hint="eastAsia"/>
          <w:sz w:val="18"/>
          <w:szCs w:val="24"/>
        </w:rPr>
        <w:t>恒载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  </w:t>
      </w:r>
      <w:r>
        <w:rPr>
          <w:rFonts w:hint="eastAsia" w:ascii="Times New Roman" w:hAnsi="Times New Roman" w:eastAsia="Times New Roman"/>
          <w:i/>
          <w:sz w:val="18"/>
          <w:szCs w:val="24"/>
        </w:rPr>
        <w:t>Q</w:t>
      </w:r>
      <w:r>
        <w:rPr>
          <w:rFonts w:hint="eastAsia" w:ascii="Times New Roman" w:hAnsi="Times New Roman" w:eastAsia="Times New Roman"/>
          <w:sz w:val="18"/>
          <w:szCs w:val="24"/>
        </w:rPr>
        <w:t>-</w:t>
      </w:r>
      <w:r>
        <w:rPr>
          <w:rFonts w:hint="eastAsia"/>
          <w:sz w:val="18"/>
          <w:szCs w:val="24"/>
        </w:rPr>
        <w:t>活载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  </w:t>
      </w:r>
      <w:r>
        <w:rPr>
          <w:rFonts w:hint="eastAsia" w:ascii="Times New Roman" w:hAnsi="Times New Roman" w:eastAsia="Times New Roman"/>
          <w:i/>
          <w:sz w:val="18"/>
          <w:szCs w:val="24"/>
        </w:rPr>
        <w:t>R</w:t>
      </w:r>
      <w:r>
        <w:rPr>
          <w:rFonts w:hint="eastAsia" w:ascii="Times New Roman" w:hAnsi="Times New Roman" w:eastAsia="Times New Roman"/>
          <w:sz w:val="18"/>
          <w:szCs w:val="24"/>
        </w:rPr>
        <w:t>-</w:t>
      </w:r>
      <w:r>
        <w:rPr>
          <w:rFonts w:hint="eastAsia"/>
          <w:sz w:val="18"/>
          <w:szCs w:val="24"/>
        </w:rPr>
        <w:t>人防</w:t>
      </w:r>
    </w:p>
    <w:p w14:paraId="45C31DB2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4616CC0A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五、计算结果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19EDBB52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383E50B0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Times New Roman" w:hAnsi="Times New Roman" w:eastAsia="Times New Roman"/>
          <w:sz w:val="18"/>
          <w:szCs w:val="24"/>
        </w:rPr>
        <w:t xml:space="preserve">   </w:t>
      </w:r>
      <w:r>
        <w:rPr>
          <w:rFonts w:hint="eastAsia"/>
          <w:sz w:val="18"/>
          <w:szCs w:val="24"/>
        </w:rPr>
        <w:t>单位说明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:  </w:t>
      </w:r>
      <w:r>
        <w:rPr>
          <w:rFonts w:hint="eastAsia"/>
          <w:sz w:val="18"/>
          <w:szCs w:val="24"/>
        </w:rPr>
        <w:t>弯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   </w:t>
      </w:r>
      <w:r>
        <w:rPr>
          <w:rFonts w:hint="eastAsia"/>
          <w:sz w:val="18"/>
          <w:szCs w:val="24"/>
        </w:rPr>
        <w:t>矩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kN.m(</w:t>
      </w:r>
      <w:r>
        <w:rPr>
          <w:rFonts w:hint="eastAsia"/>
          <w:sz w:val="18"/>
          <w:szCs w:val="24"/>
        </w:rPr>
        <w:t>每米宽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)        </w:t>
      </w:r>
      <w:r>
        <w:rPr>
          <w:rFonts w:hint="eastAsia"/>
          <w:sz w:val="18"/>
          <w:szCs w:val="24"/>
        </w:rPr>
        <w:t>支座反力</w:t>
      </w:r>
      <w:r>
        <w:rPr>
          <w:rFonts w:hint="eastAsia" w:ascii="Times New Roman" w:hAnsi="Times New Roman" w:eastAsia="Times New Roman"/>
          <w:sz w:val="18"/>
          <w:szCs w:val="24"/>
        </w:rPr>
        <w:t>:kN(</w:t>
      </w:r>
      <w:r>
        <w:rPr>
          <w:rFonts w:hint="eastAsia"/>
          <w:sz w:val="18"/>
          <w:szCs w:val="24"/>
        </w:rPr>
        <w:t>每米宽</w:t>
      </w:r>
      <w:r>
        <w:rPr>
          <w:rFonts w:hint="eastAsia" w:ascii="Times New Roman" w:hAnsi="Times New Roman" w:eastAsia="Times New Roman"/>
          <w:sz w:val="18"/>
          <w:szCs w:val="24"/>
        </w:rPr>
        <w:t>)</w:t>
      </w:r>
    </w:p>
    <w:p w14:paraId="56D4EE9F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Times New Roman" w:hAnsi="Times New Roman" w:eastAsia="Times New Roman"/>
          <w:sz w:val="18"/>
          <w:szCs w:val="24"/>
        </w:rPr>
        <w:t xml:space="preserve">   </w:t>
      </w:r>
      <w:r>
        <w:rPr>
          <w:rFonts w:hint="eastAsia"/>
          <w:sz w:val="18"/>
          <w:szCs w:val="24"/>
        </w:rPr>
        <w:t>纵筋面积</w:t>
      </w:r>
      <w:r>
        <w:rPr>
          <w:rFonts w:hint="eastAsia" w:ascii="Times New Roman" w:hAnsi="Times New Roman" w:eastAsia="Times New Roman"/>
          <w:sz w:val="18"/>
          <w:szCs w:val="24"/>
        </w:rPr>
        <w:t>:mm</w:t>
      </w:r>
      <w:r>
        <w:rPr>
          <w:rFonts w:hint="eastAsia" w:ascii="Times New Roman" w:hAnsi="Times New Roman" w:eastAsia="Times New Roman"/>
          <w:sz w:val="18"/>
          <w:szCs w:val="24"/>
          <w:vertAlign w:val="superscript"/>
        </w:rPr>
        <w:t>2</w:t>
      </w:r>
      <w:r>
        <w:rPr>
          <w:rFonts w:hint="eastAsia" w:ascii="Times New Roman" w:hAnsi="Times New Roman" w:eastAsia="Times New Roman"/>
          <w:sz w:val="18"/>
          <w:szCs w:val="24"/>
        </w:rPr>
        <w:t>(</w:t>
      </w:r>
      <w:r>
        <w:rPr>
          <w:rFonts w:hint="eastAsia"/>
          <w:sz w:val="18"/>
          <w:szCs w:val="24"/>
        </w:rPr>
        <w:t>每米宽</w:t>
      </w:r>
      <w:r>
        <w:rPr>
          <w:rFonts w:hint="eastAsia" w:ascii="Times New Roman" w:hAnsi="Times New Roman" w:eastAsia="Times New Roman"/>
          <w:sz w:val="18"/>
          <w:szCs w:val="24"/>
        </w:rPr>
        <w:t>)</w:t>
      </w:r>
    </w:p>
    <w:p w14:paraId="3BB43AEE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Times New Roman" w:hAnsi="Times New Roman" w:eastAsia="Times New Roman"/>
          <w:sz w:val="18"/>
          <w:szCs w:val="24"/>
        </w:rPr>
        <w:t xml:space="preserve">   </w:t>
      </w:r>
      <w:r>
        <w:rPr>
          <w:rFonts w:hint="eastAsia"/>
          <w:sz w:val="18"/>
          <w:szCs w:val="24"/>
        </w:rPr>
        <w:t>裂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   </w:t>
      </w:r>
      <w:r>
        <w:rPr>
          <w:rFonts w:hint="eastAsia"/>
          <w:sz w:val="18"/>
          <w:szCs w:val="24"/>
        </w:rPr>
        <w:t>缝</w:t>
      </w:r>
      <w:r>
        <w:rPr>
          <w:rFonts w:hint="eastAsia" w:ascii="Times New Roman" w:hAnsi="Times New Roman" w:eastAsia="Times New Roman"/>
          <w:sz w:val="18"/>
          <w:szCs w:val="24"/>
        </w:rPr>
        <w:t>:mm</w:t>
      </w:r>
      <w:r>
        <w:rPr>
          <w:rFonts w:hint="eastAsia" w:ascii="Times New Roman" w:hAnsi="Times New Roman" w:eastAsia="Times New Roman"/>
          <w:sz w:val="18"/>
          <w:szCs w:val="24"/>
        </w:rPr>
        <w:tab/>
      </w:r>
      <w:r>
        <w:rPr>
          <w:rFonts w:hint="eastAsia" w:ascii="Times New Roman" w:hAnsi="Times New Roman" w:eastAsia="Times New Roman"/>
          <w:sz w:val="18"/>
          <w:szCs w:val="24"/>
        </w:rPr>
        <w:tab/>
      </w:r>
      <w:r>
        <w:rPr>
          <w:rFonts w:hint="eastAsia"/>
          <w:sz w:val="18"/>
          <w:szCs w:val="24"/>
        </w:rPr>
        <w:t>挠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   </w:t>
      </w:r>
      <w:r>
        <w:rPr>
          <w:rFonts w:hint="eastAsia"/>
          <w:sz w:val="18"/>
          <w:szCs w:val="24"/>
        </w:rPr>
        <w:t>度</w:t>
      </w:r>
      <w:r>
        <w:rPr>
          <w:rFonts w:hint="eastAsia" w:ascii="Times New Roman" w:hAnsi="Times New Roman" w:eastAsia="Times New Roman"/>
          <w:sz w:val="18"/>
          <w:szCs w:val="24"/>
        </w:rPr>
        <w:t>:mm</w:t>
      </w:r>
    </w:p>
    <w:p w14:paraId="5C8C864C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Times New Roman" w:hAnsi="Times New Roman" w:eastAsia="Times New Roman"/>
          <w:sz w:val="18"/>
          <w:szCs w:val="24"/>
        </w:rPr>
        <w:t xml:space="preserve">   </w:t>
      </w:r>
      <w:r>
        <w:rPr>
          <w:rFonts w:hint="eastAsia"/>
          <w:sz w:val="18"/>
          <w:szCs w:val="24"/>
        </w:rPr>
        <w:t>符号说明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:  Ø - </w:t>
      </w:r>
      <w:r>
        <w:rPr>
          <w:rFonts w:hint="eastAsia" w:ascii="Times New Roman" w:hAnsi="Times New Roman" w:eastAsia="Times New Roman"/>
          <w:i/>
          <w:sz w:val="18"/>
          <w:szCs w:val="24"/>
        </w:rPr>
        <w:t>HPB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235  </w:t>
      </w:r>
      <w:r>
        <w:rPr>
          <w:rFonts w:hint="eastAsia" w:ascii="GJFH" w:hAnsi="GJFH" w:eastAsia="GJFH"/>
          <w:sz w:val="18"/>
          <w:szCs w:val="24"/>
        </w:rPr>
        <w:t>A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- </w:t>
      </w:r>
      <w:r>
        <w:rPr>
          <w:rFonts w:hint="eastAsia" w:ascii="Times New Roman" w:hAnsi="Times New Roman" w:eastAsia="Times New Roman"/>
          <w:i/>
          <w:sz w:val="18"/>
          <w:szCs w:val="24"/>
        </w:rPr>
        <w:t>HPB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300  </w:t>
      </w:r>
      <w:r>
        <w:rPr>
          <w:rFonts w:hint="eastAsia" w:ascii="GJFH" w:hAnsi="GJFH" w:eastAsia="GJFH"/>
          <w:sz w:val="18"/>
          <w:szCs w:val="24"/>
        </w:rPr>
        <w:t>B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- </w:t>
      </w:r>
      <w:r>
        <w:rPr>
          <w:rFonts w:hint="eastAsia" w:ascii="Times New Roman" w:hAnsi="Times New Roman" w:eastAsia="Times New Roman"/>
          <w:i/>
          <w:sz w:val="18"/>
          <w:szCs w:val="24"/>
        </w:rPr>
        <w:t>HRB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335  </w:t>
      </w:r>
      <w:r>
        <w:rPr>
          <w:rFonts w:hint="eastAsia" w:ascii="GJFH" w:hAnsi="GJFH" w:eastAsia="GJFH"/>
          <w:sz w:val="18"/>
          <w:szCs w:val="24"/>
        </w:rPr>
        <w:t>C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- </w:t>
      </w:r>
      <w:r>
        <w:rPr>
          <w:rFonts w:hint="eastAsia" w:ascii="Times New Roman" w:hAnsi="Times New Roman" w:eastAsia="Times New Roman"/>
          <w:i/>
          <w:sz w:val="18"/>
          <w:szCs w:val="24"/>
        </w:rPr>
        <w:t>HRB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400  </w:t>
      </w:r>
      <w:r>
        <w:rPr>
          <w:rFonts w:hint="eastAsia" w:ascii="GJFH" w:hAnsi="GJFH" w:eastAsia="GJFH"/>
          <w:sz w:val="18"/>
          <w:szCs w:val="24"/>
        </w:rPr>
        <w:t>D</w:t>
      </w:r>
      <w:r>
        <w:rPr>
          <w:rFonts w:hint="eastAsia" w:ascii="Times New Roman" w:hAnsi="Times New Roman" w:eastAsia="Times New Roman"/>
          <w:sz w:val="18"/>
          <w:szCs w:val="24"/>
        </w:rPr>
        <w:t xml:space="preserve"> - </w:t>
      </w:r>
      <w:r>
        <w:rPr>
          <w:rFonts w:hint="eastAsia" w:ascii="Times New Roman" w:hAnsi="Times New Roman" w:eastAsia="Times New Roman"/>
          <w:i/>
          <w:sz w:val="18"/>
          <w:szCs w:val="24"/>
        </w:rPr>
        <w:t>HRB</w:t>
      </w:r>
      <w:r>
        <w:rPr>
          <w:rFonts w:hint="eastAsia" w:ascii="Times New Roman" w:hAnsi="Times New Roman" w:eastAsia="Times New Roman"/>
          <w:sz w:val="18"/>
          <w:szCs w:val="24"/>
        </w:rPr>
        <w:t>500</w:t>
      </w:r>
    </w:p>
    <w:p w14:paraId="53C6ECDC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Times New Roman" w:hAnsi="Times New Roman" w:eastAsia="Times New Roman"/>
          <w:sz w:val="18"/>
          <w:szCs w:val="24"/>
        </w:rPr>
        <w:t>(1)</w:t>
      </w:r>
      <w:r>
        <w:rPr>
          <w:rFonts w:hint="eastAsia"/>
          <w:sz w:val="18"/>
          <w:szCs w:val="24"/>
        </w:rPr>
        <w:t>以下是非人防组合下的内力、配筋计算结果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7CF40298">
      <w:pPr>
        <w:spacing w:beforeLines="0" w:afterLines="0"/>
        <w:ind w:left="397"/>
        <w:rPr>
          <w:rFonts w:hint="eastAsia"/>
          <w:sz w:val="18"/>
          <w:szCs w:val="24"/>
        </w:rPr>
      </w:pPr>
    </w:p>
    <w:tbl>
      <w:tblPr>
        <w:tblStyle w:val="2"/>
        <w:tblW w:w="0" w:type="auto"/>
        <w:tblInd w:w="794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1701"/>
        <w:gridCol w:w="1701"/>
        <w:gridCol w:w="1701"/>
      </w:tblGrid>
      <w:tr w14:paraId="29558D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268" w:type="dxa"/>
            <w:tcBorders>
              <w:tl2br w:val="nil"/>
              <w:tr2bl w:val="nil"/>
            </w:tcBorders>
            <w:noWrap w:val="0"/>
            <w:vAlign w:val="center"/>
          </w:tcPr>
          <w:p w14:paraId="4188A0AC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项目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696AF237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A</w:t>
            </w:r>
            <w:r>
              <w:rPr>
                <w:rFonts w:hint="eastAsia"/>
                <w:sz w:val="18"/>
                <w:szCs w:val="24"/>
              </w:rPr>
              <w:t>端支座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6756D9C1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跨中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4B615B71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B</w:t>
            </w:r>
            <w:r>
              <w:rPr>
                <w:rFonts w:hint="eastAsia"/>
                <w:sz w:val="18"/>
                <w:szCs w:val="24"/>
              </w:rPr>
              <w:t>端支座</w:t>
            </w:r>
          </w:p>
        </w:tc>
      </w:tr>
      <w:tr w14:paraId="68CBA5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5EAEEB4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M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(</w:t>
            </w:r>
            <w:r>
              <w:rPr>
                <w:rFonts w:hint="eastAsia"/>
                <w:sz w:val="18"/>
                <w:szCs w:val="24"/>
              </w:rPr>
              <w:t>基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 xml:space="preserve">  </w:t>
            </w:r>
            <w:r>
              <w:rPr>
                <w:rFonts w:hint="eastAsia"/>
                <w:sz w:val="18"/>
                <w:szCs w:val="24"/>
              </w:rPr>
              <w:t>本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66DBBF4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-23.0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0F42221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36.7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E6AFB76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-23.0</w:t>
            </w:r>
          </w:p>
        </w:tc>
      </w:tr>
      <w:tr w14:paraId="043946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B6BB262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M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(</w:t>
            </w:r>
            <w:r>
              <w:rPr>
                <w:rFonts w:hint="eastAsia"/>
                <w:sz w:val="18"/>
                <w:szCs w:val="24"/>
              </w:rPr>
              <w:t>准永久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67A8BF9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-14.1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F3DE0B2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22.6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27E9603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-14.1</w:t>
            </w:r>
          </w:p>
        </w:tc>
      </w:tr>
      <w:tr w14:paraId="17EA65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16D2661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支座反力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651F6E7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39.8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5924B5D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59670106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39.8</w:t>
            </w:r>
          </w:p>
        </w:tc>
      </w:tr>
      <w:tr w14:paraId="50836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8F4E59D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计算面积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16E462C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530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09EE105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880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C8CD11A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530</w:t>
            </w:r>
          </w:p>
        </w:tc>
      </w:tr>
      <w:tr w14:paraId="5D2937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3B3041B1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实配钢筋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9553C59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GJFH" w:hAnsi="GJFH" w:eastAsia="GJFH"/>
                <w:sz w:val="18"/>
                <w:szCs w:val="24"/>
              </w:rPr>
              <w:t>C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10@12</w:t>
            </w:r>
            <w:r>
              <w:rPr>
                <w:rFonts w:hint="eastAsia"/>
                <w:sz w:val="18"/>
                <w:szCs w:val="24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C28E574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GJFH" w:hAnsi="GJFH" w:eastAsia="GJFH"/>
                <w:sz w:val="18"/>
                <w:szCs w:val="24"/>
              </w:rPr>
              <w:t>C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12@12</w:t>
            </w:r>
            <w:r>
              <w:rPr>
                <w:rFonts w:hint="eastAsia"/>
                <w:sz w:val="18"/>
                <w:szCs w:val="24"/>
              </w:rPr>
              <w:t>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F9A8FD9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GJFH" w:hAnsi="GJFH" w:eastAsia="GJFH"/>
                <w:sz w:val="18"/>
                <w:szCs w:val="24"/>
              </w:rPr>
              <w:t>C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10@12</w:t>
            </w:r>
            <w:r>
              <w:rPr>
                <w:rFonts w:hint="eastAsia"/>
                <w:sz w:val="18"/>
                <w:szCs w:val="24"/>
              </w:rPr>
              <w:t>5</w:t>
            </w:r>
          </w:p>
        </w:tc>
      </w:tr>
      <w:tr w14:paraId="5B763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37A34EC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实配面积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0A829EA4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628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71A0A604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905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3FE3A39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628</w:t>
            </w:r>
          </w:p>
        </w:tc>
      </w:tr>
      <w:tr w14:paraId="63C035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244DEAB7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裂缝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(</w:t>
            </w:r>
            <w:r>
              <w:rPr>
                <w:rFonts w:hint="eastAsia" w:ascii="Times New Roman" w:hAnsi="Times New Roman" w:eastAsia="Times New Roman"/>
                <w:i/>
                <w:sz w:val="18"/>
                <w:szCs w:val="24"/>
              </w:rPr>
              <w:t>mm</w:t>
            </w: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)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6E9257D5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0.099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17450EF9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0.153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 w14:paraId="4C5479FF">
            <w:pPr>
              <w:spacing w:beforeLines="0" w:afterLines="0"/>
              <w:jc w:val="center"/>
              <w:rPr>
                <w:rFonts w:hint="eastAsia"/>
                <w:sz w:val="18"/>
                <w:szCs w:val="24"/>
              </w:rPr>
            </w:pPr>
            <w:r>
              <w:rPr>
                <w:rFonts w:hint="eastAsia" w:ascii="Times New Roman" w:hAnsi="Times New Roman" w:eastAsia="Times New Roman"/>
                <w:sz w:val="18"/>
                <w:szCs w:val="24"/>
              </w:rPr>
              <w:t>0.099</w:t>
            </w:r>
          </w:p>
        </w:tc>
      </w:tr>
    </w:tbl>
    <w:p w14:paraId="0FCD6205">
      <w:pPr>
        <w:spacing w:beforeLines="0" w:afterLines="0"/>
        <w:ind w:left="794"/>
        <w:rPr>
          <w:rFonts w:hint="eastAsia"/>
          <w:sz w:val="18"/>
          <w:szCs w:val="24"/>
        </w:rPr>
      </w:pPr>
    </w:p>
    <w:p w14:paraId="03189931">
      <w:pPr>
        <w:spacing w:beforeLines="0" w:afterLines="0"/>
        <w:ind w:left="794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最大裂缝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:0.153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mm≤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0.3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mm,满足设计要求。</w:t>
      </w:r>
    </w:p>
    <w:p w14:paraId="143C3667">
      <w:pPr>
        <w:spacing w:beforeLines="0" w:afterLines="0"/>
        <w:ind w:left="794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最大挠度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:19.9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mm,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[L_0/232]≤[L_0/200],满足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设计要求。</w:t>
      </w:r>
    </w:p>
    <w:p w14:paraId="18FBB26D">
      <w:pPr>
        <w:spacing w:beforeLines="0" w:afterLines="0"/>
        <w:ind w:left="794"/>
        <m:rPr/>
        <w:rPr>
          <w:rFonts w:hint="eastAsia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</w:p>
    <w:p w14:paraId="106E5C44">
      <w:pPr>
        <w:spacing w:beforeLines="0" w:afterLines="0"/>
        <w:ind w:left="794"/>
        <w:rPr>
          <w:rFonts w:hint="eastAsia"/>
          <w:sz w:val="18"/>
          <w:szCs w:val="24"/>
        </w:rPr>
      </w:pPr>
    </w:p>
    <w:p w14:paraId="60363D61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六、裂缝计算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0492C60B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42816AD8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受拉钢筋实配面积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A_s=905 mm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^2</w:t>
      </w:r>
    </w:p>
    <w:p w14:paraId="7F32BB4B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受拉钢筋等效直径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d_eq=12 mm</w:t>
      </w:r>
    </w:p>
    <w:p w14:paraId="325E46E0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受拉钢筋保护层厚度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c_s=15 mm</w:t>
      </w:r>
    </w:p>
    <w:p w14:paraId="6816C784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混凝土轴心抗拉强度标准值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f_tk=2.01 N∕m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m^2</w:t>
      </w:r>
    </w:p>
    <w:p w14:paraId="48BF1D83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钢筋弹性模量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E_s=200000 N∕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mm^2</w:t>
      </w:r>
    </w:p>
    <w:p w14:paraId="2D871E39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截面有效高度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h_0=h−c_s−d_eq/2=150−15−12/2=129 mm</w:t>
      </w:r>
    </w:p>
    <w:p w14:paraId="331184D0">
      <w:pPr>
        <w:spacing w:beforeLines="0" w:afterLines="0"/>
        <w:ind w:left="1812"/>
        <w:rPr>
          <w:rFonts w:hint="eastAsia"/>
          <w:sz w:val="18"/>
          <w:szCs w:val="24"/>
        </w:rPr>
      </w:pPr>
      <w:r>
        <w:rPr>
          <w:rFonts w:hint="eastAsia" w:ascii="Times New Roman" w:hAnsi="Times New Roman" w:eastAsia="Times New Roman"/>
          <w:sz w:val="18"/>
          <w:szCs w:val="24"/>
        </w:rPr>
        <w:t xml:space="preserve"> </w:t>
      </w:r>
    </w:p>
    <w:p w14:paraId="4FE5E21D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Cambria Math" w:eastAsia="宋体"/>
          <w:i w:val="0"/>
          <w:sz w:val="18"/>
          <w:szCs w:val="24"/>
        </w:rPr>
        <w:t>按有效</w:t>
      </w:r>
      <w:r>
        <w:rPr>
          <w:rFonts w:hint="eastAsia"/>
          <w:sz w:val="18"/>
          <w:szCs w:val="24"/>
        </w:rPr>
        <w:t>受拉混凝土截面面积计算的纵向受拉钢筋配筋率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7C791D0C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𝜌_𝑡𝑒=𝐴_𝑠/(0.5×𝑏×ℎ)=905/(0.5×1000×150)=0.0121 </w:t>
      </w:r>
    </w:p>
    <w:p w14:paraId="1887A516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受拉钢筋的应力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497D9B81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𝜎_𝑠𝑞=𝑀_𝑞/(0.87×𝐴_𝑠×ℎ_0)=22624000/(0.87×905×129)=222.8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𝑁∕𝑚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>^2</w:t>
      </w:r>
    </w:p>
    <w:p w14:paraId="118A4839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𝜓=1.1−0.65×𝑓_𝑡𝑘/(𝜌_𝑡𝑒×𝜎_𝑠𝑞)=1.1−0.65×2.01/(0.0121×222.8)=0.6139 </w:t>
      </w:r>
    </w:p>
    <w:p w14:paraId="42A013EE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当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c_s &lt; 20mm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 xml:space="preserve"> 时，取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 xml:space="preserve"> 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 xml:space="preserve"> c_s=20 mm</w:t>
      </w:r>
    </w:p>
    <w:p w14:paraId="6DABE639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构件受力特征系数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α_cr=1.9</w:t>
      </w:r>
    </w:p>
    <w:p w14:paraId="2D2F77B6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𝐿_𝑚=1.9×𝑐_𝑠+0.08×𝑑_𝑒𝑞/𝜌_𝑡𝑒=1.9×20+0.08×12/0.0121=117.58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𝑚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/>
      </w:r>
    </w:p>
    <w:p w14:paraId="72BE1452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𝑤=𝛼_𝑐𝑟×𝜓×𝜎_𝑠𝑞×𝐿_𝑚/𝐸_𝑠=1.9×0.6139×222.8×117.58/200000=0.153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𝑚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/>
      </w:r>
    </w:p>
    <w:p w14:paraId="4DE11E0D">
      <w:pPr>
        <w:spacing w:beforeLines="0" w:afterLines="0"/>
        <w:ind w:left="397"/>
        <m:rPr/>
        <w:rPr>
          <w:rFonts w:hint="eastAsia" w:hAnsi="Cambria Math" w:eastAsia="Times New Roman" w:cs="Times New Roman"/>
          <w:i/>
          <w:kern w:val="2"/>
          <w:sz w:val="18"/>
          <w:szCs w:val="24"/>
          <w:lang w:val="en-US" w:bidi="ar-SA"/>
        </w:rPr>
      </w:pPr>
    </w:p>
    <w:p w14:paraId="349BA679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七、挠度计算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0164EDE3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7ADB727F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板弹性挠度计算值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f=4.470358 m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</w:t>
      </w:r>
    </w:p>
    <w:p w14:paraId="13BCC643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混凝土轴心抗拉强度标准值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f_tk=2.01 N∕m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m^2</w:t>
      </w:r>
    </w:p>
    <w:p w14:paraId="56A4D74B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混凝土弹性模量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E_c=30000 N∕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mm^2</w:t>
      </w:r>
    </w:p>
    <w:p w14:paraId="746503FD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钢筋弹性模量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E_s=200000 N∕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mm^2</w:t>
      </w:r>
    </w:p>
    <w:p w14:paraId="2F1813B4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ℎ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_0=𝑡−𝑐_2−𝑑/2=150−15−12/2=129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𝑚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/>
      </w:r>
    </w:p>
    <w:p w14:paraId="76EEB712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准永久荷载组合弯矩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M_q=22624000 N.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</w:t>
      </w:r>
    </w:p>
    <w:p w14:paraId="2EAF13EC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实配钢筋面积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A_s=905 mm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^2</w:t>
      </w:r>
    </w:p>
    <w:p w14:paraId="36C52041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受拉区纵筋应力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σ_sq=M_q/(0.87×A_s×h_0)=22624000/(0.87×905×129)=222.8 N∕mm^2</w:t>
      </w:r>
    </w:p>
    <w:p w14:paraId="09F5041D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 w:ascii="Cambria Math" w:eastAsia="宋体"/>
          <w:i w:val="0"/>
          <w:sz w:val="18"/>
          <w:szCs w:val="24"/>
        </w:rPr>
        <w:t>按有效受拉混</w:t>
      </w:r>
      <w:r>
        <w:rPr>
          <w:rFonts w:hint="eastAsia"/>
          <w:sz w:val="18"/>
          <w:szCs w:val="24"/>
        </w:rPr>
        <w:t>凝土截面面积计算的纵向受拉钢筋配筋率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00DEE868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𝜌_𝑡𝑒=𝐴_𝑠/(0.5×𝑏×ℎ)=905/(0.5×1000×150)=0.0121 </w:t>
      </w:r>
    </w:p>
    <w:p w14:paraId="730BBC43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𝜓=1.1−0.65×𝑓_𝑡𝑘/(𝜌_𝑡𝑒×𝜎_𝑠𝑞)=1.1−0.65×2.01/(0.0121×222.8)=0.6139 </w:t>
      </w:r>
    </w:p>
    <w:p w14:paraId="71AD2D87">
      <w:pPr>
        <w:spacing w:beforeLines="0" w:afterLines="0"/>
        <w:ind w:left="397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钢筋弹性模量与混凝土弹性模量的比值</w:t>
      </w:r>
      <w:r>
        <w:rPr>
          <w:rFonts w:hint="eastAsia" w:ascii="Times New Roman" w:hAnsi="Times New Roman" w:eastAsia="Times New Roman"/>
          <w:sz w:val="18"/>
          <w:szCs w:val="24"/>
        </w:rPr>
        <w:t>:</w:t>
      </w:r>
    </w:p>
    <w:p w14:paraId="667359EE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𝛼_𝐸=𝐸_𝑠/𝐸_𝑐=200000/30000=6.6667 </w:t>
      </w:r>
    </w:p>
    <w:p w14:paraId="3AD53DEC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受拉钢筋配筋率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 xml:space="preserve">:  ρ=A_s/(b×h_0)=905/(1000×129)=0.007 </w:t>
      </w:r>
    </w:p>
    <w:p w14:paraId="44F4E598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受压钢筋配筋率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:ρ'=0</w:t>
      </w:r>
    </w:p>
    <w:p w14:paraId="4724DA29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当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ρ'=0时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，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取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: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θ=2.0</w:t>
      </w:r>
    </w:p>
    <w:p w14:paraId="4D6AEE85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考虑踏步刚度后的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 xml:space="preserve">  h_0=158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mm</w:t>
      </w:r>
    </w:p>
    <w:p w14:paraId="5F876807">
      <w:pPr>
        <w:spacing w:beforeLines="0" w:afterLines="0"/>
        <w:ind w:left="397"/>
        <m:rPr/>
        <w:rPr>
          <w:rFonts w:hint="default" w:hAnsi="Cambria Math" w:cs="Times New Roman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█(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采用荷载准永久组合时短期刚度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B_s &amp;=(E_s×A_s×h_0^2)/(1.15×ψ+0.2+6×α_E×ρ)@&amp;=(200000×905×158^2)/(1.15×0.6139+0.2+6×6.6667×0.007)@&amp;=3789186000000 N.mm^2)</w:t>
      </w:r>
    </w:p>
    <w:p w14:paraId="6062A499">
      <w:pPr>
        <w:spacing w:beforeLines="0" w:afterLines="0"/>
        <w:ind w:left="397"/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采用荷载准永久组合时长期刚度</w:t>
      </w:r>
      <w:r>
        <m:rPr/>
        <w:rPr>
          <w:rFonts w:hint="default" w:ascii="Cambria Math" w:hAnsi="Cambria Math" w:cs="Times New Roman"/>
          <w:kern w:val="2"/>
          <w:sz w:val="18"/>
          <w:szCs w:val="24"/>
          <w:lang w:val="en-US" w:bidi="ar-SA"/>
          <w:oMath/>
        </w:rPr>
        <w:t>:  B_L=B_s/θ=3789186000000/2=1894593000000 N.mm^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2</w:t>
      </w:r>
    </w:p>
    <w:p w14:paraId="0913560E">
      <w:pPr>
        <w:spacing w:beforeLines="0" w:afterLines="0"/>
        <w:ind w:left="397"/>
        <m:rPr/>
        <w:rPr>
          <w:rFonts w:hint="default" w:hAnsi="Cambria Math" w:eastAsia="Times New Roman" w:cs="Times New Roman"/>
          <w:i/>
          <w:kern w:val="2"/>
          <w:sz w:val="18"/>
          <w:szCs w:val="24"/>
          <w:lang w:val="en-US" w:bidi="ar-SA"/>
        </w:rPr>
      </w:pP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𝐸𝐼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 xml:space="preserve">=𝐸_𝑐×〖𝑏×𝑡^3〗/12=30000×〖1000×150^3〗/12=8437500000000 </w:t>
      </w:r>
      <w:r>
        <m:rPr/>
        <w:rPr>
          <w:rFonts w:hint="default" w:ascii="Cambria Math" w:hAnsi="Cambria Math" w:eastAsia="宋体" w:cs="Times New Roman"/>
          <w:i w:val="0"/>
          <w:kern w:val="2"/>
          <w:sz w:val="18"/>
          <w:szCs w:val="24"/>
          <w:lang w:val="en-US" w:bidi="ar-SA"/>
          <w:oMath/>
        </w:rPr>
        <w:t>𝑁.𝑚</w:t>
      </w:r>
      <w:r>
        <m:rPr/>
        <w:rPr>
          <w:rFonts w:hint="default" w:ascii="Cambria Math" w:hAnsi="Cambria Math" w:eastAsia="Times New Roman" w:cs="Times New Roman"/>
          <w:i/>
          <w:kern w:val="2"/>
          <w:sz w:val="18"/>
          <w:szCs w:val="24"/>
          <w:lang w:val="en-US" w:bidi="ar-SA"/>
          <w:oMath/>
        </w:rPr>
        <w:t>^2</w:t>
      </w:r>
    </w:p>
    <w:p w14:paraId="35236DA1">
      <w:pPr>
        <w:spacing w:beforeLines="0" w:afterLines="0"/>
        <w:ind w:left="397"/>
        <w:rPr>
          <w:rFonts w:hint="default" w:ascii="Cambria Math"/>
          <w:sz w:val="18"/>
          <w:szCs w:val="24"/>
          <w:lang w:val="en-US"/>
        </w:rPr>
      </w:pPr>
      <w:r>
        <w:rPr>
          <w:rFonts w:hint="default" w:ascii="Cambria Math" w:eastAsia="宋体"/>
          <w:i w:val="0"/>
          <w:sz w:val="18"/>
          <w:szCs w:val="24"/>
          <w:lang w:val="en-US"/>
        </w:rPr>
        <w:t>荷载长期作用影响下的挠度</w:t>
      </w:r>
      <w:r>
        <w:rPr>
          <w:rFonts w:hint="default" w:ascii="Cambria Math"/>
          <w:sz w:val="18"/>
          <w:szCs w:val="24"/>
          <w:lang w:val="en-US"/>
        </w:rPr>
        <w:t>:  f_L=f×EI/B_L=4.470358×8437500000000/1894593000000=19.91 mm</w:t>
      </w:r>
    </w:p>
    <w:p w14:paraId="39D6A068">
      <w:pPr>
        <w:spacing w:beforeLines="0" w:afterLines="0"/>
        <w:ind w:left="397"/>
        <w:rPr>
          <w:rFonts w:hint="default" w:ascii="Cambria Math"/>
          <w:sz w:val="18"/>
          <w:szCs w:val="24"/>
          <w:lang w:val="en-US"/>
        </w:rPr>
      </w:pPr>
    </w:p>
    <w:p w14:paraId="4A2F3ABC">
      <w:pPr>
        <w:spacing w:beforeLines="0" w:afterLines="0"/>
        <w:rPr>
          <w:rFonts w:hint="eastAsia" w:ascii="Times New Roman" w:hAnsi="Times New Roman" w:eastAsia="Times New Roman"/>
          <w:sz w:val="18"/>
          <w:szCs w:val="24"/>
        </w:rPr>
      </w:pPr>
      <w:r>
        <w:rPr>
          <w:rFonts w:hint="eastAsia"/>
          <w:sz w:val="18"/>
          <w:szCs w:val="24"/>
        </w:rPr>
        <w:t>八、内</w:t>
      </w:r>
      <w:r>
        <w:rPr>
          <w:rFonts w:hint="eastAsia" w:ascii="Cambria Math" w:eastAsia="宋体"/>
          <w:i w:val="0"/>
          <w:sz w:val="18"/>
          <w:szCs w:val="24"/>
        </w:rPr>
        <w:t>力图</w:t>
      </w:r>
      <w:r>
        <w:rPr>
          <w:rFonts w:hint="eastAsia" w:ascii="Cambria Math" w:hAnsi="Times New Roman" w:eastAsia="宋体"/>
          <w:i w:val="0"/>
          <w:sz w:val="18"/>
          <w:szCs w:val="24"/>
        </w:rPr>
        <w:t>:</w:t>
      </w:r>
    </w:p>
    <w:p w14:paraId="4339CC67">
      <w:pPr>
        <w:spacing w:beforeLines="0" w:afterLines="0"/>
        <w:ind w:left="397"/>
        <w:rPr>
          <w:rFonts w:hint="eastAsia"/>
          <w:sz w:val="18"/>
          <w:szCs w:val="24"/>
        </w:rPr>
      </w:pPr>
    </w:p>
    <w:p w14:paraId="68065C2F">
      <w:pPr>
        <w:spacing w:beforeLines="0" w:afterLines="0"/>
        <w:ind w:left="397"/>
        <w:rPr>
          <w:rFonts w:hint="eastAsia"/>
          <w:sz w:val="18"/>
          <w:szCs w:val="24"/>
        </w:rPr>
      </w:pPr>
      <w:r>
        <w:rPr>
          <w:rFonts w:hint="default"/>
          <w:sz w:val="24"/>
          <w:szCs w:val="24"/>
        </w:rPr>
        <w:drawing>
          <wp:inline distT="0" distB="0" distL="114300" distR="114300">
            <wp:extent cx="1818640" cy="1433830"/>
            <wp:effectExtent l="0" t="0" r="1016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</w:rPr>
        <w:drawing>
          <wp:inline distT="0" distB="0" distL="114300" distR="114300">
            <wp:extent cx="2300605" cy="14344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</w:rPr>
        <w:drawing>
          <wp:inline distT="0" distB="0" distL="114300" distR="114300">
            <wp:extent cx="1818640" cy="1421130"/>
            <wp:effectExtent l="0" t="0" r="10160" b="0"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24"/>
        </w:rPr>
        <w:drawing>
          <wp:inline distT="0" distB="0" distL="114300" distR="114300">
            <wp:extent cx="2300605" cy="1434465"/>
            <wp:effectExtent l="0" t="0" r="0" b="0"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75BC2">
      <w:bookmarkStart w:id="0" w:name="_GoBack"/>
      <w:sdt>
        <w:sdtPr>
          <w:rPr>
            <w:rFonts w:ascii="Cambria Math" w:hAnsi="Cambria Math" w:eastAsia="宋体" w:cs="Times New Roman"/>
            <w:kern w:val="2"/>
            <w:sz w:val="18"/>
            <w:szCs w:val="24"/>
            <w:lang w:val="en-US" w:eastAsia="zh-CN" w:bidi="ar-SA"/>
          </w:rPr>
          <w:id w:val="147453392"/>
          <w:placeholder>
            <w:docPart w:val="DefaultPlaceholder_2098659788"/>
          </w:placeholder>
          <w:temporary/>
          <w:showingPlcHdr/>
          <w:equation/>
        </w:sdtPr>
        <w:sdtEndPr>
          <w:rPr>
            <w:rFonts w:ascii="Cambria Math" w:hAnsi="Cambria Math" w:eastAsia="宋体" w:cs="Times New Roman"/>
            <w:kern w:val="2"/>
            <w:sz w:val="18"/>
            <w:szCs w:val="24"/>
            <w:lang w:val="en-US" w:eastAsia="zh-CN" w:bidi="ar-SA"/>
          </w:rPr>
        </w:sdtEndPr>
        <w:sdtContent>
          <m:oMathPara>
            <m:oMath>
              <m:r>
                <m:rPr>
                  <m:sty m:val="p"/>
                </m:rPr>
                <w:rPr>
                  <w:rFonts w:ascii="Cambria Math" w:hAnsi="Cambria Math"/>
                  <w:color w:val="808080"/>
                </w:rPr>
                <m:t>在此处键入公式。</m:t>
              </m:r>
              <w:bookmarkEnd w:id="0"/>
            </m:oMath>
          </m:oMathPara>
        </w:sdtContent>
      </w:sdt>
    </w:p>
    <w:sectPr>
      <w:pgSz w:w="11907" w:h="16839"/>
      <w:pgMar w:top="1417" w:right="1134" w:bottom="1417" w:left="1134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JFH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CD3F0E"/>
    <w:rsid w:val="0F3F27A7"/>
    <w:rsid w:val="1FCE3A4E"/>
    <w:rsid w:val="4DAD3306"/>
    <w:rsid w:val="6C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unhideWhenUsed/>
    <w:uiPriority w:val="99"/>
    <w:rPr>
      <w:rFonts w:hint="eastAsia"/>
      <w:sz w:val="18"/>
      <w:szCs w:val="24"/>
    </w:rPr>
  </w:style>
  <w:style w:type="character" w:styleId="5">
    <w:name w:val="Hyperlink"/>
    <w:unhideWhenUsed/>
    <w:uiPriority w:val="99"/>
    <w:rPr>
      <w:rFonts w:hint="eastAsia" w:ascii="宋体" w:hAnsi="宋体" w:eastAsia="宋体"/>
      <w:color w:val="0000FF"/>
      <w:sz w:val="18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emf"/><Relationship Id="rId8" Type="http://schemas.openxmlformats.org/officeDocument/2006/relationships/image" Target="media/image5.emf"/><Relationship Id="rId7" Type="http://schemas.openxmlformats.org/officeDocument/2006/relationships/image" Target="media/image4.emf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209865978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c0bdf7-2441-4508-ae31-3b713afce447}"/>
      </w:docPartPr>
      <w:docPartBody>
        <w:p w14:paraId="7873BE10">
          <w:r>
            <w:rPr>
              <w:color w:val="808080"/>
            </w:rPr>
            <w:t>在此处键入公式。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1299</Words>
  <Characters>2903</Characters>
  <Lines>0</Lines>
  <Paragraphs>0</Paragraphs>
  <TotalTime>4067</TotalTime>
  <ScaleCrop>false</ScaleCrop>
  <LinksUpToDate>false</LinksUpToDate>
  <CharactersWithSpaces>3134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2025-02-16T09:01:00Z</dcterms:created>
  <dc:creator>1</dc:creator>
  <cp:lastModifiedBy>1</cp:lastModifiedBy>
  <dcterms:modified xsi:type="dcterms:W3CDTF">2025-02-16T09:01:38Z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3EB6E308CC4449939822A143EC296E8F_11</vt:lpwstr>
  </property>
  <property fmtid="{D5CDD505-2E9C-101B-9397-08002B2CF9AE}" pid="4" name="KSOTemplateDocerSaveRecord">
    <vt:lpwstr>eyJoZGlkIjoiY2QzM2QyODQ2Y2M4MmU1ZWY1NDIxZWVjMjIzOWY1MTYiLCJ1c2VySWQiOiIxMDE2NTUzMjI4In0=</vt:lpwstr>
  </property>
</Properties>
</file>