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性能化指标</w:t>
      </w:r>
    </w:p>
    <w:tbl>
      <w:tblPr>
        <w:tblStyle w:val="11"/>
        <w:tblW w:w="111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00"/>
        <w:gridCol w:w="5985"/>
        <w:gridCol w:w="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检查项</w:t>
            </w:r>
          </w:p>
        </w:tc>
        <w:tc>
          <w:tcPr>
            <w:shd w:val="clear" w:color="auto" w:fill="DEDEDE"/>
            <w:vAlign w:val="center"/>
          </w:tcPr>
          <w:p>
            <w:r>
              <w:t>计算值</w:t>
            </w:r>
          </w:p>
        </w:tc>
        <w:tc>
          <w:tcPr>
            <w:shd w:val="clear" w:color="auto" w:fill="DEDEDE"/>
            <w:vAlign w:val="center"/>
          </w:tcPr>
          <w:p>
            <w:r>
              <w:t>标准要求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体形系数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0.24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s≤0.40 [严寒和寒冷地区体形系数应符合表3.1.3的规定]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○屋顶构造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K≤0.40,S≤0.30或K≤0.35,0.30&lt;S≤0.50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屋顶构造一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K=0.34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○外墙构造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K=0.43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K≤0.55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第1个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面积:91.80(m2)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第2个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面积:91.79(m2)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第3个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面积:85.23(m2)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第4个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面积:85.23(m2)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第5个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面积:84.36(m2)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第6个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面积:64.29(m2)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第7个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面积:60.18(m2)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第8个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面积:57.90(m2)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第9个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面积:57.45(m2)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第10个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面积:55.80(m2)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○外窗热工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└○总体热工性能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外窗传热系数应满足表C.0.1-1、C.0.1-2的要求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├○南向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︱└ 南-默认立面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K=1.90; SHGC=0.30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K≤2.70, SHGC(不要求)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├○北向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︱└ 北-默认立面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K=1.90; SHGC=0.30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K≤2.70, SHGC(不要求)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├○东向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︱└ 东-默认立面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K=1.90; SHGC=0.30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K≤2.70, SHGC(不要求)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└○西向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  └ 西-默认立面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K=1.90; SHGC=0.30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K≤2.70, SHGC(不要求)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○周边地面构造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R≥0.6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周边地面构造一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R=0.67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采暖地下室外墙构造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R≥0.9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○可开启窗扇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无通风换气装置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主要功能房间的外窗应设置可开启窗扇或通风换气装置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1001(宾馆-3星级餐厅)(最不利房间)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有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有可开启窗扇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○非中空窗面积比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南-默认立面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≤0.15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北-默认立面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≤0.15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├○东向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东-默认立面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≤0.15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└○西向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 西-默认立面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≤0.15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○综合权衡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Ed=22.53; Er=24.69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设计建筑的能耗不大于参照建筑的能耗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供冷耗电量(kWh/㎡)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11.20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宜≤11.89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供热耗电量(kWh/㎡)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11.33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宜≤12.80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耗冷量(kWh/㎡)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39.19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宜≤41.63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耗热量(kWh/㎡)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24.66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宜≤27.84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结论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2F6"/>
    <w:rsid w:val="001915A3"/>
    <w:rsid w:val="00217F62"/>
    <w:rsid w:val="00A906D8"/>
    <w:rsid w:val="00AB5A74"/>
    <w:rsid w:val="00F071AE"/>
    <w:rsid w:val="566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</Pages>
  <Words>583</Words>
  <Characters>925</Characters>
  <TotalTime>0</TotalTime>
  <ScaleCrop>false</ScaleCrop>
  <LinksUpToDate>false</LinksUpToDate>
  <CharactersWithSpaces>983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2023-11-16T10:03:00Z</dcterms:created>
  <dc:creator>小怪兽゛</dc:creator>
  <cp:lastModifiedBy>小怪兽゛</cp:lastModifiedBy>
  <dcterms:modified xsi:type="dcterms:W3CDTF">2023-11-16T10:03:42Z</dcterms:modified>
  <dc:title>节能检查-性能化指标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246E04DD3A2A4FDFA83655A0D3CB9EAE_11</vt:lpwstr>
  </property>
  <property fmtid="{D5CDD505-2E9C-101B-9397-08002B2CF9AE}" pid="3" name="KSOProductBuildVer">
    <vt:lpwstr>2052-12.1.0.15712</vt:lpwstr>
  </property>
</Properties>
</file>