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3"/>
              <w:rPr>
                <w:rFonts w:hint="default" w:eastAsia="微软雅黑"/>
                <w:lang w:val="en-US" w:eastAsia="zh-CN"/>
              </w:rPr>
            </w:pPr>
            <w:r>
              <w:rPr>
                <w:rFonts w:hint="eastAsia"/>
                <w:lang w:val="en-US" w:eastAsia="zh-CN"/>
              </w:rPr>
              <w:t>归璞水奚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pStyle w:val="3"/>
            </w:pPr>
            <w:bookmarkStart w:id="0" w:name="设计编号"/>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pStyle w:val="3"/>
            </w:pPr>
            <w:bookmarkStart w:id="1" w:name="建设单位"/>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pStyle w:val="3"/>
            </w:pPr>
            <w:bookmarkStart w:id="2" w:name="设计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pStyle w:val="3"/>
            </w:pPr>
            <w:bookmarkStart w:id="3" w:name="审核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pStyle w:val="3"/>
            </w:pPr>
            <w:bookmarkStart w:id="4" w:name="审定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pStyle w:val="3"/>
            </w:pPr>
            <w:bookmarkStart w:id="5" w:name="计算日期"/>
            <w:r>
              <w:t>2023年12月10日</w:t>
            </w:r>
            <w:bookmarkEnd w:id="5"/>
          </w:p>
        </w:tc>
      </w:tr>
    </w:tbl>
    <w:p>
      <w:pPr>
        <w:rPr>
          <w:rFonts w:ascii="宋体" w:hAnsi="宋体"/>
          <w:b/>
          <w:bCs/>
          <w:sz w:val="30"/>
          <w:szCs w:val="32"/>
        </w:rPr>
      </w:pPr>
    </w:p>
    <w:p>
      <w:pPr>
        <w:rPr>
          <w:rFonts w:hint="eastAsia" w:ascii="宋体" w:hAnsi="宋体" w:eastAsia="微软雅黑"/>
          <w:b/>
          <w:bCs/>
          <w:sz w:val="30"/>
          <w:szCs w:val="32"/>
          <w:lang w:eastAsia="zh-CN"/>
        </w:rPr>
      </w:pPr>
      <w:bookmarkStart w:id="6" w:name="二维码"/>
      <w:bookmarkEnd w:id="6"/>
      <w:r>
        <w:rPr>
          <w:rFonts w:hint="eastAsia" w:ascii="宋体" w:hAnsi="宋体" w:eastAsia="微软雅黑"/>
          <w:b/>
          <w:bCs/>
          <w:sz w:val="30"/>
          <w:szCs w:val="32"/>
          <w:lang w:eastAsia="zh-CN"/>
        </w:rPr>
        <w:drawing>
          <wp:inline distT="0" distB="0" distL="114300" distR="114300">
            <wp:extent cx="2171700" cy="2171700"/>
            <wp:effectExtent l="0" t="0" r="0" b="0"/>
            <wp:docPr id="6" name="图片 6" descr="kappframework-KoOmg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kappframework-KoOmgR(1)(1)"/>
                    <pic:cNvPicPr>
                      <a:picLocks noChangeAspect="1"/>
                    </pic:cNvPicPr>
                  </pic:nvPicPr>
                  <pic:blipFill>
                    <a:blip r:embed="rId6"/>
                    <a:stretch>
                      <a:fillRect/>
                    </a:stretch>
                  </pic:blipFill>
                  <pic:spPr>
                    <a:xfrm>
                      <a:off x="0" y="0"/>
                      <a:ext cx="2171700" cy="2171700"/>
                    </a:xfrm>
                    <a:prstGeom prst="rect">
                      <a:avLst/>
                    </a:prstGeom>
                  </pic:spPr>
                </pic:pic>
              </a:graphicData>
            </a:graphic>
          </wp:inline>
        </w:drawing>
      </w:r>
      <w:bookmarkStart w:id="83" w:name="_GoBack"/>
      <w:bookmarkEnd w:id="83"/>
    </w:p>
    <w:p>
      <w:pPr>
        <w:rPr>
          <w:rFonts w:ascii="宋体" w:hAnsi="宋体"/>
          <w:b/>
          <w:bCs/>
          <w:sz w:val="30"/>
          <w:szCs w:val="32"/>
        </w:rPr>
      </w:pPr>
    </w:p>
    <w:p>
      <w:pP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rPr>
                <w:rFonts w:ascii="宋体" w:hAnsi="宋体"/>
              </w:rPr>
            </w:pPr>
            <w:bookmarkStart w:id="7" w:name="采用软件"/>
            <w:r>
              <w:t>采光分析DALI2023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rPr>
                <w:rFonts w:ascii="宋体" w:hAnsi="宋体"/>
                <w:szCs w:val="18"/>
              </w:rPr>
            </w:pPr>
            <w:bookmarkStart w:id="9" w:name="研发单位"/>
            <w:r>
              <w:t>北京绿建软件股份有限公司</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rPr>
                <w:rFonts w:ascii="宋体" w:hAnsi="宋体"/>
                <w:szCs w:val="18"/>
              </w:rPr>
            </w:pPr>
            <w:bookmarkStart w:id="10" w:name="正版授权码"/>
            <w:r>
              <w:t>T17302365329</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rPr>
                <w:rFonts w:ascii="宋体" w:hAnsi="宋体"/>
                <w:szCs w:val="18"/>
              </w:rPr>
            </w:pPr>
            <w:r>
              <w:rPr>
                <w:rFonts w:hint="eastAsia" w:asciiTheme="minorEastAsia" w:hAnsiTheme="minorEastAsia" w:eastAsiaTheme="minorEastAsia"/>
                <w:color w:val="000000"/>
                <w:szCs w:val="21"/>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rPr>
          <w:lang w:val="en-US"/>
        </w:rPr>
      </w:pPr>
      <w:bookmarkStart w:id="11"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pPr>
            <w:pStyle w:val="17"/>
            <w:rPr>
              <w:rFonts w:asciiTheme="minorHAnsi" w:hAnsiTheme="minorHAnsi" w:eastAsiaTheme="minorEastAsia" w:cstheme="minorBidi"/>
              <w:b w:val="0"/>
              <w:bCs w:val="0"/>
              <w:szCs w:val="22"/>
              <w14:ligatures w14:val="standardContextual"/>
            </w:rPr>
          </w:pPr>
          <w:r>
            <w:fldChar w:fldCharType="begin"/>
          </w:r>
          <w:r>
            <w:instrText xml:space="preserve"> TOC \o "1-3" \h \z \u </w:instrText>
          </w:r>
          <w:r>
            <w:fldChar w:fldCharType="separate"/>
          </w:r>
          <w:r>
            <w:fldChar w:fldCharType="begin"/>
          </w:r>
          <w:r>
            <w:instrText xml:space="preserve"> HYPERLINK \l "_Toc153123537" </w:instrText>
          </w:r>
          <w:r>
            <w:fldChar w:fldCharType="separate"/>
          </w:r>
          <w:r>
            <w:rPr>
              <w:rStyle w:val="22"/>
            </w:rPr>
            <w:t>1.</w:t>
          </w:r>
          <w:r>
            <w:rPr>
              <w:rFonts w:asciiTheme="minorHAnsi" w:hAnsiTheme="minorHAnsi" w:eastAsiaTheme="minorEastAsia" w:cstheme="minorBidi"/>
              <w:b w:val="0"/>
              <w:bCs w:val="0"/>
              <w:szCs w:val="22"/>
              <w14:ligatures w14:val="standardContextual"/>
            </w:rPr>
            <w:tab/>
          </w:r>
          <w:r>
            <w:rPr>
              <w:rStyle w:val="22"/>
            </w:rPr>
            <w:t>建筑概况</w:t>
          </w:r>
          <w:r>
            <w:tab/>
          </w:r>
          <w:r>
            <w:fldChar w:fldCharType="begin"/>
          </w:r>
          <w:r>
            <w:instrText xml:space="preserve"> PAGEREF _Toc153123537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14:ligatures w14:val="standardContextual"/>
            </w:rPr>
          </w:pPr>
          <w:r>
            <w:fldChar w:fldCharType="begin"/>
          </w:r>
          <w:r>
            <w:instrText xml:space="preserve"> HYPERLINK \l "_Toc153123538" </w:instrText>
          </w:r>
          <w:r>
            <w:fldChar w:fldCharType="separate"/>
          </w:r>
          <w:r>
            <w:rPr>
              <w:rStyle w:val="22"/>
            </w:rPr>
            <w:t>2.</w:t>
          </w:r>
          <w:r>
            <w:rPr>
              <w:rFonts w:asciiTheme="minorHAnsi" w:hAnsiTheme="minorHAnsi" w:eastAsiaTheme="minorEastAsia" w:cstheme="minorBidi"/>
              <w:b w:val="0"/>
              <w:bCs w:val="0"/>
              <w:szCs w:val="22"/>
              <w14:ligatures w14:val="standardContextual"/>
            </w:rPr>
            <w:tab/>
          </w:r>
          <w:r>
            <w:rPr>
              <w:rStyle w:val="22"/>
            </w:rPr>
            <w:t>设计依据</w:t>
          </w:r>
          <w:r>
            <w:tab/>
          </w:r>
          <w:r>
            <w:fldChar w:fldCharType="begin"/>
          </w:r>
          <w:r>
            <w:instrText xml:space="preserve"> PAGEREF _Toc153123538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14:ligatures w14:val="standardContextual"/>
            </w:rPr>
          </w:pPr>
          <w:r>
            <w:fldChar w:fldCharType="begin"/>
          </w:r>
          <w:r>
            <w:instrText xml:space="preserve"> HYPERLINK \l "_Toc153123539" </w:instrText>
          </w:r>
          <w:r>
            <w:fldChar w:fldCharType="separate"/>
          </w:r>
          <w:r>
            <w:rPr>
              <w:rStyle w:val="22"/>
            </w:rPr>
            <w:t>3.</w:t>
          </w:r>
          <w:r>
            <w:rPr>
              <w:rFonts w:asciiTheme="minorHAnsi" w:hAnsiTheme="minorHAnsi" w:eastAsiaTheme="minorEastAsia" w:cstheme="minorBidi"/>
              <w:b w:val="0"/>
              <w:bCs w:val="0"/>
              <w:szCs w:val="22"/>
              <w14:ligatures w14:val="standardContextual"/>
            </w:rPr>
            <w:tab/>
          </w:r>
          <w:r>
            <w:rPr>
              <w:rStyle w:val="22"/>
            </w:rPr>
            <w:t>标准要求</w:t>
          </w:r>
          <w:r>
            <w:tab/>
          </w:r>
          <w:r>
            <w:fldChar w:fldCharType="begin"/>
          </w:r>
          <w:r>
            <w:instrText xml:space="preserve"> PAGEREF _Toc153123539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14:ligatures w14:val="standardContextual"/>
            </w:rPr>
          </w:pPr>
          <w:r>
            <w:fldChar w:fldCharType="begin"/>
          </w:r>
          <w:r>
            <w:instrText xml:space="preserve"> HYPERLINK \l "_Toc153123540" </w:instrText>
          </w:r>
          <w:r>
            <w:fldChar w:fldCharType="separate"/>
          </w:r>
          <w:r>
            <w:rPr>
              <w:rStyle w:val="22"/>
            </w:rPr>
            <w:t>4.</w:t>
          </w:r>
          <w:r>
            <w:rPr>
              <w:rFonts w:asciiTheme="minorHAnsi" w:hAnsiTheme="minorHAnsi" w:eastAsiaTheme="minorEastAsia" w:cstheme="minorBidi"/>
              <w:b w:val="0"/>
              <w:bCs w:val="0"/>
              <w:szCs w:val="22"/>
              <w14:ligatures w14:val="standardContextual"/>
            </w:rPr>
            <w:tab/>
          </w:r>
          <w:r>
            <w:rPr>
              <w:rStyle w:val="22"/>
            </w:rPr>
            <w:t>采光分析概述</w:t>
          </w:r>
          <w:r>
            <w:tab/>
          </w:r>
          <w:r>
            <w:fldChar w:fldCharType="begin"/>
          </w:r>
          <w:r>
            <w:instrText xml:space="preserve"> PAGEREF _Toc153123540 \h </w:instrText>
          </w:r>
          <w:r>
            <w:fldChar w:fldCharType="separate"/>
          </w:r>
          <w:r>
            <w:t>4</w:t>
          </w:r>
          <w:r>
            <w:fldChar w:fldCharType="end"/>
          </w:r>
          <w:r>
            <w:fldChar w:fldCharType="end"/>
          </w:r>
        </w:p>
        <w:p>
          <w:pPr>
            <w:pStyle w:val="18"/>
            <w:rPr>
              <w:rFonts w:asciiTheme="minorHAnsi" w:hAnsiTheme="minorHAnsi" w:eastAsiaTheme="minorEastAsia" w:cstheme="minorBidi"/>
              <w:szCs w:val="22"/>
              <w14:ligatures w14:val="standardContextual"/>
            </w:rPr>
          </w:pPr>
          <w:r>
            <w:fldChar w:fldCharType="begin"/>
          </w:r>
          <w:r>
            <w:instrText xml:space="preserve"> HYPERLINK \l "_Toc153123541" </w:instrText>
          </w:r>
          <w:r>
            <w:fldChar w:fldCharType="separate"/>
          </w:r>
          <w:r>
            <w:rPr>
              <w:rStyle w:val="22"/>
              <w:lang w:val="en-GB"/>
            </w:rPr>
            <w:t>4.1</w:t>
          </w:r>
          <w:r>
            <w:rPr>
              <w:rFonts w:asciiTheme="minorHAnsi" w:hAnsiTheme="minorHAnsi" w:eastAsiaTheme="minorEastAsia" w:cstheme="minorBidi"/>
              <w:szCs w:val="22"/>
              <w14:ligatures w14:val="standardContextual"/>
            </w:rPr>
            <w:tab/>
          </w:r>
          <w:r>
            <w:rPr>
              <w:rStyle w:val="22"/>
            </w:rPr>
            <w:t>基本原理</w:t>
          </w:r>
          <w:r>
            <w:tab/>
          </w:r>
          <w:r>
            <w:fldChar w:fldCharType="begin"/>
          </w:r>
          <w:r>
            <w:instrText xml:space="preserve"> PAGEREF _Toc153123541 \h </w:instrText>
          </w:r>
          <w:r>
            <w:fldChar w:fldCharType="separate"/>
          </w:r>
          <w:r>
            <w:t>4</w:t>
          </w:r>
          <w:r>
            <w:fldChar w:fldCharType="end"/>
          </w:r>
          <w:r>
            <w:fldChar w:fldCharType="end"/>
          </w:r>
        </w:p>
        <w:p>
          <w:pPr>
            <w:pStyle w:val="18"/>
            <w:rPr>
              <w:rFonts w:asciiTheme="minorHAnsi" w:hAnsiTheme="minorHAnsi" w:eastAsiaTheme="minorEastAsia" w:cstheme="minorBidi"/>
              <w:szCs w:val="22"/>
              <w14:ligatures w14:val="standardContextual"/>
            </w:rPr>
          </w:pPr>
          <w:r>
            <w:fldChar w:fldCharType="begin"/>
          </w:r>
          <w:r>
            <w:instrText xml:space="preserve"> HYPERLINK \l "_Toc153123542" </w:instrText>
          </w:r>
          <w:r>
            <w:fldChar w:fldCharType="separate"/>
          </w:r>
          <w:r>
            <w:rPr>
              <w:rStyle w:val="22"/>
              <w:lang w:val="en-GB"/>
            </w:rPr>
            <w:t>4.2</w:t>
          </w:r>
          <w:r>
            <w:rPr>
              <w:rFonts w:asciiTheme="minorHAnsi" w:hAnsiTheme="minorHAnsi" w:eastAsiaTheme="minorEastAsia" w:cstheme="minorBidi"/>
              <w:szCs w:val="22"/>
              <w14:ligatures w14:val="standardContextual"/>
            </w:rPr>
            <w:tab/>
          </w:r>
          <w:r>
            <w:rPr>
              <w:rStyle w:val="22"/>
            </w:rPr>
            <w:t>分析软件</w:t>
          </w:r>
          <w:r>
            <w:tab/>
          </w:r>
          <w:r>
            <w:fldChar w:fldCharType="begin"/>
          </w:r>
          <w:r>
            <w:instrText xml:space="preserve"> PAGEREF _Toc153123542 \h </w:instrText>
          </w:r>
          <w:r>
            <w:fldChar w:fldCharType="separate"/>
          </w:r>
          <w:r>
            <w:t>5</w:t>
          </w:r>
          <w:r>
            <w:fldChar w:fldCharType="end"/>
          </w:r>
          <w:r>
            <w:fldChar w:fldCharType="end"/>
          </w:r>
        </w:p>
        <w:p>
          <w:pPr>
            <w:pStyle w:val="18"/>
            <w:rPr>
              <w:rFonts w:asciiTheme="minorHAnsi" w:hAnsiTheme="minorHAnsi" w:eastAsiaTheme="minorEastAsia" w:cstheme="minorBidi"/>
              <w:szCs w:val="22"/>
              <w14:ligatures w14:val="standardContextual"/>
            </w:rPr>
          </w:pPr>
          <w:r>
            <w:fldChar w:fldCharType="begin"/>
          </w:r>
          <w:r>
            <w:instrText xml:space="preserve"> HYPERLINK \l "_Toc153123543" </w:instrText>
          </w:r>
          <w:r>
            <w:fldChar w:fldCharType="separate"/>
          </w:r>
          <w:r>
            <w:rPr>
              <w:rStyle w:val="22"/>
              <w:lang w:val="en-GB"/>
            </w:rPr>
            <w:t>4.3</w:t>
          </w:r>
          <w:r>
            <w:rPr>
              <w:rFonts w:asciiTheme="minorHAnsi" w:hAnsiTheme="minorHAnsi" w:eastAsiaTheme="minorEastAsia" w:cstheme="minorBidi"/>
              <w:szCs w:val="22"/>
              <w14:ligatures w14:val="standardContextual"/>
            </w:rPr>
            <w:tab/>
          </w:r>
          <w:r>
            <w:rPr>
              <w:rStyle w:val="22"/>
            </w:rPr>
            <w:t>计算方法</w:t>
          </w:r>
          <w:r>
            <w:tab/>
          </w:r>
          <w:r>
            <w:fldChar w:fldCharType="begin"/>
          </w:r>
          <w:r>
            <w:instrText xml:space="preserve"> PAGEREF _Toc153123543 \h </w:instrText>
          </w:r>
          <w:r>
            <w:fldChar w:fldCharType="separate"/>
          </w:r>
          <w:r>
            <w:t>5</w:t>
          </w:r>
          <w:r>
            <w:fldChar w:fldCharType="end"/>
          </w:r>
          <w:r>
            <w:fldChar w:fldCharType="end"/>
          </w:r>
        </w:p>
        <w:p>
          <w:pPr>
            <w:pStyle w:val="17"/>
            <w:rPr>
              <w:rFonts w:asciiTheme="minorHAnsi" w:hAnsiTheme="minorHAnsi" w:eastAsiaTheme="minorEastAsia" w:cstheme="minorBidi"/>
              <w:b w:val="0"/>
              <w:bCs w:val="0"/>
              <w:szCs w:val="22"/>
              <w14:ligatures w14:val="standardContextual"/>
            </w:rPr>
          </w:pPr>
          <w:r>
            <w:fldChar w:fldCharType="begin"/>
          </w:r>
          <w:r>
            <w:instrText xml:space="preserve"> HYPERLINK \l "_Toc153123544" </w:instrText>
          </w:r>
          <w:r>
            <w:fldChar w:fldCharType="separate"/>
          </w:r>
          <w:r>
            <w:rPr>
              <w:rStyle w:val="22"/>
            </w:rPr>
            <w:t>5.</w:t>
          </w:r>
          <w:r>
            <w:rPr>
              <w:rFonts w:asciiTheme="minorHAnsi" w:hAnsiTheme="minorHAnsi" w:eastAsiaTheme="minorEastAsia" w:cstheme="minorBidi"/>
              <w:b w:val="0"/>
              <w:bCs w:val="0"/>
              <w:szCs w:val="22"/>
              <w14:ligatures w14:val="standardContextual"/>
            </w:rPr>
            <w:tab/>
          </w:r>
          <w:r>
            <w:rPr>
              <w:rStyle w:val="22"/>
            </w:rPr>
            <w:t>采光计算参数取值</w:t>
          </w:r>
          <w:r>
            <w:tab/>
          </w:r>
          <w:r>
            <w:fldChar w:fldCharType="begin"/>
          </w:r>
          <w:r>
            <w:instrText xml:space="preserve"> PAGEREF _Toc153123544 \h </w:instrText>
          </w:r>
          <w:r>
            <w:fldChar w:fldCharType="separate"/>
          </w:r>
          <w:r>
            <w:t>6</w:t>
          </w:r>
          <w:r>
            <w:fldChar w:fldCharType="end"/>
          </w:r>
          <w:r>
            <w:fldChar w:fldCharType="end"/>
          </w:r>
        </w:p>
        <w:p>
          <w:pPr>
            <w:pStyle w:val="18"/>
            <w:rPr>
              <w:rFonts w:asciiTheme="minorHAnsi" w:hAnsiTheme="minorHAnsi" w:eastAsiaTheme="minorEastAsia" w:cstheme="minorBidi"/>
              <w:szCs w:val="22"/>
              <w14:ligatures w14:val="standardContextual"/>
            </w:rPr>
          </w:pPr>
          <w:r>
            <w:fldChar w:fldCharType="begin"/>
          </w:r>
          <w:r>
            <w:instrText xml:space="preserve"> HYPERLINK \l "_Toc153123545" </w:instrText>
          </w:r>
          <w:r>
            <w:fldChar w:fldCharType="separate"/>
          </w:r>
          <w:r>
            <w:rPr>
              <w:rStyle w:val="22"/>
              <w:lang w:val="en-GB"/>
            </w:rPr>
            <w:t>5.1</w:t>
          </w:r>
          <w:r>
            <w:rPr>
              <w:rFonts w:asciiTheme="minorHAnsi" w:hAnsiTheme="minorHAnsi" w:eastAsiaTheme="minorEastAsia" w:cstheme="minorBidi"/>
              <w:szCs w:val="22"/>
              <w14:ligatures w14:val="standardContextual"/>
            </w:rPr>
            <w:tab/>
          </w:r>
          <w:r>
            <w:rPr>
              <w:rStyle w:val="22"/>
            </w:rPr>
            <w:t>模拟分析条件说明</w:t>
          </w:r>
          <w:r>
            <w:tab/>
          </w:r>
          <w:r>
            <w:fldChar w:fldCharType="begin"/>
          </w:r>
          <w:r>
            <w:instrText xml:space="preserve"> PAGEREF _Toc153123545 \h </w:instrText>
          </w:r>
          <w:r>
            <w:fldChar w:fldCharType="separate"/>
          </w:r>
          <w:r>
            <w:t>6</w:t>
          </w:r>
          <w:r>
            <w:fldChar w:fldCharType="end"/>
          </w:r>
          <w:r>
            <w:fldChar w:fldCharType="end"/>
          </w:r>
        </w:p>
        <w:p>
          <w:pPr>
            <w:pStyle w:val="18"/>
            <w:rPr>
              <w:rFonts w:asciiTheme="minorHAnsi" w:hAnsiTheme="minorHAnsi" w:eastAsiaTheme="minorEastAsia" w:cstheme="minorBidi"/>
              <w:szCs w:val="22"/>
              <w14:ligatures w14:val="standardContextual"/>
            </w:rPr>
          </w:pPr>
          <w:r>
            <w:fldChar w:fldCharType="begin"/>
          </w:r>
          <w:r>
            <w:instrText xml:space="preserve"> HYPERLINK \l "_Toc153123546" </w:instrText>
          </w:r>
          <w:r>
            <w:fldChar w:fldCharType="separate"/>
          </w:r>
          <w:r>
            <w:rPr>
              <w:rStyle w:val="22"/>
              <w:lang w:val="en-GB"/>
            </w:rPr>
            <w:t>5.2</w:t>
          </w:r>
          <w:r>
            <w:rPr>
              <w:rFonts w:asciiTheme="minorHAnsi" w:hAnsiTheme="minorHAnsi" w:eastAsiaTheme="minorEastAsia" w:cstheme="minorBidi"/>
              <w:szCs w:val="22"/>
              <w14:ligatures w14:val="standardContextual"/>
            </w:rPr>
            <w:tab/>
          </w:r>
          <w:r>
            <w:rPr>
              <w:rStyle w:val="22"/>
            </w:rPr>
            <w:t>建筑饰面材料参数</w:t>
          </w:r>
          <w:r>
            <w:tab/>
          </w:r>
          <w:r>
            <w:fldChar w:fldCharType="begin"/>
          </w:r>
          <w:r>
            <w:instrText xml:space="preserve"> PAGEREF _Toc153123546 \h </w:instrText>
          </w:r>
          <w:r>
            <w:fldChar w:fldCharType="separate"/>
          </w:r>
          <w:r>
            <w:t>6</w:t>
          </w:r>
          <w:r>
            <w:fldChar w:fldCharType="end"/>
          </w:r>
          <w:r>
            <w:fldChar w:fldCharType="end"/>
          </w:r>
        </w:p>
        <w:p>
          <w:pPr>
            <w:pStyle w:val="18"/>
            <w:rPr>
              <w:rFonts w:asciiTheme="minorHAnsi" w:hAnsiTheme="minorHAnsi" w:eastAsiaTheme="minorEastAsia" w:cstheme="minorBidi"/>
              <w:szCs w:val="22"/>
              <w14:ligatures w14:val="standardContextual"/>
            </w:rPr>
          </w:pPr>
          <w:r>
            <w:fldChar w:fldCharType="begin"/>
          </w:r>
          <w:r>
            <w:instrText xml:space="preserve"> HYPERLINK \l "_Toc153123547" </w:instrText>
          </w:r>
          <w:r>
            <w:fldChar w:fldCharType="separate"/>
          </w:r>
          <w:r>
            <w:rPr>
              <w:rStyle w:val="22"/>
              <w:lang w:val="en-GB"/>
            </w:rPr>
            <w:t>5.3</w:t>
          </w:r>
          <w:r>
            <w:rPr>
              <w:rFonts w:asciiTheme="minorHAnsi" w:hAnsiTheme="minorHAnsi" w:eastAsiaTheme="minorEastAsia" w:cstheme="minorBidi"/>
              <w:szCs w:val="22"/>
              <w14:ligatures w14:val="standardContextual"/>
            </w:rPr>
            <w:tab/>
          </w:r>
          <w:r>
            <w:rPr>
              <w:rStyle w:val="22"/>
            </w:rPr>
            <w:t>门窗类型参数</w:t>
          </w:r>
          <w:r>
            <w:tab/>
          </w:r>
          <w:r>
            <w:fldChar w:fldCharType="begin"/>
          </w:r>
          <w:r>
            <w:instrText xml:space="preserve"> PAGEREF _Toc153123547 \h </w:instrText>
          </w:r>
          <w:r>
            <w:fldChar w:fldCharType="separate"/>
          </w:r>
          <w:r>
            <w:t>7</w:t>
          </w:r>
          <w:r>
            <w:fldChar w:fldCharType="end"/>
          </w:r>
          <w:r>
            <w:fldChar w:fldCharType="end"/>
          </w:r>
        </w:p>
        <w:p>
          <w:pPr>
            <w:pStyle w:val="14"/>
            <w:rPr>
              <w:rFonts w:asciiTheme="minorHAnsi" w:hAnsiTheme="minorHAnsi" w:eastAsiaTheme="minorEastAsia" w:cstheme="minorBidi"/>
              <w:szCs w:val="22"/>
              <w14:ligatures w14:val="standardContextual"/>
            </w:rPr>
          </w:pPr>
          <w:r>
            <w:fldChar w:fldCharType="begin"/>
          </w:r>
          <w:r>
            <w:instrText xml:space="preserve"> HYPERLINK \l "_Toc153123548" </w:instrText>
          </w:r>
          <w:r>
            <w:fldChar w:fldCharType="separate"/>
          </w:r>
          <w:r>
            <w:rPr>
              <w:rStyle w:val="22"/>
              <w:rFonts w:eastAsia="宋体"/>
              <w:lang w:val="en-GB"/>
            </w:rPr>
            <w:t>5.3.1</w:t>
          </w:r>
          <w:r>
            <w:rPr>
              <w:rFonts w:asciiTheme="minorHAnsi" w:hAnsiTheme="minorHAnsi" w:eastAsiaTheme="minorEastAsia" w:cstheme="minorBidi"/>
              <w:szCs w:val="22"/>
              <w14:ligatures w14:val="standardContextual"/>
            </w:rPr>
            <w:tab/>
          </w:r>
          <w:r>
            <w:rPr>
              <w:rStyle w:val="22"/>
            </w:rPr>
            <w:t>玻璃幕墙</w:t>
          </w:r>
          <w:r>
            <w:tab/>
          </w:r>
          <w:r>
            <w:fldChar w:fldCharType="begin"/>
          </w:r>
          <w:r>
            <w:instrText xml:space="preserve"> PAGEREF _Toc153123548 \h </w:instrText>
          </w:r>
          <w:r>
            <w:fldChar w:fldCharType="separate"/>
          </w:r>
          <w:r>
            <w:t>7</w:t>
          </w:r>
          <w:r>
            <w:fldChar w:fldCharType="end"/>
          </w:r>
          <w:r>
            <w:fldChar w:fldCharType="end"/>
          </w:r>
        </w:p>
        <w:p>
          <w:pPr>
            <w:pStyle w:val="14"/>
            <w:rPr>
              <w:rFonts w:asciiTheme="minorHAnsi" w:hAnsiTheme="minorHAnsi" w:eastAsiaTheme="minorEastAsia" w:cstheme="minorBidi"/>
              <w:szCs w:val="22"/>
              <w14:ligatures w14:val="standardContextual"/>
            </w:rPr>
          </w:pPr>
          <w:r>
            <w:fldChar w:fldCharType="begin"/>
          </w:r>
          <w:r>
            <w:instrText xml:space="preserve"> HYPERLINK \l "_Toc153123549" </w:instrText>
          </w:r>
          <w:r>
            <w:fldChar w:fldCharType="separate"/>
          </w:r>
          <w:r>
            <w:rPr>
              <w:rStyle w:val="22"/>
              <w:rFonts w:eastAsia="宋体"/>
              <w:lang w:val="en-GB"/>
            </w:rPr>
            <w:t>5.3.2</w:t>
          </w:r>
          <w:r>
            <w:rPr>
              <w:rFonts w:asciiTheme="minorHAnsi" w:hAnsiTheme="minorHAnsi" w:eastAsiaTheme="minorEastAsia" w:cstheme="minorBidi"/>
              <w:szCs w:val="22"/>
              <w14:ligatures w14:val="standardContextual"/>
            </w:rPr>
            <w:tab/>
          </w:r>
          <w:r>
            <w:rPr>
              <w:rStyle w:val="22"/>
            </w:rPr>
            <w:t>天  窗</w:t>
          </w:r>
          <w:r>
            <w:tab/>
          </w:r>
          <w:r>
            <w:fldChar w:fldCharType="begin"/>
          </w:r>
          <w:r>
            <w:instrText xml:space="preserve"> PAGEREF _Toc153123549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14:ligatures w14:val="standardContextual"/>
            </w:rPr>
          </w:pPr>
          <w:r>
            <w:fldChar w:fldCharType="begin"/>
          </w:r>
          <w:r>
            <w:instrText xml:space="preserve"> HYPERLINK \l "_Toc153123550" </w:instrText>
          </w:r>
          <w:r>
            <w:fldChar w:fldCharType="separate"/>
          </w:r>
          <w:r>
            <w:rPr>
              <w:rStyle w:val="22"/>
            </w:rPr>
            <w:t>6.</w:t>
          </w:r>
          <w:r>
            <w:rPr>
              <w:rFonts w:asciiTheme="minorHAnsi" w:hAnsiTheme="minorHAnsi" w:eastAsiaTheme="minorEastAsia" w:cstheme="minorBidi"/>
              <w:b w:val="0"/>
              <w:bCs w:val="0"/>
              <w:szCs w:val="22"/>
              <w14:ligatures w14:val="standardContextual"/>
            </w:rPr>
            <w:tab/>
          </w:r>
          <w:r>
            <w:rPr>
              <w:rStyle w:val="22"/>
            </w:rPr>
            <w:t>房间模拟结果</w:t>
          </w:r>
          <w:r>
            <w:tab/>
          </w:r>
          <w:r>
            <w:fldChar w:fldCharType="begin"/>
          </w:r>
          <w:r>
            <w:instrText xml:space="preserve"> PAGEREF _Toc153123550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14:ligatures w14:val="standardContextual"/>
            </w:rPr>
          </w:pPr>
          <w:r>
            <w:fldChar w:fldCharType="begin"/>
          </w:r>
          <w:r>
            <w:instrText xml:space="preserve"> HYPERLINK \l "_Toc153123551" </w:instrText>
          </w:r>
          <w:r>
            <w:fldChar w:fldCharType="separate"/>
          </w:r>
          <w:r>
            <w:rPr>
              <w:rStyle w:val="22"/>
            </w:rPr>
            <w:t>7.</w:t>
          </w:r>
          <w:r>
            <w:rPr>
              <w:rFonts w:asciiTheme="minorHAnsi" w:hAnsiTheme="minorHAnsi" w:eastAsiaTheme="minorEastAsia" w:cstheme="minorBidi"/>
              <w:b w:val="0"/>
              <w:bCs w:val="0"/>
              <w:szCs w:val="22"/>
              <w14:ligatures w14:val="standardContextual"/>
            </w:rPr>
            <w:tab/>
          </w:r>
          <w:r>
            <w:rPr>
              <w:rStyle w:val="22"/>
            </w:rPr>
            <w:t>采光效果分析彩图</w:t>
          </w:r>
          <w:r>
            <w:tab/>
          </w:r>
          <w:r>
            <w:fldChar w:fldCharType="begin"/>
          </w:r>
          <w:r>
            <w:instrText xml:space="preserve"> PAGEREF _Toc153123551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14:ligatures w14:val="standardContextual"/>
            </w:rPr>
          </w:pPr>
          <w:r>
            <w:fldChar w:fldCharType="begin"/>
          </w:r>
          <w:r>
            <w:instrText xml:space="preserve"> HYPERLINK \l "_Toc153123552" </w:instrText>
          </w:r>
          <w:r>
            <w:fldChar w:fldCharType="separate"/>
          </w:r>
          <w:r>
            <w:rPr>
              <w:rStyle w:val="22"/>
            </w:rPr>
            <w:t>8.</w:t>
          </w:r>
          <w:r>
            <w:rPr>
              <w:rFonts w:asciiTheme="minorHAnsi" w:hAnsiTheme="minorHAnsi" w:eastAsiaTheme="minorEastAsia" w:cstheme="minorBidi"/>
              <w:b w:val="0"/>
              <w:bCs w:val="0"/>
              <w:szCs w:val="22"/>
              <w14:ligatures w14:val="standardContextual"/>
            </w:rPr>
            <w:tab/>
          </w:r>
          <w:r>
            <w:rPr>
              <w:rStyle w:val="22"/>
            </w:rPr>
            <w:t>采光均匀度</w:t>
          </w:r>
          <w:r>
            <w:tab/>
          </w:r>
          <w:r>
            <w:fldChar w:fldCharType="begin"/>
          </w:r>
          <w:r>
            <w:instrText xml:space="preserve"> PAGEREF _Toc153123552 \h </w:instrText>
          </w:r>
          <w:r>
            <w:fldChar w:fldCharType="separate"/>
          </w:r>
          <w:r>
            <w:t>9</w:t>
          </w:r>
          <w:r>
            <w:fldChar w:fldCharType="end"/>
          </w:r>
          <w:r>
            <w:fldChar w:fldCharType="end"/>
          </w:r>
        </w:p>
        <w:p>
          <w:pPr>
            <w:pStyle w:val="17"/>
            <w:rPr>
              <w:rFonts w:asciiTheme="minorHAnsi" w:hAnsiTheme="minorHAnsi" w:eastAsiaTheme="minorEastAsia" w:cstheme="minorBidi"/>
              <w:b w:val="0"/>
              <w:bCs w:val="0"/>
              <w:szCs w:val="22"/>
              <w14:ligatures w14:val="standardContextual"/>
            </w:rPr>
          </w:pPr>
          <w:r>
            <w:fldChar w:fldCharType="begin"/>
          </w:r>
          <w:r>
            <w:instrText xml:space="preserve"> HYPERLINK \l "_Toc153123553" </w:instrText>
          </w:r>
          <w:r>
            <w:fldChar w:fldCharType="separate"/>
          </w:r>
          <w:r>
            <w:rPr>
              <w:rStyle w:val="22"/>
            </w:rPr>
            <w:t>9.</w:t>
          </w:r>
          <w:r>
            <w:rPr>
              <w:rFonts w:asciiTheme="minorHAnsi" w:hAnsiTheme="minorHAnsi" w:eastAsiaTheme="minorEastAsia" w:cstheme="minorBidi"/>
              <w:b w:val="0"/>
              <w:bCs w:val="0"/>
              <w:szCs w:val="22"/>
              <w14:ligatures w14:val="standardContextual"/>
            </w:rPr>
            <w:tab/>
          </w:r>
          <w:r>
            <w:rPr>
              <w:rStyle w:val="22"/>
            </w:rPr>
            <w:t>结论</w:t>
          </w:r>
          <w:r>
            <w:tab/>
          </w:r>
          <w:r>
            <w:fldChar w:fldCharType="begin"/>
          </w:r>
          <w:r>
            <w:instrText xml:space="preserve"> PAGEREF _Toc153123553 \h </w:instrText>
          </w:r>
          <w:r>
            <w:fldChar w:fldCharType="separate"/>
          </w:r>
          <w:r>
            <w:t>10</w:t>
          </w:r>
          <w:r>
            <w:fldChar w:fldCharType="end"/>
          </w:r>
          <w:r>
            <w:fldChar w:fldCharType="end"/>
          </w:r>
        </w:p>
        <w:p>
          <w:r>
            <w:rPr>
              <w:b/>
              <w:bCs/>
              <w:lang w:val="zh-CN"/>
            </w:rPr>
            <w:fldChar w:fldCharType="end"/>
          </w:r>
        </w:p>
      </w:sdtContent>
    </w:sdt>
    <w:p>
      <w:pPr>
        <w:rPr>
          <w:lang w:val="en-US"/>
        </w:rPr>
      </w:pPr>
    </w:p>
    <w:bookmarkEnd w:id="11"/>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2" w:name="_Toc153123537"/>
      <w:r>
        <w:rPr>
          <w:rFonts w:hint="eastAsia"/>
        </w:rPr>
        <w:t>建筑概况</w:t>
      </w:r>
      <w:bookmarkEnd w:id="12"/>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tcPr>
          <w:p>
            <w:pPr>
              <w:pStyle w:val="3"/>
              <w:rPr>
                <w:lang w:val="en-US"/>
              </w:rPr>
            </w:pPr>
            <w:bookmarkStart w:id="13" w:name="项目地点"/>
            <w:r>
              <w:t>沈阳</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tcPr>
          <w:p>
            <w:pPr>
              <w:pStyle w:val="3"/>
              <w:rPr>
                <w:lang w:val="en-US"/>
              </w:rPr>
            </w:pPr>
            <w:bookmarkStart w:id="14" w:name="光气候分区"/>
            <w:r>
              <w:t>III</w:t>
            </w:r>
            <w:bookmarkEnd w:id="14"/>
          </w:p>
        </w:tc>
        <w:tc>
          <w:tcPr>
            <w:tcW w:w="1757" w:type="dxa"/>
            <w:shd w:val="clear" w:color="auto" w:fill="E0E0E0"/>
          </w:tcPr>
          <w:p>
            <w:pPr>
              <w:pStyle w:val="3"/>
              <w:spacing w:line="360" w:lineRule="exact"/>
              <w:rPr>
                <w:lang w:val="en-US"/>
              </w:rPr>
            </w:pPr>
            <w:r>
              <w:rPr>
                <w:rFonts w:hint="eastAsia"/>
                <w:lang w:val="en-US"/>
              </w:rPr>
              <w:t>光气候系数K</w:t>
            </w:r>
          </w:p>
        </w:tc>
        <w:tc>
          <w:tcPr>
            <w:tcW w:w="2066" w:type="dxa"/>
          </w:tcPr>
          <w:p>
            <w:pPr>
              <w:pStyle w:val="3"/>
              <w:rPr>
                <w:lang w:val="en-US"/>
              </w:rPr>
            </w:pPr>
            <w:bookmarkStart w:id="15" w:name="光气候系数K"/>
            <w:r>
              <w:t>1.00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rPr>
                <w:rFonts w:hint="eastAsia"/>
                <w:lang w:val="en-US" w:eastAsia="zh-CN"/>
              </w:rPr>
              <w:t>2056.87</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3</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r>
              <w:rPr>
                <w:rFonts w:hint="eastAsia"/>
                <w:lang w:val="en-US" w:eastAsia="zh-CN"/>
              </w:rPr>
              <w:t>7.2</w:t>
            </w:r>
            <w:r>
              <w:rPr>
                <w:rFonts w:hint="eastAsia"/>
                <w:lang w:val="en-US"/>
              </w:rPr>
              <w:t xml:space="preserve"> m     地下  </w:t>
            </w:r>
            <w:bookmarkStart w:id="20" w:name="地下建筑高度"/>
            <w:r>
              <w:t>0.00</w:t>
            </w:r>
            <w:bookmarkEnd w:id="20"/>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tcPr>
          <w:p>
            <w:pPr>
              <w:pStyle w:val="3"/>
              <w:rPr>
                <w:lang w:val="en-US"/>
              </w:rPr>
            </w:pPr>
            <w:bookmarkStart w:id="21" w:name="备注"/>
            <w:bookmarkEnd w:id="21"/>
          </w:p>
        </w:tc>
      </w:tr>
    </w:tbl>
    <w:p>
      <w:pPr>
        <w:rPr>
          <w:lang w:val="en-US"/>
        </w:rPr>
      </w:pPr>
    </w:p>
    <w:p>
      <w:pPr>
        <w:pStyle w:val="3"/>
        <w:ind w:firstLine="420"/>
        <w:jc w:val="center"/>
        <w:rPr>
          <w:lang w:val="en-US"/>
        </w:rPr>
      </w:pPr>
    </w:p>
    <w:p>
      <w:pPr>
        <w:pStyle w:val="2"/>
        <w:ind w:left="432" w:hanging="432"/>
      </w:pPr>
      <w:bookmarkStart w:id="22" w:name="_Toc153123538"/>
      <w:r>
        <w:rPr>
          <w:rFonts w:hint="eastAsia"/>
        </w:rPr>
        <w:t>设计依据</w:t>
      </w:r>
      <w:bookmarkEnd w:id="22"/>
    </w:p>
    <w:p>
      <w:pPr>
        <w:pStyle w:val="3"/>
        <w:numPr>
          <w:ilvl w:val="0"/>
          <w:numId w:val="2"/>
        </w:numPr>
      </w:pPr>
      <w:r>
        <w:rPr>
          <w:rFonts w:hint="eastAsia"/>
        </w:rPr>
        <w:t xml:space="preserve">《建筑采光设计标准》  </w:t>
      </w:r>
      <w:bookmarkStart w:id="23" w:name="采光标准"/>
      <w:r>
        <w:t>GB50033-2013</w:t>
      </w:r>
      <w:bookmarkEnd w:id="23"/>
    </w:p>
    <w:p>
      <w:pPr>
        <w:pStyle w:val="3"/>
        <w:numPr>
          <w:ilvl w:val="0"/>
          <w:numId w:val="2"/>
        </w:numPr>
      </w:pPr>
      <w:r>
        <w:rPr>
          <w:rFonts w:hint="eastAsia"/>
        </w:rPr>
        <w:t>《建筑环境通用规范》</w:t>
      </w:r>
      <w:r>
        <w:t>GB 55016-2021</w:t>
      </w:r>
    </w:p>
    <w:p>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pPr>
        <w:pStyle w:val="3"/>
        <w:numPr>
          <w:ilvl w:val="0"/>
          <w:numId w:val="2"/>
        </w:numPr>
      </w:pPr>
      <w:r>
        <w:rPr>
          <w:rFonts w:hint="eastAsia"/>
        </w:rPr>
        <w:t>《采光</w:t>
      </w:r>
      <w:r>
        <w:t>测量方法</w:t>
      </w:r>
      <w:r>
        <w:rPr>
          <w:rFonts w:hint="eastAsia"/>
        </w:rPr>
        <w:t>》GB/T 5699</w:t>
      </w:r>
      <w:r>
        <w:t>-2017</w:t>
      </w:r>
    </w:p>
    <w:p>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2"/>
        <w:ind w:left="432" w:hanging="432"/>
        <w:rPr>
          <w:rFonts w:ascii="微软雅黑" w:hAnsi="微软雅黑"/>
        </w:rPr>
      </w:pPr>
      <w:bookmarkStart w:id="24" w:name="_Toc153123539"/>
      <w:r>
        <w:rPr>
          <w:rFonts w:hint="eastAsia" w:ascii="微软雅黑" w:hAnsi="微软雅黑"/>
        </w:rPr>
        <w:t>标准要求</w:t>
      </w:r>
      <w:bookmarkEnd w:id="24"/>
    </w:p>
    <w:p>
      <w:pPr>
        <w:pStyle w:val="3"/>
        <w:ind w:firstLine="420"/>
        <w:rPr>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3"/>
        </w:numPr>
        <w:snapToGrid/>
        <w:spacing w:before="156" w:beforeLines="50" w:line="360" w:lineRule="exact"/>
        <w:ind w:firstLineChars="0"/>
        <w:rPr>
          <w:rFonts w:ascii="微软雅黑" w:hAnsi="微软雅黑"/>
          <w:sz w:val="21"/>
          <w:szCs w:val="21"/>
        </w:rPr>
      </w:pPr>
      <w:r>
        <w:rPr>
          <w:rFonts w:ascii="微软雅黑" w:hAnsi="微软雅黑"/>
          <w:b/>
          <w:sz w:val="21"/>
          <w:szCs w:val="21"/>
        </w:rPr>
        <w:t>《</w:t>
      </w:r>
      <w:r>
        <w:rPr>
          <w:rFonts w:hint="eastAsia" w:ascii="微软雅黑" w:hAnsi="微软雅黑"/>
          <w:b/>
          <w:sz w:val="21"/>
          <w:szCs w:val="21"/>
        </w:rPr>
        <w:t>建筑环境通用规范</w:t>
      </w:r>
      <w:r>
        <w:rPr>
          <w:rFonts w:ascii="微软雅黑" w:hAnsi="微软雅黑"/>
          <w:b/>
          <w:sz w:val="21"/>
          <w:szCs w:val="21"/>
        </w:rPr>
        <w:t>》GB 55016-2021</w:t>
      </w:r>
      <w:r>
        <w:rPr>
          <w:rFonts w:hint="eastAsia" w:ascii="微软雅黑" w:hAnsi="微软雅黑"/>
          <w:b/>
          <w:sz w:val="21"/>
          <w:szCs w:val="21"/>
        </w:rPr>
        <w:t>相关</w:t>
      </w:r>
      <w:r>
        <w:rPr>
          <w:rFonts w:ascii="微软雅黑" w:hAnsi="微软雅黑"/>
          <w:b/>
          <w:sz w:val="21"/>
          <w:szCs w:val="21"/>
        </w:rPr>
        <w:t>条文</w:t>
      </w:r>
    </w:p>
    <w:p>
      <w:pPr>
        <w:pStyle w:val="3"/>
        <w:ind w:left="506" w:leftChars="241"/>
      </w:pPr>
      <w:r>
        <w:t>3.2.2采光设计应以采光系数为评价指标，并应符合下列规定：</w:t>
      </w:r>
    </w:p>
    <w:p>
      <w:pPr>
        <w:pStyle w:val="3"/>
        <w:ind w:left="506" w:leftChars="241"/>
      </w:pPr>
      <w:r>
        <w:t>1采光等级与采光系数标准值应符合表3.2.21的规定。</w:t>
      </w:r>
    </w:p>
    <w:p>
      <w:pPr>
        <w:pStyle w:val="3"/>
        <w:ind w:left="506" w:leftChars="241"/>
      </w:pPr>
      <w:r>
        <w:t>2光气候区划应按本规范附录B确定。各光气候区的光气候系数应按表3.2.2-2确定。</w:t>
      </w:r>
    </w:p>
    <w:p>
      <w:pPr>
        <w:pStyle w:val="3"/>
        <w:ind w:left="234"/>
        <w:jc w:val="center"/>
        <w:rPr>
          <w:kern w:val="2"/>
          <w:lang w:val="en-US"/>
        </w:rPr>
      </w:pPr>
      <w:r>
        <w:rPr>
          <w:kern w:val="2"/>
          <w:lang w:val="en-US"/>
        </w:rPr>
        <w:t>表3.2.2-1采光等级与采光标准值</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pPr>
              <w:widowControl w:val="0"/>
              <w:autoSpaceDE w:val="0"/>
              <w:autoSpaceDN w:val="0"/>
              <w:adjustRightInd w:val="0"/>
              <w:spacing w:line="400" w:lineRule="exact"/>
              <w:rPr>
                <w:sz w:val="18"/>
                <w:szCs w:val="21"/>
              </w:rPr>
            </w:pPr>
            <w:r>
              <w:rPr>
                <w:rFonts w:hint="eastAsia"/>
                <w:sz w:val="18"/>
                <w:szCs w:val="21"/>
              </w:rPr>
              <w:t>采光等级</w:t>
            </w:r>
          </w:p>
        </w:tc>
        <w:tc>
          <w:tcPr>
            <w:tcW w:w="4243" w:type="dxa"/>
            <w:gridSpan w:val="2"/>
          </w:tcPr>
          <w:p>
            <w:pPr>
              <w:spacing w:line="360" w:lineRule="exact"/>
              <w:rPr>
                <w:sz w:val="18"/>
              </w:rPr>
            </w:pPr>
            <w:r>
              <w:rPr>
                <w:rFonts w:hint="eastAsia"/>
                <w:sz w:val="18"/>
              </w:rPr>
              <w:t>侧面采光</w:t>
            </w:r>
          </w:p>
        </w:tc>
        <w:tc>
          <w:tcPr>
            <w:tcW w:w="4252" w:type="dxa"/>
            <w:gridSpan w:val="2"/>
            <w:vAlign w:val="center"/>
          </w:tcPr>
          <w:p>
            <w:pPr>
              <w:spacing w:line="360" w:lineRule="exact"/>
              <w:rPr>
                <w:sz w:val="18"/>
              </w:rPr>
            </w:pPr>
            <w:r>
              <w:rPr>
                <w:sz w:val="18"/>
              </w:rPr>
              <w:t>顶部</w:t>
            </w:r>
            <w:r>
              <w:rPr>
                <w:rFonts w:hint="eastAsia"/>
                <w:sz w:val="18"/>
              </w:rPr>
              <w:t>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pPr>
              <w:widowControl w:val="0"/>
              <w:autoSpaceDE w:val="0"/>
              <w:autoSpaceDN w:val="0"/>
              <w:adjustRightInd w:val="0"/>
              <w:spacing w:line="400" w:lineRule="exact"/>
              <w:rPr>
                <w:sz w:val="18"/>
                <w:szCs w:val="21"/>
              </w:rPr>
            </w:pPr>
          </w:p>
        </w:tc>
        <w:tc>
          <w:tcPr>
            <w:tcW w:w="1839" w:type="dxa"/>
            <w:vAlign w:val="center"/>
          </w:tcPr>
          <w:p>
            <w:pPr>
              <w:spacing w:line="360" w:lineRule="exact"/>
              <w:rPr>
                <w:sz w:val="18"/>
              </w:rPr>
            </w:pPr>
            <w:r>
              <w:rPr>
                <w:sz w:val="18"/>
              </w:rPr>
              <w:t>采光系数标准值</w:t>
            </w:r>
            <w:r>
              <w:rPr>
                <w:rFonts w:hint="eastAsia"/>
                <w:sz w:val="18"/>
              </w:rPr>
              <w:t>(</w:t>
            </w:r>
            <w:r>
              <w:rPr>
                <w:sz w:val="18"/>
              </w:rPr>
              <w:t>%)</w:t>
            </w:r>
          </w:p>
        </w:tc>
        <w:tc>
          <w:tcPr>
            <w:tcW w:w="2404" w:type="dxa"/>
            <w:vAlign w:val="center"/>
          </w:tcPr>
          <w:p>
            <w:pPr>
              <w:spacing w:line="360" w:lineRule="exact"/>
              <w:rPr>
                <w:sz w:val="18"/>
              </w:rPr>
            </w:pPr>
            <w:r>
              <w:rPr>
                <w:sz w:val="18"/>
              </w:rPr>
              <w:t>室内天然光照度标准值</w:t>
            </w:r>
            <w:r>
              <w:rPr>
                <w:rFonts w:hint="eastAsia"/>
                <w:sz w:val="18"/>
              </w:rPr>
              <w:t>(</w:t>
            </w:r>
            <w:r>
              <w:rPr>
                <w:sz w:val="18"/>
              </w:rPr>
              <w:t>lx)</w:t>
            </w:r>
          </w:p>
        </w:tc>
        <w:tc>
          <w:tcPr>
            <w:tcW w:w="1842" w:type="dxa"/>
            <w:vAlign w:val="center"/>
          </w:tcPr>
          <w:p>
            <w:pPr>
              <w:spacing w:line="360" w:lineRule="exact"/>
              <w:jc w:val="left"/>
              <w:rPr>
                <w:sz w:val="18"/>
              </w:rPr>
            </w:pPr>
            <w:r>
              <w:rPr>
                <w:sz w:val="18"/>
              </w:rPr>
              <w:t>采光系数标准值</w:t>
            </w:r>
            <w:r>
              <w:rPr>
                <w:rFonts w:hint="eastAsia"/>
                <w:sz w:val="18"/>
              </w:rPr>
              <w:t>(</w:t>
            </w:r>
            <w:r>
              <w:rPr>
                <w:sz w:val="18"/>
              </w:rPr>
              <w:t>%)</w:t>
            </w:r>
          </w:p>
        </w:tc>
        <w:tc>
          <w:tcPr>
            <w:tcW w:w="2410" w:type="dxa"/>
            <w:vAlign w:val="center"/>
          </w:tcPr>
          <w:p>
            <w:pPr>
              <w:spacing w:line="360" w:lineRule="exact"/>
              <w:jc w:val="left"/>
              <w:rPr>
                <w:sz w:val="18"/>
              </w:rPr>
            </w:pPr>
            <w:r>
              <w:rPr>
                <w:sz w:val="18"/>
              </w:rPr>
              <w:t>室内天然光照度标准值</w:t>
            </w:r>
            <w:r>
              <w:rPr>
                <w:rFonts w:hint="eastAsia"/>
                <w:sz w:val="18"/>
              </w:rPr>
              <w:t>(</w:t>
            </w:r>
            <w:r>
              <w:rPr>
                <w:sz w:val="18"/>
              </w:rPr>
              <w:t>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pPr>
              <w:widowControl w:val="0"/>
              <w:spacing w:line="276" w:lineRule="auto"/>
              <w:rPr>
                <w:sz w:val="18"/>
                <w:szCs w:val="21"/>
              </w:rPr>
            </w:pPr>
            <w:r>
              <w:rPr>
                <w:rFonts w:hint="eastAsia"/>
                <w:sz w:val="18"/>
                <w:szCs w:val="21"/>
              </w:rPr>
              <w:t>Ⅰ</w:t>
            </w:r>
          </w:p>
        </w:tc>
        <w:tc>
          <w:tcPr>
            <w:tcW w:w="1839" w:type="dxa"/>
          </w:tcPr>
          <w:p>
            <w:pPr>
              <w:widowControl w:val="0"/>
              <w:spacing w:line="276" w:lineRule="auto"/>
              <w:rPr>
                <w:sz w:val="18"/>
                <w:szCs w:val="21"/>
              </w:rPr>
            </w:pPr>
            <w:r>
              <w:rPr>
                <w:rFonts w:hint="eastAsia"/>
                <w:sz w:val="18"/>
                <w:szCs w:val="21"/>
              </w:rPr>
              <w:t>5</w:t>
            </w:r>
          </w:p>
        </w:tc>
        <w:tc>
          <w:tcPr>
            <w:tcW w:w="2404" w:type="dxa"/>
          </w:tcPr>
          <w:p>
            <w:pPr>
              <w:widowControl w:val="0"/>
              <w:spacing w:line="276" w:lineRule="auto"/>
              <w:rPr>
                <w:sz w:val="18"/>
                <w:szCs w:val="21"/>
              </w:rPr>
            </w:pPr>
            <w:r>
              <w:rPr>
                <w:rFonts w:hint="eastAsia"/>
                <w:sz w:val="18"/>
                <w:szCs w:val="21"/>
              </w:rPr>
              <w:t>750</w:t>
            </w:r>
          </w:p>
        </w:tc>
        <w:tc>
          <w:tcPr>
            <w:tcW w:w="1842" w:type="dxa"/>
          </w:tcPr>
          <w:p>
            <w:pPr>
              <w:widowControl w:val="0"/>
              <w:spacing w:line="276" w:lineRule="auto"/>
              <w:rPr>
                <w:sz w:val="18"/>
                <w:szCs w:val="21"/>
              </w:rPr>
            </w:pPr>
            <w:r>
              <w:rPr>
                <w:rFonts w:hint="eastAsia"/>
                <w:sz w:val="18"/>
                <w:szCs w:val="21"/>
              </w:rPr>
              <w:t>5</w:t>
            </w:r>
          </w:p>
        </w:tc>
        <w:tc>
          <w:tcPr>
            <w:tcW w:w="2410" w:type="dxa"/>
          </w:tcPr>
          <w:p>
            <w:pPr>
              <w:widowControl w:val="0"/>
              <w:spacing w:line="276" w:lineRule="auto"/>
              <w:rPr>
                <w:sz w:val="18"/>
                <w:szCs w:val="21"/>
              </w:rPr>
            </w:pPr>
            <w:r>
              <w:rPr>
                <w:rFonts w:hint="eastAsia"/>
                <w:sz w:val="18"/>
                <w:szCs w:val="21"/>
              </w:rPr>
              <w:t>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pPr>
              <w:widowControl w:val="0"/>
              <w:spacing w:line="276" w:lineRule="auto"/>
              <w:rPr>
                <w:sz w:val="18"/>
                <w:szCs w:val="21"/>
              </w:rPr>
            </w:pPr>
            <w:r>
              <w:rPr>
                <w:rFonts w:hint="eastAsia"/>
                <w:sz w:val="18"/>
                <w:szCs w:val="21"/>
              </w:rPr>
              <w:t>Ⅱ</w:t>
            </w:r>
          </w:p>
        </w:tc>
        <w:tc>
          <w:tcPr>
            <w:tcW w:w="1839" w:type="dxa"/>
          </w:tcPr>
          <w:p>
            <w:pPr>
              <w:widowControl w:val="0"/>
              <w:spacing w:line="276" w:lineRule="auto"/>
              <w:rPr>
                <w:sz w:val="18"/>
                <w:szCs w:val="21"/>
              </w:rPr>
            </w:pPr>
            <w:r>
              <w:rPr>
                <w:rFonts w:hint="eastAsia"/>
                <w:sz w:val="18"/>
                <w:szCs w:val="21"/>
              </w:rPr>
              <w:t>4</w:t>
            </w:r>
          </w:p>
        </w:tc>
        <w:tc>
          <w:tcPr>
            <w:tcW w:w="2404" w:type="dxa"/>
          </w:tcPr>
          <w:p>
            <w:pPr>
              <w:widowControl w:val="0"/>
              <w:spacing w:line="276" w:lineRule="auto"/>
              <w:rPr>
                <w:sz w:val="18"/>
                <w:szCs w:val="21"/>
              </w:rPr>
            </w:pPr>
            <w:r>
              <w:rPr>
                <w:rFonts w:hint="eastAsia"/>
                <w:sz w:val="18"/>
                <w:szCs w:val="21"/>
              </w:rPr>
              <w:t>600</w:t>
            </w:r>
          </w:p>
        </w:tc>
        <w:tc>
          <w:tcPr>
            <w:tcW w:w="1842" w:type="dxa"/>
          </w:tcPr>
          <w:p>
            <w:pPr>
              <w:widowControl w:val="0"/>
              <w:spacing w:line="276" w:lineRule="auto"/>
              <w:rPr>
                <w:sz w:val="18"/>
                <w:szCs w:val="21"/>
              </w:rPr>
            </w:pPr>
            <w:r>
              <w:rPr>
                <w:rFonts w:hint="eastAsia"/>
                <w:sz w:val="18"/>
                <w:szCs w:val="21"/>
              </w:rPr>
              <w:t>3</w:t>
            </w:r>
          </w:p>
        </w:tc>
        <w:tc>
          <w:tcPr>
            <w:tcW w:w="2410" w:type="dxa"/>
          </w:tcPr>
          <w:p>
            <w:pPr>
              <w:widowControl w:val="0"/>
              <w:spacing w:line="276" w:lineRule="auto"/>
              <w:rPr>
                <w:sz w:val="18"/>
                <w:szCs w:val="21"/>
              </w:rPr>
            </w:pPr>
            <w:r>
              <w:rPr>
                <w:rFonts w:hint="eastAsia"/>
                <w:sz w:val="18"/>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pPr>
              <w:widowControl w:val="0"/>
              <w:spacing w:line="276" w:lineRule="auto"/>
              <w:rPr>
                <w:sz w:val="18"/>
                <w:szCs w:val="21"/>
              </w:rPr>
            </w:pPr>
            <w:r>
              <w:rPr>
                <w:rFonts w:hint="eastAsia"/>
                <w:sz w:val="18"/>
                <w:szCs w:val="21"/>
              </w:rPr>
              <w:t>Ⅲ</w:t>
            </w:r>
          </w:p>
        </w:tc>
        <w:tc>
          <w:tcPr>
            <w:tcW w:w="1839" w:type="dxa"/>
          </w:tcPr>
          <w:p>
            <w:pPr>
              <w:widowControl w:val="0"/>
              <w:spacing w:line="276" w:lineRule="auto"/>
              <w:rPr>
                <w:sz w:val="18"/>
                <w:szCs w:val="21"/>
              </w:rPr>
            </w:pPr>
            <w:r>
              <w:rPr>
                <w:rFonts w:hint="eastAsia"/>
                <w:sz w:val="18"/>
                <w:szCs w:val="21"/>
              </w:rPr>
              <w:t>3</w:t>
            </w:r>
          </w:p>
        </w:tc>
        <w:tc>
          <w:tcPr>
            <w:tcW w:w="2404" w:type="dxa"/>
          </w:tcPr>
          <w:p>
            <w:pPr>
              <w:widowControl w:val="0"/>
              <w:spacing w:line="276" w:lineRule="auto"/>
              <w:rPr>
                <w:sz w:val="18"/>
                <w:szCs w:val="21"/>
              </w:rPr>
            </w:pPr>
            <w:r>
              <w:rPr>
                <w:rFonts w:hint="eastAsia"/>
                <w:sz w:val="18"/>
                <w:szCs w:val="21"/>
              </w:rPr>
              <w:t>450</w:t>
            </w:r>
          </w:p>
        </w:tc>
        <w:tc>
          <w:tcPr>
            <w:tcW w:w="1842" w:type="dxa"/>
          </w:tcPr>
          <w:p>
            <w:pPr>
              <w:widowControl w:val="0"/>
              <w:spacing w:line="276" w:lineRule="auto"/>
              <w:rPr>
                <w:sz w:val="18"/>
                <w:szCs w:val="21"/>
              </w:rPr>
            </w:pPr>
            <w:r>
              <w:rPr>
                <w:rFonts w:hint="eastAsia"/>
                <w:sz w:val="18"/>
                <w:szCs w:val="21"/>
              </w:rPr>
              <w:t>2</w:t>
            </w:r>
          </w:p>
        </w:tc>
        <w:tc>
          <w:tcPr>
            <w:tcW w:w="2410" w:type="dxa"/>
          </w:tcPr>
          <w:p>
            <w:pPr>
              <w:widowControl w:val="0"/>
              <w:spacing w:line="276" w:lineRule="auto"/>
              <w:rPr>
                <w:sz w:val="18"/>
                <w:szCs w:val="21"/>
              </w:rPr>
            </w:pPr>
            <w:r>
              <w:rPr>
                <w:rFonts w:hint="eastAsia"/>
                <w:sz w:val="18"/>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pPr>
              <w:widowControl w:val="0"/>
              <w:spacing w:line="276" w:lineRule="auto"/>
              <w:rPr>
                <w:sz w:val="18"/>
                <w:szCs w:val="21"/>
              </w:rPr>
            </w:pPr>
            <w:r>
              <w:rPr>
                <w:rFonts w:hint="eastAsia"/>
                <w:sz w:val="18"/>
                <w:szCs w:val="21"/>
              </w:rPr>
              <w:t>Ⅳ</w:t>
            </w:r>
          </w:p>
        </w:tc>
        <w:tc>
          <w:tcPr>
            <w:tcW w:w="1839" w:type="dxa"/>
          </w:tcPr>
          <w:p>
            <w:pPr>
              <w:widowControl w:val="0"/>
              <w:spacing w:line="276" w:lineRule="auto"/>
              <w:rPr>
                <w:sz w:val="18"/>
                <w:szCs w:val="21"/>
              </w:rPr>
            </w:pPr>
            <w:r>
              <w:rPr>
                <w:rFonts w:hint="eastAsia"/>
                <w:sz w:val="18"/>
                <w:szCs w:val="21"/>
              </w:rPr>
              <w:t>2</w:t>
            </w:r>
          </w:p>
        </w:tc>
        <w:tc>
          <w:tcPr>
            <w:tcW w:w="2404" w:type="dxa"/>
          </w:tcPr>
          <w:p>
            <w:pPr>
              <w:widowControl w:val="0"/>
              <w:spacing w:line="276" w:lineRule="auto"/>
              <w:rPr>
                <w:sz w:val="18"/>
                <w:szCs w:val="21"/>
              </w:rPr>
            </w:pPr>
            <w:r>
              <w:rPr>
                <w:rFonts w:hint="eastAsia"/>
                <w:sz w:val="18"/>
                <w:szCs w:val="21"/>
              </w:rPr>
              <w:t>300</w:t>
            </w:r>
          </w:p>
        </w:tc>
        <w:tc>
          <w:tcPr>
            <w:tcW w:w="1842" w:type="dxa"/>
          </w:tcPr>
          <w:p>
            <w:pPr>
              <w:widowControl w:val="0"/>
              <w:spacing w:line="276" w:lineRule="auto"/>
              <w:rPr>
                <w:sz w:val="18"/>
                <w:szCs w:val="21"/>
              </w:rPr>
            </w:pPr>
            <w:r>
              <w:rPr>
                <w:rFonts w:hint="eastAsia"/>
                <w:sz w:val="18"/>
                <w:szCs w:val="21"/>
              </w:rPr>
              <w:t>1</w:t>
            </w:r>
          </w:p>
        </w:tc>
        <w:tc>
          <w:tcPr>
            <w:tcW w:w="2410" w:type="dxa"/>
          </w:tcPr>
          <w:p>
            <w:pPr>
              <w:widowControl w:val="0"/>
              <w:spacing w:line="276" w:lineRule="auto"/>
              <w:rPr>
                <w:sz w:val="18"/>
                <w:szCs w:val="21"/>
              </w:rPr>
            </w:pPr>
            <w:r>
              <w:rPr>
                <w:rFonts w:hint="eastAsia"/>
                <w:sz w:val="18"/>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pPr>
              <w:widowControl w:val="0"/>
              <w:spacing w:line="276" w:lineRule="auto"/>
              <w:rPr>
                <w:sz w:val="18"/>
                <w:szCs w:val="21"/>
              </w:rPr>
            </w:pPr>
            <w:r>
              <w:rPr>
                <w:rFonts w:hint="eastAsia"/>
                <w:sz w:val="18"/>
                <w:szCs w:val="21"/>
              </w:rPr>
              <w:t>Ⅴ</w:t>
            </w:r>
          </w:p>
        </w:tc>
        <w:tc>
          <w:tcPr>
            <w:tcW w:w="1839" w:type="dxa"/>
          </w:tcPr>
          <w:p>
            <w:pPr>
              <w:widowControl w:val="0"/>
              <w:spacing w:line="276" w:lineRule="auto"/>
              <w:rPr>
                <w:sz w:val="18"/>
                <w:szCs w:val="21"/>
              </w:rPr>
            </w:pPr>
            <w:r>
              <w:rPr>
                <w:rFonts w:hint="eastAsia"/>
                <w:sz w:val="18"/>
                <w:szCs w:val="21"/>
              </w:rPr>
              <w:t>1</w:t>
            </w:r>
          </w:p>
        </w:tc>
        <w:tc>
          <w:tcPr>
            <w:tcW w:w="2404" w:type="dxa"/>
          </w:tcPr>
          <w:p>
            <w:pPr>
              <w:widowControl w:val="0"/>
              <w:spacing w:line="276" w:lineRule="auto"/>
              <w:rPr>
                <w:sz w:val="18"/>
                <w:szCs w:val="21"/>
              </w:rPr>
            </w:pPr>
            <w:r>
              <w:rPr>
                <w:rFonts w:hint="eastAsia"/>
                <w:sz w:val="18"/>
                <w:szCs w:val="21"/>
              </w:rPr>
              <w:t>150</w:t>
            </w:r>
          </w:p>
        </w:tc>
        <w:tc>
          <w:tcPr>
            <w:tcW w:w="1842" w:type="dxa"/>
          </w:tcPr>
          <w:p>
            <w:pPr>
              <w:widowControl w:val="0"/>
              <w:spacing w:line="276" w:lineRule="auto"/>
              <w:rPr>
                <w:sz w:val="18"/>
                <w:szCs w:val="21"/>
              </w:rPr>
            </w:pPr>
            <w:r>
              <w:rPr>
                <w:rFonts w:hint="eastAsia"/>
                <w:sz w:val="18"/>
                <w:szCs w:val="21"/>
              </w:rPr>
              <w:t>0.5</w:t>
            </w:r>
          </w:p>
        </w:tc>
        <w:tc>
          <w:tcPr>
            <w:tcW w:w="2410" w:type="dxa"/>
          </w:tcPr>
          <w:p>
            <w:pPr>
              <w:widowControl w:val="0"/>
              <w:spacing w:line="276" w:lineRule="auto"/>
              <w:rPr>
                <w:sz w:val="18"/>
                <w:szCs w:val="21"/>
              </w:rPr>
            </w:pPr>
            <w:r>
              <w:rPr>
                <w:rFonts w:hint="eastAsia"/>
                <w:sz w:val="18"/>
                <w:szCs w:val="21"/>
              </w:rPr>
              <w:t>75</w:t>
            </w:r>
          </w:p>
        </w:tc>
      </w:tr>
    </w:tbl>
    <w:p>
      <w:pPr>
        <w:pStyle w:val="27"/>
        <w:ind w:left="234" w:firstLine="0" w:firstLineChars="0"/>
        <w:rPr>
          <w:kern w:val="2"/>
          <w:szCs w:val="21"/>
          <w:lang w:val="en-US"/>
        </w:rPr>
      </w:pPr>
      <w:r>
        <w:rPr>
          <w:kern w:val="2"/>
          <w:szCs w:val="21"/>
          <w:lang w:val="en-US"/>
        </w:rPr>
        <w:t>表3.2.2-2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pPr>
              <w:widowControl w:val="0"/>
              <w:rPr>
                <w:kern w:val="2"/>
                <w:sz w:val="18"/>
                <w:szCs w:val="21"/>
              </w:rPr>
            </w:pPr>
            <w:r>
              <w:rPr>
                <w:sz w:val="18"/>
                <w:szCs w:val="21"/>
              </w:rPr>
              <w:t>光气候区</w:t>
            </w:r>
          </w:p>
        </w:tc>
        <w:tc>
          <w:tcPr>
            <w:tcW w:w="1213" w:type="dxa"/>
            <w:vAlign w:val="center"/>
          </w:tcPr>
          <w:p>
            <w:pPr>
              <w:widowControl w:val="0"/>
              <w:rPr>
                <w:kern w:val="2"/>
                <w:sz w:val="18"/>
                <w:szCs w:val="21"/>
              </w:rPr>
            </w:pPr>
            <w:r>
              <w:rPr>
                <w:rFonts w:hint="eastAsia" w:cs="宋体"/>
                <w:sz w:val="18"/>
                <w:szCs w:val="21"/>
              </w:rPr>
              <w:t>Ⅰ</w:t>
            </w:r>
          </w:p>
        </w:tc>
        <w:tc>
          <w:tcPr>
            <w:tcW w:w="1213" w:type="dxa"/>
            <w:vAlign w:val="center"/>
          </w:tcPr>
          <w:p>
            <w:pPr>
              <w:widowControl w:val="0"/>
              <w:rPr>
                <w:kern w:val="2"/>
                <w:sz w:val="18"/>
                <w:szCs w:val="21"/>
              </w:rPr>
            </w:pPr>
            <w:r>
              <w:rPr>
                <w:rFonts w:hint="eastAsia" w:cs="宋体"/>
                <w:sz w:val="18"/>
                <w:szCs w:val="21"/>
              </w:rPr>
              <w:t>Ⅱ</w:t>
            </w:r>
          </w:p>
        </w:tc>
        <w:tc>
          <w:tcPr>
            <w:tcW w:w="1213" w:type="dxa"/>
            <w:vAlign w:val="center"/>
          </w:tcPr>
          <w:p>
            <w:pPr>
              <w:widowControl w:val="0"/>
              <w:rPr>
                <w:kern w:val="2"/>
                <w:sz w:val="18"/>
                <w:szCs w:val="21"/>
              </w:rPr>
            </w:pPr>
            <w:r>
              <w:rPr>
                <w:rFonts w:hint="eastAsia" w:cs="宋体"/>
                <w:sz w:val="18"/>
                <w:szCs w:val="21"/>
              </w:rPr>
              <w:t>Ⅲ</w:t>
            </w:r>
          </w:p>
        </w:tc>
        <w:tc>
          <w:tcPr>
            <w:tcW w:w="1213" w:type="dxa"/>
            <w:vAlign w:val="center"/>
          </w:tcPr>
          <w:p>
            <w:pPr>
              <w:widowControl w:val="0"/>
              <w:rPr>
                <w:kern w:val="2"/>
                <w:sz w:val="18"/>
                <w:szCs w:val="21"/>
              </w:rPr>
            </w:pPr>
            <w:r>
              <w:rPr>
                <w:rFonts w:hint="eastAsia" w:cs="宋体"/>
                <w:sz w:val="18"/>
                <w:szCs w:val="21"/>
              </w:rPr>
              <w:t>Ⅳ</w:t>
            </w:r>
          </w:p>
        </w:tc>
        <w:tc>
          <w:tcPr>
            <w:tcW w:w="1214" w:type="dxa"/>
            <w:vAlign w:val="center"/>
          </w:tcPr>
          <w:p>
            <w:pPr>
              <w:widowControl w:val="0"/>
              <w:rPr>
                <w:kern w:val="2"/>
                <w:sz w:val="18"/>
                <w:szCs w:val="21"/>
              </w:rPr>
            </w:pPr>
            <w:r>
              <w:rPr>
                <w:rFonts w:hint="eastAsia" w:cs="宋体"/>
                <w:sz w:val="18"/>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pPr>
              <w:widowControl w:val="0"/>
              <w:rPr>
                <w:kern w:val="2"/>
                <w:sz w:val="18"/>
                <w:szCs w:val="21"/>
              </w:rPr>
            </w:pPr>
            <w:r>
              <w:rPr>
                <w:sz w:val="18"/>
                <w:szCs w:val="21"/>
              </w:rPr>
              <w:t>K值</w:t>
            </w:r>
          </w:p>
        </w:tc>
        <w:tc>
          <w:tcPr>
            <w:tcW w:w="1213" w:type="dxa"/>
            <w:vAlign w:val="center"/>
          </w:tcPr>
          <w:p>
            <w:pPr>
              <w:widowControl w:val="0"/>
              <w:rPr>
                <w:kern w:val="2"/>
                <w:sz w:val="18"/>
                <w:szCs w:val="21"/>
              </w:rPr>
            </w:pPr>
            <w:r>
              <w:rPr>
                <w:sz w:val="18"/>
                <w:szCs w:val="21"/>
              </w:rPr>
              <w:t>0.85</w:t>
            </w:r>
          </w:p>
        </w:tc>
        <w:tc>
          <w:tcPr>
            <w:tcW w:w="1213" w:type="dxa"/>
            <w:vAlign w:val="center"/>
          </w:tcPr>
          <w:p>
            <w:pPr>
              <w:widowControl w:val="0"/>
              <w:rPr>
                <w:kern w:val="2"/>
                <w:sz w:val="18"/>
                <w:szCs w:val="21"/>
              </w:rPr>
            </w:pPr>
            <w:r>
              <w:rPr>
                <w:sz w:val="18"/>
                <w:szCs w:val="21"/>
              </w:rPr>
              <w:t>0.90</w:t>
            </w:r>
          </w:p>
        </w:tc>
        <w:tc>
          <w:tcPr>
            <w:tcW w:w="1213" w:type="dxa"/>
            <w:vAlign w:val="center"/>
          </w:tcPr>
          <w:p>
            <w:pPr>
              <w:widowControl w:val="0"/>
              <w:rPr>
                <w:kern w:val="2"/>
                <w:sz w:val="18"/>
                <w:szCs w:val="21"/>
              </w:rPr>
            </w:pPr>
            <w:r>
              <w:rPr>
                <w:sz w:val="18"/>
                <w:szCs w:val="21"/>
              </w:rPr>
              <w:t>1.00</w:t>
            </w:r>
          </w:p>
        </w:tc>
        <w:tc>
          <w:tcPr>
            <w:tcW w:w="1213" w:type="dxa"/>
            <w:vAlign w:val="center"/>
          </w:tcPr>
          <w:p>
            <w:pPr>
              <w:widowControl w:val="0"/>
              <w:rPr>
                <w:kern w:val="2"/>
                <w:sz w:val="18"/>
                <w:szCs w:val="21"/>
              </w:rPr>
            </w:pPr>
            <w:r>
              <w:rPr>
                <w:sz w:val="18"/>
                <w:szCs w:val="21"/>
              </w:rPr>
              <w:t>1.10</w:t>
            </w:r>
          </w:p>
        </w:tc>
        <w:tc>
          <w:tcPr>
            <w:tcW w:w="1214" w:type="dxa"/>
            <w:vAlign w:val="center"/>
          </w:tcPr>
          <w:p>
            <w:pPr>
              <w:widowControl w:val="0"/>
              <w:rPr>
                <w:kern w:val="2"/>
                <w:sz w:val="18"/>
                <w:szCs w:val="21"/>
              </w:rPr>
            </w:pPr>
            <w:r>
              <w:rPr>
                <w:sz w:val="18"/>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pPr>
              <w:widowControl w:val="0"/>
              <w:spacing w:line="276" w:lineRule="auto"/>
              <w:rPr>
                <w:kern w:val="2"/>
                <w:sz w:val="18"/>
                <w:szCs w:val="21"/>
              </w:rPr>
            </w:pPr>
            <w:r>
              <w:rPr>
                <w:sz w:val="18"/>
                <w:szCs w:val="21"/>
              </w:rPr>
              <w:t>室外天然光设计照度值E</w:t>
            </w:r>
            <w:r>
              <w:rPr>
                <w:sz w:val="18"/>
                <w:szCs w:val="21"/>
                <w:vertAlign w:val="subscript"/>
              </w:rPr>
              <w:t xml:space="preserve">s </w:t>
            </w:r>
            <w:r>
              <w:rPr>
                <w:sz w:val="18"/>
                <w:szCs w:val="21"/>
              </w:rPr>
              <w:t>（lx）</w:t>
            </w:r>
          </w:p>
        </w:tc>
        <w:tc>
          <w:tcPr>
            <w:tcW w:w="1213" w:type="dxa"/>
            <w:vAlign w:val="center"/>
          </w:tcPr>
          <w:p>
            <w:pPr>
              <w:widowControl w:val="0"/>
              <w:spacing w:line="276" w:lineRule="auto"/>
              <w:ind w:firstLine="90" w:firstLineChars="50"/>
              <w:rPr>
                <w:kern w:val="2"/>
                <w:sz w:val="18"/>
                <w:szCs w:val="21"/>
              </w:rPr>
            </w:pPr>
            <w:r>
              <w:rPr>
                <w:sz w:val="18"/>
                <w:szCs w:val="21"/>
              </w:rPr>
              <w:t>18000</w:t>
            </w:r>
          </w:p>
        </w:tc>
        <w:tc>
          <w:tcPr>
            <w:tcW w:w="1213" w:type="dxa"/>
            <w:vAlign w:val="center"/>
          </w:tcPr>
          <w:p>
            <w:pPr>
              <w:widowControl w:val="0"/>
              <w:spacing w:line="276" w:lineRule="auto"/>
              <w:ind w:firstLine="90" w:firstLineChars="50"/>
              <w:rPr>
                <w:kern w:val="2"/>
                <w:sz w:val="18"/>
                <w:szCs w:val="21"/>
              </w:rPr>
            </w:pPr>
            <w:r>
              <w:rPr>
                <w:sz w:val="18"/>
                <w:szCs w:val="21"/>
              </w:rPr>
              <w:t>16500</w:t>
            </w:r>
          </w:p>
        </w:tc>
        <w:tc>
          <w:tcPr>
            <w:tcW w:w="1213" w:type="dxa"/>
            <w:vAlign w:val="center"/>
          </w:tcPr>
          <w:p>
            <w:pPr>
              <w:widowControl w:val="0"/>
              <w:spacing w:line="276" w:lineRule="auto"/>
              <w:ind w:firstLine="90" w:firstLineChars="50"/>
              <w:rPr>
                <w:kern w:val="2"/>
                <w:sz w:val="18"/>
                <w:szCs w:val="21"/>
              </w:rPr>
            </w:pPr>
            <w:r>
              <w:rPr>
                <w:sz w:val="18"/>
                <w:szCs w:val="21"/>
              </w:rPr>
              <w:t>15000</w:t>
            </w:r>
          </w:p>
        </w:tc>
        <w:tc>
          <w:tcPr>
            <w:tcW w:w="1213" w:type="dxa"/>
            <w:vAlign w:val="center"/>
          </w:tcPr>
          <w:p>
            <w:pPr>
              <w:widowControl w:val="0"/>
              <w:spacing w:line="276" w:lineRule="auto"/>
              <w:ind w:firstLine="90" w:firstLineChars="50"/>
              <w:rPr>
                <w:kern w:val="2"/>
                <w:sz w:val="18"/>
                <w:szCs w:val="21"/>
              </w:rPr>
            </w:pPr>
            <w:r>
              <w:rPr>
                <w:sz w:val="18"/>
                <w:szCs w:val="21"/>
              </w:rPr>
              <w:t>13500</w:t>
            </w:r>
          </w:p>
        </w:tc>
        <w:tc>
          <w:tcPr>
            <w:tcW w:w="1214" w:type="dxa"/>
            <w:vAlign w:val="center"/>
          </w:tcPr>
          <w:p>
            <w:pPr>
              <w:widowControl w:val="0"/>
              <w:spacing w:line="276" w:lineRule="auto"/>
              <w:ind w:firstLine="90" w:firstLineChars="50"/>
              <w:rPr>
                <w:kern w:val="2"/>
                <w:sz w:val="18"/>
                <w:szCs w:val="21"/>
              </w:rPr>
            </w:pPr>
            <w:r>
              <w:rPr>
                <w:sz w:val="18"/>
                <w:szCs w:val="21"/>
              </w:rPr>
              <w:t>12000</w:t>
            </w:r>
          </w:p>
        </w:tc>
      </w:tr>
    </w:tbl>
    <w:p>
      <w:pPr>
        <w:pStyle w:val="3"/>
        <w:ind w:firstLine="420"/>
        <w:rPr>
          <w:lang w:val="en-US"/>
        </w:rPr>
      </w:pPr>
    </w:p>
    <w:p>
      <w:pPr>
        <w:kinsoku w:val="0"/>
        <w:ind w:firstLine="420" w:firstLineChars="200"/>
        <w:jc w:val="left"/>
        <w:rPr>
          <w:szCs w:val="21"/>
        </w:rPr>
      </w:pPr>
      <w:r>
        <w:rPr>
          <w:b/>
          <w:bCs/>
          <w:kern w:val="2"/>
          <w:szCs w:val="21"/>
          <w:lang w:val="en-US"/>
        </w:rPr>
        <w:t>3.2</w:t>
      </w:r>
      <w:r>
        <w:rPr>
          <w:b/>
          <w:szCs w:val="21"/>
        </w:rPr>
        <w:t>.3 对天然</w:t>
      </w:r>
      <w:r>
        <w:rPr>
          <w:rFonts w:hint="eastAsia"/>
          <w:b/>
          <w:szCs w:val="21"/>
        </w:rPr>
        <w:t>采</w:t>
      </w:r>
      <w:r>
        <w:rPr>
          <w:b/>
          <w:szCs w:val="21"/>
        </w:rPr>
        <w:t>光需求较高的场所、应符合下列规定：</w:t>
      </w:r>
    </w:p>
    <w:p>
      <w:pPr>
        <w:kinsoku w:val="0"/>
        <w:ind w:firstLine="630" w:firstLineChars="300"/>
        <w:jc w:val="left"/>
        <w:rPr>
          <w:szCs w:val="21"/>
        </w:rPr>
      </w:pPr>
      <w:r>
        <w:rPr>
          <w:szCs w:val="21"/>
        </w:rPr>
        <w:t>1卧室、起居室和一般病房的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pPr>
        <w:kinsoku w:val="0"/>
        <w:ind w:firstLine="630" w:firstLineChars="300"/>
        <w:jc w:val="left"/>
        <w:rPr>
          <w:b/>
          <w:szCs w:val="21"/>
        </w:rPr>
      </w:pPr>
      <w:r>
        <w:rPr>
          <w:b/>
          <w:szCs w:val="21"/>
        </w:rPr>
        <w:t>2普通教室的采光等级不应低于Ⅲ级的要求；</w:t>
      </w:r>
    </w:p>
    <w:p>
      <w:pPr>
        <w:kinsoku w:val="0"/>
        <w:ind w:firstLine="630" w:firstLineChars="300"/>
        <w:jc w:val="left"/>
        <w:rPr>
          <w:b/>
          <w:szCs w:val="21"/>
        </w:rPr>
      </w:pPr>
      <w:r>
        <w:rPr>
          <w:b/>
          <w:szCs w:val="21"/>
        </w:rPr>
        <w:t>3普通教室侧面采光的采光均匀度不应低于</w:t>
      </w:r>
      <w:bookmarkStart w:id="25" w:name="最小光均匀度要求"/>
      <w:r>
        <w:rPr>
          <w:b/>
          <w:szCs w:val="21"/>
        </w:rPr>
        <w:t>0.5</w:t>
      </w:r>
      <w:bookmarkEnd w:id="25"/>
    </w:p>
    <w:p>
      <w:pPr>
        <w:pStyle w:val="13"/>
        <w:numPr>
          <w:ilvl w:val="0"/>
          <w:numId w:val="4"/>
        </w:numPr>
        <w:snapToGrid/>
        <w:spacing w:before="156" w:beforeLines="50" w:line="360" w:lineRule="exact"/>
        <w:ind w:firstLineChars="0"/>
        <w:rPr>
          <w:rFonts w:ascii="微软雅黑" w:hAnsi="微软雅黑"/>
          <w:b/>
          <w:sz w:val="21"/>
          <w:szCs w:val="21"/>
        </w:rPr>
      </w:pPr>
      <w:r>
        <w:rPr>
          <w:rFonts w:ascii="微软雅黑" w:hAnsi="微软雅黑"/>
          <w:b/>
          <w:sz w:val="21"/>
          <w:szCs w:val="21"/>
        </w:rPr>
        <w:t>《建筑采光设计标准》GB50033-2013</w:t>
      </w:r>
    </w:p>
    <w:p>
      <w:pPr>
        <w:pStyle w:val="3"/>
        <w:ind w:left="420" w:leftChars="200"/>
      </w:pPr>
      <w:r>
        <w:t>4.0.</w:t>
      </w:r>
      <w:r>
        <w:rPr>
          <w:rFonts w:hint="eastAsia"/>
        </w:rPr>
        <w:t>5</w:t>
      </w:r>
      <w:r>
        <w:t xml:space="preserve">  </w:t>
      </w:r>
      <w:r>
        <w:rPr>
          <w:rFonts w:hint="eastAsia"/>
        </w:rPr>
        <w:t>教育建筑的采光标准值不应低于表4.0.5的规定。</w:t>
      </w:r>
    </w:p>
    <w:p>
      <w:pPr>
        <w:pStyle w:val="3"/>
        <w:jc w:val="center"/>
      </w:pPr>
      <w:r>
        <w:rPr>
          <w:rFonts w:hint="eastAsia"/>
        </w:rPr>
        <w:t>表</w:t>
      </w:r>
      <w:r>
        <w:t>4.0.</w:t>
      </w:r>
      <w:r>
        <w:rPr>
          <w:rFonts w:hint="eastAsia"/>
        </w:rPr>
        <w:t>5</w:t>
      </w:r>
      <w:r>
        <w:t xml:space="preserve">  </w:t>
      </w:r>
      <w:r>
        <w:rPr>
          <w:rFonts w:hint="eastAsia"/>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51"/>
        <w:gridCol w:w="2410"/>
        <w:gridCol w:w="2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36" w:type="dxa"/>
            <w:vMerge w:val="restart"/>
            <w:vAlign w:val="center"/>
          </w:tcPr>
          <w:p>
            <w:pPr>
              <w:pStyle w:val="3"/>
              <w:jc w:val="center"/>
            </w:pPr>
            <w:r>
              <w:rPr>
                <w:rFonts w:hint="eastAsia"/>
              </w:rPr>
              <w:t>采光等级</w:t>
            </w:r>
          </w:p>
        </w:tc>
        <w:tc>
          <w:tcPr>
            <w:tcW w:w="2551" w:type="dxa"/>
            <w:vMerge w:val="restart"/>
            <w:vAlign w:val="center"/>
          </w:tcPr>
          <w:p>
            <w:pPr>
              <w:pStyle w:val="3"/>
              <w:jc w:val="center"/>
            </w:pPr>
            <w:r>
              <w:rPr>
                <w:rFonts w:hint="eastAsia"/>
              </w:rPr>
              <w:t>场所名称</w:t>
            </w:r>
          </w:p>
        </w:tc>
        <w:tc>
          <w:tcPr>
            <w:tcW w:w="5387" w:type="dxa"/>
            <w:gridSpan w:val="2"/>
            <w:vAlign w:val="center"/>
          </w:tcPr>
          <w:p>
            <w:pPr>
              <w:pStyle w:val="3"/>
              <w:jc w:val="center"/>
            </w:pPr>
            <w:r>
              <w:rPr>
                <w:rFonts w:hint="eastAsia"/>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6" w:type="dxa"/>
            <w:vMerge w:val="continue"/>
            <w:vAlign w:val="center"/>
          </w:tcPr>
          <w:p>
            <w:pPr>
              <w:pStyle w:val="3"/>
              <w:jc w:val="center"/>
            </w:pPr>
          </w:p>
        </w:tc>
        <w:tc>
          <w:tcPr>
            <w:tcW w:w="2551" w:type="dxa"/>
            <w:vMerge w:val="continue"/>
            <w:vAlign w:val="center"/>
          </w:tcPr>
          <w:p>
            <w:pPr>
              <w:pStyle w:val="3"/>
              <w:jc w:val="center"/>
            </w:pPr>
          </w:p>
        </w:tc>
        <w:tc>
          <w:tcPr>
            <w:tcW w:w="2410" w:type="dxa"/>
            <w:vAlign w:val="center"/>
          </w:tcPr>
          <w:p>
            <w:pPr>
              <w:pStyle w:val="3"/>
              <w:jc w:val="center"/>
            </w:pPr>
            <w:r>
              <w:rPr>
                <w:rFonts w:hint="eastAsia"/>
              </w:rPr>
              <w:t>采光系数标准值（%）</w:t>
            </w:r>
          </w:p>
        </w:tc>
        <w:tc>
          <w:tcPr>
            <w:tcW w:w="2977" w:type="dxa"/>
            <w:vAlign w:val="center"/>
          </w:tcPr>
          <w:p>
            <w:pPr>
              <w:pStyle w:val="3"/>
              <w:jc w:val="center"/>
            </w:pPr>
            <w:r>
              <w:rPr>
                <w:rFonts w:hint="eastAsia"/>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836" w:type="dxa"/>
            <w:vAlign w:val="center"/>
          </w:tcPr>
          <w:p>
            <w:pPr>
              <w:pStyle w:val="3"/>
              <w:jc w:val="center"/>
            </w:pPr>
            <w:r>
              <w:rPr>
                <w:rFonts w:hint="eastAsia"/>
              </w:rPr>
              <w:t>Ⅲ</w:t>
            </w:r>
          </w:p>
        </w:tc>
        <w:tc>
          <w:tcPr>
            <w:tcW w:w="2551" w:type="dxa"/>
            <w:vAlign w:val="center"/>
          </w:tcPr>
          <w:p>
            <w:pPr>
              <w:pStyle w:val="3"/>
              <w:jc w:val="center"/>
              <w:rPr>
                <w:rFonts w:hint="eastAsia" w:eastAsia="微软雅黑"/>
                <w:lang w:eastAsia="zh-CN"/>
              </w:rPr>
            </w:pPr>
            <w:r>
              <w:rPr>
                <w:rFonts w:hint="eastAsia"/>
              </w:rPr>
              <w:t>专用</w:t>
            </w:r>
            <w:r>
              <w:rPr>
                <w:rFonts w:hint="eastAsia"/>
                <w:lang w:val="en-US" w:eastAsia="zh-CN"/>
              </w:rPr>
              <w:t>展览区</w:t>
            </w:r>
            <w:r>
              <w:rPr>
                <w:rFonts w:hint="eastAsia"/>
              </w:rPr>
              <w:t>、</w:t>
            </w:r>
            <w:r>
              <w:rPr>
                <w:rFonts w:hint="eastAsia"/>
                <w:lang w:val="en-US" w:eastAsia="zh-CN"/>
              </w:rPr>
              <w:t>设备房间</w:t>
            </w:r>
            <w:r>
              <w:rPr>
                <w:rFonts w:hint="eastAsia"/>
              </w:rPr>
              <w:t>、</w:t>
            </w:r>
            <w:r>
              <w:rPr>
                <w:rFonts w:hint="eastAsia"/>
                <w:lang w:val="en-US" w:eastAsia="zh-CN"/>
              </w:rPr>
              <w:t>餐饮区</w:t>
            </w:r>
            <w:r>
              <w:rPr>
                <w:rFonts w:hint="eastAsia"/>
              </w:rPr>
              <w:t>、</w:t>
            </w:r>
            <w:r>
              <w:rPr>
                <w:rFonts w:hint="eastAsia"/>
                <w:lang w:val="en-US" w:eastAsia="zh-CN"/>
              </w:rPr>
              <w:t>休息区</w:t>
            </w:r>
          </w:p>
        </w:tc>
        <w:tc>
          <w:tcPr>
            <w:tcW w:w="2410" w:type="dxa"/>
            <w:vAlign w:val="center"/>
          </w:tcPr>
          <w:p>
            <w:pPr>
              <w:pStyle w:val="3"/>
              <w:jc w:val="center"/>
            </w:pPr>
            <w:r>
              <w:rPr>
                <w:rFonts w:hint="eastAsia"/>
              </w:rPr>
              <w:t>3.0</w:t>
            </w:r>
          </w:p>
        </w:tc>
        <w:tc>
          <w:tcPr>
            <w:tcW w:w="2977" w:type="dxa"/>
            <w:vAlign w:val="center"/>
          </w:tcPr>
          <w:p>
            <w:pPr>
              <w:pStyle w:val="3"/>
              <w:jc w:val="center"/>
            </w:pPr>
            <w:r>
              <w:rPr>
                <w:rFonts w:hint="eastAsia"/>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836" w:type="dxa"/>
            <w:vAlign w:val="center"/>
          </w:tcPr>
          <w:p>
            <w:pPr>
              <w:pStyle w:val="3"/>
              <w:jc w:val="center"/>
            </w:pPr>
            <w:r>
              <w:rPr>
                <w:rFonts w:hint="eastAsia"/>
              </w:rPr>
              <w:t>Ⅴ</w:t>
            </w:r>
          </w:p>
        </w:tc>
        <w:tc>
          <w:tcPr>
            <w:tcW w:w="2551" w:type="dxa"/>
            <w:vAlign w:val="center"/>
          </w:tcPr>
          <w:p>
            <w:pPr>
              <w:pStyle w:val="3"/>
              <w:jc w:val="center"/>
            </w:pPr>
            <w:r>
              <w:rPr>
                <w:rFonts w:hint="eastAsia"/>
              </w:rPr>
              <w:t>走道、楼梯间、卫生间</w:t>
            </w:r>
          </w:p>
        </w:tc>
        <w:tc>
          <w:tcPr>
            <w:tcW w:w="2410" w:type="dxa"/>
            <w:vAlign w:val="center"/>
          </w:tcPr>
          <w:p>
            <w:pPr>
              <w:pStyle w:val="3"/>
              <w:jc w:val="center"/>
            </w:pPr>
            <w:r>
              <w:rPr>
                <w:rFonts w:hint="eastAsia"/>
              </w:rPr>
              <w:t>1.0</w:t>
            </w:r>
          </w:p>
          <w:p>
            <w:pPr>
              <w:pStyle w:val="3"/>
              <w:jc w:val="center"/>
            </w:pPr>
          </w:p>
          <w:p>
            <w:pPr>
              <w:pStyle w:val="3"/>
              <w:jc w:val="center"/>
            </w:pPr>
          </w:p>
          <w:p>
            <w:pPr>
              <w:pStyle w:val="3"/>
              <w:jc w:val="center"/>
            </w:pPr>
          </w:p>
          <w:p>
            <w:pPr>
              <w:pStyle w:val="3"/>
              <w:jc w:val="center"/>
            </w:pPr>
          </w:p>
        </w:tc>
        <w:tc>
          <w:tcPr>
            <w:tcW w:w="2977" w:type="dxa"/>
            <w:vAlign w:val="center"/>
          </w:tcPr>
          <w:p>
            <w:pPr>
              <w:pStyle w:val="3"/>
              <w:jc w:val="center"/>
            </w:pPr>
            <w:r>
              <w:rPr>
                <w:rFonts w:hint="eastAsia"/>
              </w:rPr>
              <w:t>150</w:t>
            </w:r>
          </w:p>
        </w:tc>
      </w:tr>
    </w:tbl>
    <w:p>
      <w:pPr>
        <w:pStyle w:val="2"/>
        <w:ind w:left="432" w:hanging="432"/>
      </w:pPr>
      <w:bookmarkStart w:id="26" w:name="_Toc264043625"/>
      <w:bookmarkStart w:id="27" w:name="_Toc264569232"/>
      <w:bookmarkStart w:id="28" w:name="_Toc290209312"/>
      <w:bookmarkStart w:id="29" w:name="_Toc312399791"/>
      <w:bookmarkStart w:id="30" w:name="_Toc290149054"/>
      <w:bookmarkStart w:id="31" w:name="_Toc275165382"/>
      <w:bookmarkStart w:id="32" w:name="_Toc153123540"/>
      <w:bookmarkStart w:id="33" w:name="_Toc290209336"/>
      <w:r>
        <w:rPr>
          <w:rFonts w:hint="eastAsia"/>
        </w:rPr>
        <w:t>采光分析</w:t>
      </w:r>
      <w:r>
        <w:t>概述</w:t>
      </w:r>
      <w:bookmarkEnd w:id="26"/>
      <w:bookmarkEnd w:id="27"/>
      <w:bookmarkEnd w:id="28"/>
      <w:bookmarkEnd w:id="29"/>
      <w:bookmarkEnd w:id="30"/>
      <w:bookmarkEnd w:id="31"/>
      <w:bookmarkEnd w:id="32"/>
      <w:bookmarkEnd w:id="33"/>
    </w:p>
    <w:p>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4" w:name="_Toc153123541"/>
      <w:r>
        <w:rPr>
          <w:rFonts w:hint="eastAsia"/>
        </w:rPr>
        <w:t>基本原理</w:t>
      </w:r>
      <w:bookmarkEnd w:id="34"/>
    </w:p>
    <w:p>
      <w:pPr>
        <w:pStyle w:val="13"/>
        <w:spacing w:line="360" w:lineRule="auto"/>
        <w:ind w:firstLine="420"/>
        <w:rPr>
          <w:b/>
          <w:sz w:val="21"/>
          <w:szCs w:val="21"/>
        </w:rPr>
      </w:pPr>
      <w:r>
        <w:rPr>
          <w:rFonts w:hint="eastAsia"/>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5" w:name="_Toc264043630"/>
      <w:bookmarkStart w:id="36" w:name="_Toc290209341"/>
      <w:bookmarkStart w:id="37" w:name="_Toc264569237"/>
      <w:bookmarkStart w:id="38" w:name="_Toc290149059"/>
      <w:bookmarkStart w:id="39" w:name="_Toc275165387"/>
      <w:bookmarkStart w:id="40" w:name="_Toc312399796"/>
      <w:bookmarkStart w:id="41"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240" w:lineRule="auto"/>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before="156" w:beforeLines="50" w:after="156" w:afterLines="50" w:line="240" w:lineRule="auto"/>
        <w:ind w:firstLine="426" w:firstLineChars="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24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2" w:name="_Toc153123542"/>
      <w:r>
        <w:t>分析软件</w:t>
      </w:r>
      <w:bookmarkEnd w:id="35"/>
      <w:bookmarkEnd w:id="36"/>
      <w:bookmarkEnd w:id="37"/>
      <w:bookmarkEnd w:id="38"/>
      <w:bookmarkEnd w:id="39"/>
      <w:bookmarkEnd w:id="40"/>
      <w:bookmarkEnd w:id="41"/>
      <w:bookmarkEnd w:id="42"/>
    </w:p>
    <w:p>
      <w:pPr>
        <w:pStyle w:val="13"/>
        <w:spacing w:line="360" w:lineRule="exact"/>
        <w:ind w:firstLine="420"/>
        <w:rPr>
          <w:rFonts w:ascii="微软雅黑" w:hAnsi="微软雅黑"/>
          <w:sz w:val="21"/>
          <w:szCs w:val="21"/>
        </w:rPr>
      </w:pPr>
      <w:bookmarkStart w:id="43"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pPr>
      <w:bookmarkStart w:id="44" w:name="_Toc153123543"/>
      <w:r>
        <w:rPr>
          <w:rFonts w:hint="eastAsia"/>
        </w:rPr>
        <w:t>计算方法</w:t>
      </w:r>
      <w:bookmarkEnd w:id="43"/>
      <w:bookmarkEnd w:id="44"/>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5" w:name="_Toc153123544"/>
      <w:r>
        <w:rPr>
          <w:rFonts w:hint="eastAsia"/>
        </w:rPr>
        <w:t>采光计算</w:t>
      </w:r>
      <w:r>
        <w:t>参数</w:t>
      </w:r>
      <w:r>
        <w:rPr>
          <w:rFonts w:hint="eastAsia"/>
        </w:rPr>
        <w:t>取值</w:t>
      </w:r>
      <w:bookmarkEnd w:id="45"/>
    </w:p>
    <w:p>
      <w:pPr>
        <w:pStyle w:val="4"/>
      </w:pPr>
      <w:bookmarkStart w:id="46" w:name="_Toc312399795"/>
      <w:bookmarkStart w:id="47" w:name="_Toc275165386"/>
      <w:bookmarkStart w:id="48" w:name="_Toc264569236"/>
      <w:bookmarkStart w:id="49" w:name="_Toc290209340"/>
      <w:bookmarkStart w:id="50" w:name="_Toc264043629"/>
      <w:bookmarkStart w:id="51" w:name="_Toc290209316"/>
      <w:bookmarkStart w:id="52" w:name="_Toc290149058"/>
      <w:bookmarkStart w:id="53" w:name="_Toc153123545"/>
      <w:r>
        <w:t>模拟</w:t>
      </w:r>
      <w:bookmarkEnd w:id="46"/>
      <w:bookmarkEnd w:id="47"/>
      <w:bookmarkEnd w:id="48"/>
      <w:bookmarkEnd w:id="49"/>
      <w:bookmarkEnd w:id="50"/>
      <w:bookmarkEnd w:id="51"/>
      <w:bookmarkEnd w:id="52"/>
      <w:r>
        <w:rPr>
          <w:rFonts w:hint="eastAsia"/>
        </w:rPr>
        <w:t>分析条件说明</w:t>
      </w:r>
      <w:bookmarkEnd w:id="53"/>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4" w:name="光线反射次数"/>
      <w:r>
        <w:t>3</w:t>
      </w:r>
      <w:bookmarkEnd w:id="54"/>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5" w:name="分析面高"/>
      <w:r>
        <w:rPr>
          <w:rFonts w:hint="eastAsia" w:ascii="微软雅黑" w:hAnsi="微软雅黑"/>
          <w:sz w:val="21"/>
          <w:szCs w:val="21"/>
        </w:rPr>
        <w:t>1.00</w:t>
      </w:r>
      <w:bookmarkEnd w:id="55"/>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6" w:name="网格划分小房间面积"/>
            <w:r>
              <w:rPr>
                <w:rFonts w:hint="eastAsia"/>
                <w:szCs w:val="18"/>
              </w:rPr>
              <w:t>10</w:t>
            </w:r>
            <w:bookmarkEnd w:id="56"/>
          </w:p>
        </w:tc>
        <w:tc>
          <w:tcPr>
            <w:tcW w:w="3272" w:type="dxa"/>
            <w:shd w:val="clear" w:color="auto" w:fill="auto"/>
            <w:vAlign w:val="center"/>
          </w:tcPr>
          <w:p>
            <w:pPr>
              <w:rPr>
                <w:szCs w:val="18"/>
              </w:rPr>
            </w:pPr>
            <w:bookmarkStart w:id="57" w:name="小房间网格大小"/>
            <w:r>
              <w:rPr>
                <w:rFonts w:hint="eastAsia"/>
                <w:szCs w:val="18"/>
              </w:rPr>
              <w:t>0.25</w:t>
            </w:r>
            <w:bookmarkEnd w:id="5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58" w:name="网格划分房间面积"/>
            <w:r>
              <w:rPr>
                <w:rFonts w:hint="eastAsia"/>
                <w:szCs w:val="18"/>
              </w:rPr>
              <w:t>10~100</w:t>
            </w:r>
            <w:bookmarkEnd w:id="58"/>
          </w:p>
        </w:tc>
        <w:tc>
          <w:tcPr>
            <w:tcW w:w="3272" w:type="dxa"/>
            <w:shd w:val="clear" w:color="auto" w:fill="auto"/>
            <w:vAlign w:val="center"/>
          </w:tcPr>
          <w:p>
            <w:pPr>
              <w:rPr>
                <w:szCs w:val="18"/>
              </w:rPr>
            </w:pPr>
            <w:bookmarkStart w:id="59" w:name="网格大小"/>
            <w:r>
              <w:rPr>
                <w:rFonts w:hint="eastAsia"/>
                <w:szCs w:val="18"/>
              </w:rPr>
              <w:t>0.50</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60" w:name="网格划分大房间面积"/>
            <w:r>
              <w:rPr>
                <w:rFonts w:hint="eastAsia"/>
                <w:szCs w:val="18"/>
              </w:rPr>
              <w:t>100</w:t>
            </w:r>
            <w:bookmarkEnd w:id="60"/>
          </w:p>
        </w:tc>
        <w:tc>
          <w:tcPr>
            <w:tcW w:w="3272" w:type="dxa"/>
            <w:shd w:val="clear" w:color="auto" w:fill="auto"/>
            <w:vAlign w:val="center"/>
          </w:tcPr>
          <w:p>
            <w:pPr>
              <w:rPr>
                <w:szCs w:val="18"/>
              </w:rPr>
            </w:pPr>
            <w:bookmarkStart w:id="61" w:name="大房间网格大小"/>
            <w:r>
              <w:rPr>
                <w:rFonts w:hint="eastAsia"/>
                <w:szCs w:val="18"/>
              </w:rPr>
              <w:t>1.00</w:t>
            </w:r>
            <w:bookmarkEnd w:id="61"/>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2" w:name="_Toc153123546"/>
      <w:r>
        <w:rPr>
          <w:rFonts w:hint="eastAsia"/>
        </w:rPr>
        <w:t>建筑饰面材料参数</w:t>
      </w:r>
      <w:bookmarkEnd w:id="62"/>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398"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460"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3" w:name="顶棚反射比"/>
            <w:r>
              <w:rPr>
                <w:rFonts w:hint="eastAsia"/>
                <w:szCs w:val="18"/>
              </w:rPr>
              <w:t>0.75</w:t>
            </w:r>
            <w:bookmarkEnd w:id="63"/>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4" w:name="地面反射比"/>
            <w:r>
              <w:rPr>
                <w:rFonts w:hint="eastAsia"/>
                <w:szCs w:val="18"/>
              </w:rPr>
              <w:t>0.40</w:t>
            </w:r>
            <w:bookmarkEnd w:id="64"/>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5" w:name="墙面反射比"/>
            <w:r>
              <w:rPr>
                <w:rFonts w:hint="eastAsia"/>
                <w:szCs w:val="18"/>
              </w:rPr>
              <w:t>0.70</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6" w:name="外表面反射比"/>
            <w:r>
              <w:rPr>
                <w:rFonts w:hint="eastAsia"/>
                <w:szCs w:val="18"/>
              </w:rPr>
              <w:t>0.50</w:t>
            </w:r>
            <w:bookmarkEnd w:id="66"/>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67" w:name="_Toc153123547"/>
      <w:r>
        <w:rPr>
          <w:rFonts w:hint="eastAsia"/>
        </w:rPr>
        <w:t>门窗类型参数</w:t>
      </w:r>
      <w:bookmarkEnd w:id="67"/>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68" w:name="_Toc153123548"/>
      <w:bookmarkStart w:id="69" w:name="幕墙"/>
      <w:r>
        <w:rPr>
          <w:rFonts w:hint="eastAsia"/>
        </w:rPr>
        <w:t>玻璃幕墙</w:t>
      </w:r>
      <w:bookmarkEnd w:id="68"/>
    </w:p>
    <w:bookmarkEnd w:id="69"/>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33800</w:t>
            </w:r>
          </w:p>
        </w:tc>
        <w:tc>
          <w:tcPr>
            <w:tcW w:w="1245" w:type="dxa"/>
            <w:vAlign w:val="center"/>
          </w:tcPr>
          <w:p>
            <w:r>
              <w:t>3600</w:t>
            </w:r>
          </w:p>
        </w:tc>
        <w:tc>
          <w:tcPr>
            <w:tcW w:w="1301" w:type="dxa"/>
            <w:vAlign w:val="center"/>
          </w:tcPr>
          <w:p>
            <w:r>
              <w:t>双层铝窗</w:t>
            </w:r>
          </w:p>
        </w:tc>
        <w:tc>
          <w:tcPr>
            <w:tcW w:w="1301" w:type="dxa"/>
            <w:vAlign w:val="center"/>
          </w:tcPr>
          <w:p>
            <w:r>
              <w:t>遮阳Low-E</w:t>
            </w:r>
          </w:p>
        </w:tc>
        <w:tc>
          <w:tcPr>
            <w:tcW w:w="1516" w:type="dxa"/>
            <w:vAlign w:val="center"/>
          </w:tcPr>
          <w:p>
            <w:r>
              <w:t>0.57</w:t>
            </w:r>
          </w:p>
        </w:tc>
        <w:tc>
          <w:tcPr>
            <w:tcW w:w="1358" w:type="dxa"/>
            <w:vAlign w:val="center"/>
          </w:tcPr>
          <w:p>
            <w:r>
              <w:t>0.08</w:t>
            </w:r>
          </w:p>
        </w:tc>
      </w:tr>
    </w:tbl>
    <w:p>
      <w:pPr>
        <w:pStyle w:val="3"/>
        <w:rPr>
          <w:rFonts w:ascii="宋体" w:hAnsi="宋体"/>
          <w:sz w:val="18"/>
          <w:szCs w:val="18"/>
          <w:lang w:val="en-US"/>
        </w:rPr>
      </w:pPr>
    </w:p>
    <w:p>
      <w:pPr>
        <w:pStyle w:val="5"/>
      </w:pPr>
      <w:bookmarkStart w:id="70" w:name="_Toc153123549"/>
      <w:bookmarkStart w:id="71" w:name="天窗"/>
      <w:r>
        <w:rPr>
          <w:rFonts w:hint="eastAsia"/>
        </w:rPr>
        <w:t xml:space="preserve">天 </w:t>
      </w:r>
      <w:r>
        <w:t xml:space="preserve"> </w:t>
      </w:r>
      <w:r>
        <w:rPr>
          <w:rFonts w:hint="eastAsia"/>
        </w:rPr>
        <w:t>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shd w:val="clear" w:color="auto" w:fill="E6E6E6"/>
            <w:vAlign w:val="center"/>
          </w:tcPr>
          <w:p>
            <w:r>
              <w:t>门窗编号</w:t>
            </w:r>
          </w:p>
        </w:tc>
        <w:tc>
          <w:tcPr>
            <w:tcW w:w="1103" w:type="dxa"/>
            <w:shd w:val="clear" w:color="auto" w:fill="E6E6E6"/>
            <w:vAlign w:val="center"/>
          </w:tcPr>
          <w:p>
            <w:r>
              <w:t>宽度(mm)</w:t>
            </w:r>
          </w:p>
        </w:tc>
        <w:tc>
          <w:tcPr>
            <w:tcW w:w="1103" w:type="dxa"/>
            <w:shd w:val="clear" w:color="auto" w:fill="E6E6E6"/>
            <w:vAlign w:val="center"/>
          </w:tcPr>
          <w:p>
            <w:r>
              <w:t>高度(mm)</w:t>
            </w:r>
          </w:p>
        </w:tc>
        <w:tc>
          <w:tcPr>
            <w:tcW w:w="962" w:type="dxa"/>
            <w:shd w:val="clear" w:color="auto" w:fill="E6E6E6"/>
            <w:vAlign w:val="center"/>
          </w:tcPr>
          <w:p>
            <w:r>
              <w:t>面积</w:t>
            </w:r>
          </w:p>
        </w:tc>
        <w:tc>
          <w:tcPr>
            <w:tcW w:w="1131" w:type="dxa"/>
            <w:shd w:val="clear" w:color="auto" w:fill="E6E6E6"/>
            <w:vAlign w:val="center"/>
          </w:tcPr>
          <w:p>
            <w:r>
              <w:t>窗框类型</w:t>
            </w:r>
          </w:p>
        </w:tc>
        <w:tc>
          <w:tcPr>
            <w:tcW w:w="1131" w:type="dxa"/>
            <w:shd w:val="clear" w:color="auto" w:fill="E6E6E6"/>
            <w:vAlign w:val="center"/>
          </w:tcPr>
          <w:p>
            <w:r>
              <w:t>玻璃类型</w:t>
            </w:r>
          </w:p>
        </w:tc>
        <w:tc>
          <w:tcPr>
            <w:tcW w:w="1499" w:type="dxa"/>
            <w:shd w:val="clear" w:color="auto" w:fill="E6E6E6"/>
            <w:vAlign w:val="center"/>
          </w:tcPr>
          <w:p>
            <w:r>
              <w:t>可见光透射比</w:t>
            </w:r>
          </w:p>
        </w:tc>
        <w:tc>
          <w:tcPr>
            <w:tcW w:w="1301"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vAlign w:val="center"/>
          </w:tcPr>
          <w:p/>
        </w:tc>
        <w:tc>
          <w:tcPr>
            <w:tcW w:w="1103" w:type="dxa"/>
            <w:vAlign w:val="center"/>
          </w:tcPr>
          <w:p>
            <w:r>
              <w:t>6250</w:t>
            </w:r>
          </w:p>
        </w:tc>
        <w:tc>
          <w:tcPr>
            <w:tcW w:w="1103" w:type="dxa"/>
            <w:vAlign w:val="center"/>
          </w:tcPr>
          <w:p>
            <w:r>
              <w:t>8900</w:t>
            </w:r>
          </w:p>
        </w:tc>
        <w:tc>
          <w:tcPr>
            <w:tcW w:w="962" w:type="dxa"/>
            <w:vAlign w:val="center"/>
          </w:tcPr>
          <w:p>
            <w:r>
              <w:t>55.591</w:t>
            </w:r>
          </w:p>
        </w:tc>
        <w:tc>
          <w:tcPr>
            <w:tcW w:w="1131" w:type="dxa"/>
            <w:vAlign w:val="center"/>
          </w:tcPr>
          <w:p>
            <w:r>
              <w:t>双层铝窗</w:t>
            </w:r>
          </w:p>
        </w:tc>
        <w:tc>
          <w:tcPr>
            <w:tcW w:w="1131" w:type="dxa"/>
            <w:vAlign w:val="center"/>
          </w:tcPr>
          <w:p>
            <w:r>
              <w:t>遮阳Low-E</w:t>
            </w:r>
          </w:p>
        </w:tc>
        <w:tc>
          <w:tcPr>
            <w:tcW w:w="1499" w:type="dxa"/>
            <w:vAlign w:val="center"/>
          </w:tcPr>
          <w:p>
            <w:r>
              <w:t>0.57</w:t>
            </w:r>
          </w:p>
        </w:tc>
        <w:tc>
          <w:tcPr>
            <w:tcW w:w="1301" w:type="dxa"/>
            <w:vAlign w:val="center"/>
          </w:tcPr>
          <w:p>
            <w:r>
              <w:t>0.08</w:t>
            </w:r>
          </w:p>
        </w:tc>
      </w:tr>
    </w:tbl>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2"/>
        <w:ind w:left="432" w:hanging="432"/>
        <w:rPr>
          <w:rFonts w:ascii="微软雅黑" w:hAnsi="微软雅黑"/>
        </w:rPr>
      </w:pPr>
      <w:bookmarkStart w:id="73" w:name="_Toc153123550"/>
      <w:r>
        <w:rPr>
          <w:rFonts w:hint="eastAsia"/>
        </w:rPr>
        <w:t>房间模拟</w:t>
      </w:r>
      <w:r>
        <w:t>结果</w:t>
      </w:r>
      <w:bookmarkEnd w:id="73"/>
    </w:p>
    <w:p>
      <w:pPr>
        <w:pStyle w:val="3"/>
        <w:ind w:firstLine="420"/>
      </w:pPr>
      <w:r>
        <w:rPr>
          <w:rFonts w:hint="eastAsia"/>
          <w:lang w:val="en-US"/>
        </w:rPr>
        <w:t>本项目为教育建筑</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4" w:name="房间采光表"/>
      <w:bookmarkEnd w:id="7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1001</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498.51</w:t>
            </w:r>
          </w:p>
        </w:tc>
        <w:tc>
          <w:tcPr>
            <w:tcW w:w="1075" w:type="dxa"/>
            <w:vAlign w:val="center"/>
          </w:tcPr>
          <w:p>
            <w:r>
              <w:t>0.00</w:t>
            </w:r>
          </w:p>
        </w:tc>
        <w:tc>
          <w:tcPr>
            <w:tcW w:w="1301" w:type="dxa"/>
            <w:vAlign w:val="center"/>
          </w:tcPr>
          <w:p>
            <w:r>
              <w:t>2.00</w:t>
            </w:r>
          </w:p>
        </w:tc>
        <w:tc>
          <w:tcPr>
            <w:tcW w:w="922" w:type="dxa"/>
            <w:vAlign w:val="center"/>
          </w:tcPr>
          <w:p>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1002</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692.75</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1003</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140.09</w:t>
            </w:r>
          </w:p>
        </w:tc>
        <w:tc>
          <w:tcPr>
            <w:tcW w:w="1075" w:type="dxa"/>
            <w:vAlign w:val="center"/>
          </w:tcPr>
          <w:p>
            <w:r>
              <w:t>0.00</w:t>
            </w:r>
          </w:p>
        </w:tc>
        <w:tc>
          <w:tcPr>
            <w:tcW w:w="1301" w:type="dxa"/>
            <w:vAlign w:val="center"/>
          </w:tcPr>
          <w:p>
            <w:r>
              <w:t>2.00</w:t>
            </w:r>
          </w:p>
        </w:tc>
        <w:tc>
          <w:tcPr>
            <w:tcW w:w="922" w:type="dxa"/>
            <w:vAlign w:val="center"/>
          </w:tcPr>
          <w:p>
            <w:r>
              <w:rPr>
                <w:color w:val="auto"/>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1004</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1938.97</w:t>
            </w:r>
          </w:p>
        </w:tc>
        <w:tc>
          <w:tcPr>
            <w:tcW w:w="1075" w:type="dxa"/>
            <w:vAlign w:val="center"/>
          </w:tcPr>
          <w:p>
            <w:r>
              <w:t>0.23</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X001</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249.26</w:t>
            </w:r>
          </w:p>
        </w:tc>
        <w:tc>
          <w:tcPr>
            <w:tcW w:w="1075" w:type="dxa"/>
            <w:vAlign w:val="center"/>
          </w:tcPr>
          <w:p>
            <w:r>
              <w:t>0.00</w:t>
            </w:r>
          </w:p>
        </w:tc>
        <w:tc>
          <w:tcPr>
            <w:tcW w:w="1301" w:type="dxa"/>
            <w:vAlign w:val="center"/>
          </w:tcPr>
          <w:p>
            <w:r>
              <w:t>2.00</w:t>
            </w:r>
          </w:p>
        </w:tc>
        <w:tc>
          <w:tcPr>
            <w:tcW w:w="922" w:type="dxa"/>
            <w:vAlign w:val="center"/>
          </w:tcPr>
          <w:p>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X002</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346.37</w:t>
            </w:r>
          </w:p>
        </w:tc>
        <w:tc>
          <w:tcPr>
            <w:tcW w:w="1075" w:type="dxa"/>
            <w:vAlign w:val="center"/>
          </w:tcPr>
          <w:p>
            <w:r>
              <w:t>0.00</w:t>
            </w:r>
          </w:p>
        </w:tc>
        <w:tc>
          <w:tcPr>
            <w:tcW w:w="1301" w:type="dxa"/>
            <w:vAlign w:val="center"/>
          </w:tcPr>
          <w:p>
            <w:r>
              <w:t>2.00</w:t>
            </w:r>
          </w:p>
        </w:tc>
        <w:tc>
          <w:tcPr>
            <w:tcW w:w="922" w:type="dxa"/>
            <w:vAlign w:val="center"/>
          </w:tcPr>
          <w:p>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X003</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70.04</w:t>
            </w:r>
          </w:p>
        </w:tc>
        <w:tc>
          <w:tcPr>
            <w:tcW w:w="1075" w:type="dxa"/>
            <w:vAlign w:val="center"/>
          </w:tcPr>
          <w:p>
            <w:r>
              <w:t>0.00</w:t>
            </w:r>
          </w:p>
        </w:tc>
        <w:tc>
          <w:tcPr>
            <w:tcW w:w="1301" w:type="dxa"/>
            <w:vAlign w:val="center"/>
          </w:tcPr>
          <w:p>
            <w:r>
              <w:t>2.00</w:t>
            </w:r>
          </w:p>
        </w:tc>
        <w:tc>
          <w:tcPr>
            <w:tcW w:w="922" w:type="dxa"/>
            <w:vAlign w:val="center"/>
          </w:tcPr>
          <w:p>
            <w:r>
              <w:rPr>
                <w:color w:val="auto"/>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X004</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969.49</w:t>
            </w:r>
          </w:p>
        </w:tc>
        <w:tc>
          <w:tcPr>
            <w:tcW w:w="1075" w:type="dxa"/>
            <w:vAlign w:val="center"/>
          </w:tcPr>
          <w:p>
            <w:r>
              <w:t>0.23</w:t>
            </w:r>
          </w:p>
        </w:tc>
        <w:tc>
          <w:tcPr>
            <w:tcW w:w="1301" w:type="dxa"/>
            <w:vAlign w:val="center"/>
          </w:tcPr>
          <w:p>
            <w:r>
              <w:t>2.00</w:t>
            </w:r>
          </w:p>
        </w:tc>
        <w:tc>
          <w:tcPr>
            <w:tcW w:w="922" w:type="dxa"/>
            <w:vAlign w:val="center"/>
          </w:tcPr>
          <w:p>
            <w:r>
              <w:rPr>
                <w:color w:val="auto"/>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X001</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406.79</w:t>
            </w:r>
          </w:p>
        </w:tc>
        <w:tc>
          <w:tcPr>
            <w:tcW w:w="1075" w:type="dxa"/>
            <w:vAlign w:val="center"/>
          </w:tcPr>
          <w:p>
            <w:r>
              <w:t>8.01</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X002</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60.11</w:t>
            </w:r>
          </w:p>
        </w:tc>
        <w:tc>
          <w:tcPr>
            <w:tcW w:w="1075" w:type="dxa"/>
            <w:vAlign w:val="center"/>
          </w:tcPr>
          <w:p>
            <w:r>
              <w:t>0.00</w:t>
            </w:r>
          </w:p>
        </w:tc>
        <w:tc>
          <w:tcPr>
            <w:tcW w:w="1301" w:type="dxa"/>
            <w:vAlign w:val="center"/>
          </w:tcPr>
          <w:p>
            <w:r>
              <w:t>2.00</w:t>
            </w:r>
          </w:p>
        </w:tc>
        <w:tc>
          <w:tcPr>
            <w:tcW w:w="922" w:type="dxa"/>
            <w:vAlign w:val="center"/>
          </w:tcPr>
          <w:p>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X003</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60.11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X004</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1.01</w:t>
            </w:r>
          </w:p>
        </w:tc>
        <w:tc>
          <w:tcPr>
            <w:tcW w:w="1075" w:type="dxa"/>
            <w:vAlign w:val="center"/>
          </w:tcPr>
          <w:p>
            <w:r>
              <w:t>0.00</w:t>
            </w:r>
          </w:p>
        </w:tc>
        <w:tc>
          <w:tcPr>
            <w:tcW w:w="1301" w:type="dxa"/>
            <w:vAlign w:val="center"/>
          </w:tcPr>
          <w:p>
            <w:r>
              <w:t>2.00</w:t>
            </w:r>
          </w:p>
        </w:tc>
        <w:tc>
          <w:tcPr>
            <w:tcW w:w="922" w:type="dxa"/>
            <w:vAlign w:val="center"/>
          </w:tcPr>
          <w:p>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X001</w:t>
            </w:r>
          </w:p>
        </w:tc>
        <w:tc>
          <w:tcPr>
            <w:tcW w:w="1075" w:type="dxa"/>
            <w:vAlign w:val="center"/>
          </w:tcPr>
          <w:p>
            <w:r>
              <w:t>Ⅳ级采光</w:t>
            </w:r>
          </w:p>
        </w:tc>
        <w:tc>
          <w:tcPr>
            <w:tcW w:w="1075" w:type="dxa"/>
            <w:vAlign w:val="center"/>
          </w:tcPr>
          <w:p>
            <w:r>
              <w:t>IV</w:t>
            </w:r>
          </w:p>
        </w:tc>
        <w:tc>
          <w:tcPr>
            <w:tcW w:w="1075" w:type="dxa"/>
            <w:vAlign w:val="center"/>
          </w:tcPr>
          <w:p>
            <w:r>
              <w:t>顶部</w:t>
            </w:r>
          </w:p>
        </w:tc>
        <w:tc>
          <w:tcPr>
            <w:tcW w:w="1075" w:type="dxa"/>
            <w:vAlign w:val="center"/>
          </w:tcPr>
          <w:p>
            <w:r>
              <w:t>406.79</w:t>
            </w:r>
          </w:p>
        </w:tc>
        <w:tc>
          <w:tcPr>
            <w:tcW w:w="1075" w:type="dxa"/>
            <w:vAlign w:val="center"/>
          </w:tcPr>
          <w:p>
            <w:r>
              <w:t>8.60</w:t>
            </w:r>
          </w:p>
        </w:tc>
        <w:tc>
          <w:tcPr>
            <w:tcW w:w="1301" w:type="dxa"/>
            <w:vAlign w:val="center"/>
          </w:tcPr>
          <w:p>
            <w:r>
              <w:t>1.00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X002</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60.11</w:t>
            </w:r>
          </w:p>
        </w:tc>
        <w:tc>
          <w:tcPr>
            <w:tcW w:w="1075" w:type="dxa"/>
            <w:vAlign w:val="center"/>
          </w:tcPr>
          <w:p>
            <w:r>
              <w:t>0.31</w:t>
            </w:r>
          </w:p>
        </w:tc>
        <w:tc>
          <w:tcPr>
            <w:tcW w:w="1301" w:type="dxa"/>
            <w:vAlign w:val="center"/>
          </w:tcPr>
          <w:p>
            <w:r>
              <w:t>2.00</w:t>
            </w:r>
          </w:p>
        </w:tc>
        <w:tc>
          <w:tcPr>
            <w:tcW w:w="922" w:type="dxa"/>
            <w:vAlign w:val="center"/>
          </w:tcPr>
          <w:p>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X003</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60.11</w:t>
            </w:r>
          </w:p>
        </w:tc>
        <w:tc>
          <w:tcPr>
            <w:tcW w:w="1075" w:type="dxa"/>
            <w:vAlign w:val="center"/>
          </w:tcPr>
          <w:p>
            <w:r>
              <w:t>0.66</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X004</w:t>
            </w:r>
          </w:p>
        </w:tc>
        <w:tc>
          <w:tcPr>
            <w:tcW w:w="1075" w:type="dxa"/>
            <w:vAlign w:val="center"/>
          </w:tcPr>
          <w:p>
            <w:r>
              <w:t>Ⅳ级采光</w:t>
            </w:r>
          </w:p>
        </w:tc>
        <w:tc>
          <w:tcPr>
            <w:tcW w:w="1075" w:type="dxa"/>
            <w:vAlign w:val="center"/>
          </w:tcPr>
          <w:p>
            <w:r>
              <w:t>IV</w:t>
            </w:r>
          </w:p>
        </w:tc>
        <w:tc>
          <w:tcPr>
            <w:tcW w:w="1075" w:type="dxa"/>
            <w:vAlign w:val="center"/>
          </w:tcPr>
          <w:p>
            <w:r>
              <w:t>侧面</w:t>
            </w:r>
          </w:p>
        </w:tc>
        <w:tc>
          <w:tcPr>
            <w:tcW w:w="1075" w:type="dxa"/>
            <w:vAlign w:val="center"/>
          </w:tcPr>
          <w:p>
            <w:r>
              <w:t>1.01</w:t>
            </w:r>
          </w:p>
        </w:tc>
        <w:tc>
          <w:tcPr>
            <w:tcW w:w="1075" w:type="dxa"/>
            <w:vAlign w:val="center"/>
          </w:tcPr>
          <w:p>
            <w:r>
              <w:t>0.00</w:t>
            </w:r>
          </w:p>
        </w:tc>
        <w:tc>
          <w:tcPr>
            <w:tcW w:w="1301" w:type="dxa"/>
            <w:vAlign w:val="center"/>
          </w:tcPr>
          <w:p>
            <w:r>
              <w:t>2.00</w:t>
            </w:r>
          </w:p>
        </w:tc>
        <w:tc>
          <w:tcPr>
            <w:tcW w:w="922" w:type="dxa"/>
            <w:vAlign w:val="center"/>
          </w:tcPr>
          <w:p>
            <w:pPr>
              <w:rPr>
                <w:color w:val="auto"/>
              </w:rPr>
            </w:pPr>
            <w:r>
              <w:rPr>
                <w:color w:val="auto"/>
              </w:rPr>
              <w:t>满足</w:t>
            </w:r>
          </w:p>
        </w:tc>
      </w:tr>
    </w:tbl>
    <w:p>
      <w:pPr>
        <w:pStyle w:val="3"/>
        <w:rPr>
          <w:rFonts w:ascii="宋体" w:hAnsi="宋体"/>
          <w:sz w:val="18"/>
          <w:szCs w:val="18"/>
          <w:lang w:val="en-US"/>
        </w:rPr>
      </w:pPr>
    </w:p>
    <w:p>
      <w:pPr>
        <w:pStyle w:val="2"/>
        <w:ind w:left="432" w:hanging="432"/>
      </w:pPr>
      <w:bookmarkStart w:id="75" w:name="_Toc153123551"/>
      <w:r>
        <w:rPr>
          <w:rFonts w:hint="eastAsia"/>
        </w:rPr>
        <w:t>采光</w:t>
      </w:r>
      <w:r>
        <w:t>效果分析</w:t>
      </w:r>
      <w:r>
        <w:rPr>
          <w:rFonts w:hint="eastAsia"/>
        </w:rPr>
        <w:t>彩图</w:t>
      </w:r>
      <w:bookmarkEnd w:id="75"/>
    </w:p>
    <w:p>
      <w:pPr>
        <w:pStyle w:val="3"/>
        <w:ind w:firstLine="420"/>
        <w:rPr>
          <w:rFonts w:hint="eastAsia" w:eastAsia="微软雅黑"/>
          <w:lang w:eastAsia="zh-CN"/>
        </w:rPr>
      </w:pPr>
      <w:r>
        <w:rPr>
          <w:rFonts w:hint="eastAsia"/>
          <w:lang w:val="en-US"/>
        </w:rPr>
        <w:t>采光系数分析彩图可以直观地反应建筑内各个房间的采光效果，本项目中各楼层中标准要求房间的室内采光情况如下所示：</w:t>
      </w:r>
      <w:bookmarkStart w:id="76" w:name="彩图"/>
      <w:bookmarkEnd w:id="76"/>
      <w:r>
        <w:rPr>
          <w:rFonts w:hint="eastAsia" w:eastAsia="微软雅黑"/>
          <w:lang w:eastAsia="zh-CN"/>
        </w:rPr>
        <w:drawing>
          <wp:inline distT="0" distB="0" distL="114300" distR="114300">
            <wp:extent cx="5758180" cy="4018280"/>
            <wp:effectExtent l="0" t="0" r="7620" b="7620"/>
            <wp:docPr id="2" name="图片 2" descr="屏幕截图 2023-12-10 19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屏幕截图 2023-12-10 192547"/>
                    <pic:cNvPicPr>
                      <a:picLocks noChangeAspect="1"/>
                    </pic:cNvPicPr>
                  </pic:nvPicPr>
                  <pic:blipFill>
                    <a:blip r:embed="rId9"/>
                    <a:stretch>
                      <a:fillRect/>
                    </a:stretch>
                  </pic:blipFill>
                  <pic:spPr>
                    <a:xfrm>
                      <a:off x="0" y="0"/>
                      <a:ext cx="5758180" cy="4018280"/>
                    </a:xfrm>
                    <a:prstGeom prst="rect">
                      <a:avLst/>
                    </a:prstGeom>
                  </pic:spPr>
                </pic:pic>
              </a:graphicData>
            </a:graphic>
          </wp:inline>
        </w:drawing>
      </w:r>
    </w:p>
    <w:p>
      <w:pPr>
        <w:pStyle w:val="3"/>
        <w:ind w:firstLine="420"/>
        <w:rPr>
          <w:rFonts w:hint="eastAsia" w:eastAsia="微软雅黑"/>
          <w:lang w:eastAsia="zh-CN"/>
        </w:rPr>
      </w:pPr>
    </w:p>
    <w:p>
      <w:pPr>
        <w:pStyle w:val="3"/>
        <w:jc w:val="center"/>
        <w:rPr>
          <w:rFonts w:ascii="宋体" w:hAnsi="宋体"/>
          <w:sz w:val="18"/>
          <w:szCs w:val="18"/>
          <w:lang w:val="en-US"/>
        </w:rPr>
      </w:pPr>
    </w:p>
    <w:p>
      <w:pPr>
        <w:pStyle w:val="3"/>
        <w:jc w:val="center"/>
        <w:rPr>
          <w:rFonts w:ascii="宋体" w:hAnsi="宋体"/>
          <w:sz w:val="18"/>
          <w:szCs w:val="18"/>
          <w:lang w:val="en-US"/>
        </w:rPr>
      </w:pPr>
      <w:r>
        <w:rPr>
          <w:rFonts w:ascii="宋体" w:hAnsi="宋体"/>
          <w:sz w:val="18"/>
          <w:szCs w:val="18"/>
          <w:lang w:val="en-US"/>
        </w:rPr>
        <w:t>1层</w:t>
      </w:r>
    </w:p>
    <w:p>
      <w:pPr>
        <w:pStyle w:val="3"/>
        <w:jc w:val="center"/>
        <w:rPr>
          <w:rFonts w:hint="eastAsia" w:ascii="宋体" w:hAnsi="宋体" w:eastAsia="微软雅黑"/>
          <w:sz w:val="18"/>
          <w:szCs w:val="18"/>
          <w:lang w:val="en-US" w:eastAsia="zh-CN"/>
        </w:rPr>
      </w:pPr>
      <w:r>
        <w:rPr>
          <w:rFonts w:hint="eastAsia" w:ascii="宋体" w:hAnsi="宋体" w:eastAsia="微软雅黑"/>
          <w:sz w:val="18"/>
          <w:szCs w:val="18"/>
          <w:lang w:val="en-US" w:eastAsia="zh-CN"/>
        </w:rPr>
        <w:drawing>
          <wp:inline distT="0" distB="0" distL="114300" distR="114300">
            <wp:extent cx="5748655" cy="4282440"/>
            <wp:effectExtent l="0" t="0" r="4445" b="10160"/>
            <wp:docPr id="3" name="图片 3" descr="屏幕截图 2023-12-10 205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屏幕截图 2023-12-10 205244"/>
                    <pic:cNvPicPr>
                      <a:picLocks noChangeAspect="1"/>
                    </pic:cNvPicPr>
                  </pic:nvPicPr>
                  <pic:blipFill>
                    <a:blip r:embed="rId10"/>
                    <a:stretch>
                      <a:fillRect/>
                    </a:stretch>
                  </pic:blipFill>
                  <pic:spPr>
                    <a:xfrm>
                      <a:off x="0" y="0"/>
                      <a:ext cx="5748655" cy="4282440"/>
                    </a:xfrm>
                    <a:prstGeom prst="rect">
                      <a:avLst/>
                    </a:prstGeom>
                  </pic:spPr>
                </pic:pic>
              </a:graphicData>
            </a:graphic>
          </wp:inline>
        </w:drawing>
      </w:r>
    </w:p>
    <w:p>
      <w:pPr>
        <w:pStyle w:val="3"/>
        <w:jc w:val="center"/>
        <w:rPr>
          <w:rFonts w:ascii="宋体" w:hAnsi="宋体"/>
          <w:sz w:val="18"/>
          <w:szCs w:val="18"/>
          <w:lang w:val="en-US"/>
        </w:rPr>
      </w:pPr>
      <w:r>
        <w:rPr>
          <w:rFonts w:ascii="宋体" w:hAnsi="宋体"/>
          <w:sz w:val="18"/>
          <w:szCs w:val="18"/>
          <w:lang w:val="en-US"/>
        </w:rPr>
        <w:t>2层</w:t>
      </w:r>
    </w:p>
    <w:p>
      <w:pPr>
        <w:pStyle w:val="3"/>
        <w:jc w:val="center"/>
        <w:rPr>
          <w:rFonts w:hint="eastAsia" w:ascii="宋体" w:hAnsi="宋体" w:eastAsia="微软雅黑"/>
          <w:sz w:val="18"/>
          <w:szCs w:val="18"/>
          <w:lang w:val="en-US" w:eastAsia="zh-CN"/>
        </w:rPr>
      </w:pPr>
      <w:r>
        <w:rPr>
          <w:rFonts w:hint="eastAsia" w:ascii="宋体" w:hAnsi="宋体" w:eastAsia="微软雅黑"/>
          <w:sz w:val="18"/>
          <w:szCs w:val="18"/>
          <w:lang w:val="en-US" w:eastAsia="zh-CN"/>
        </w:rPr>
        <w:drawing>
          <wp:inline distT="0" distB="0" distL="114300" distR="114300">
            <wp:extent cx="5748655" cy="3886200"/>
            <wp:effectExtent l="0" t="0" r="4445" b="0"/>
            <wp:docPr id="4" name="图片 4" descr="屏幕截图 2023-12-10 21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屏幕截图 2023-12-10 210244"/>
                    <pic:cNvPicPr>
                      <a:picLocks noChangeAspect="1"/>
                    </pic:cNvPicPr>
                  </pic:nvPicPr>
                  <pic:blipFill>
                    <a:blip r:embed="rId11"/>
                    <a:stretch>
                      <a:fillRect/>
                    </a:stretch>
                  </pic:blipFill>
                  <pic:spPr>
                    <a:xfrm>
                      <a:off x="0" y="0"/>
                      <a:ext cx="5748655" cy="3886200"/>
                    </a:xfrm>
                    <a:prstGeom prst="rect">
                      <a:avLst/>
                    </a:prstGeom>
                  </pic:spPr>
                </pic:pic>
              </a:graphicData>
            </a:graphic>
          </wp:inline>
        </w:drawing>
      </w:r>
    </w:p>
    <w:p>
      <w:pPr>
        <w:pStyle w:val="3"/>
        <w:jc w:val="center"/>
        <w:rPr>
          <w:rFonts w:ascii="宋体" w:hAnsi="宋体"/>
          <w:sz w:val="18"/>
          <w:szCs w:val="18"/>
          <w:lang w:val="en-US"/>
        </w:rPr>
      </w:pPr>
      <w:r>
        <w:rPr>
          <w:rFonts w:ascii="宋体" w:hAnsi="宋体"/>
          <w:sz w:val="18"/>
          <w:szCs w:val="18"/>
          <w:lang w:val="en-US"/>
        </w:rPr>
        <w:t>3层</w:t>
      </w:r>
    </w:p>
    <w:p>
      <w:pPr>
        <w:pStyle w:val="3"/>
        <w:jc w:val="center"/>
        <w:rPr>
          <w:rFonts w:ascii="宋体" w:hAnsi="宋体"/>
          <w:sz w:val="18"/>
          <w:szCs w:val="18"/>
          <w:lang w:val="en-US"/>
        </w:rPr>
      </w:pPr>
    </w:p>
    <w:p>
      <w:pPr>
        <w:pStyle w:val="2"/>
        <w:ind w:left="432" w:hanging="432"/>
      </w:pPr>
      <w:bookmarkStart w:id="77" w:name="_Toc153123552"/>
      <w:r>
        <w:rPr>
          <w:rFonts w:hint="eastAsia"/>
        </w:rPr>
        <w:t>采光均匀度</w:t>
      </w:r>
      <w:bookmarkEnd w:id="77"/>
    </w:p>
    <w:p>
      <w:pPr>
        <w:pStyle w:val="3"/>
        <w:ind w:firstLine="375"/>
        <w:rPr>
          <w:lang w:val="en-US"/>
        </w:rPr>
      </w:pPr>
      <w:r>
        <w:rPr>
          <w:lang w:val="en-US"/>
        </w:rPr>
        <w:t>普通教室侧面采光的采光均匀度不应低于0.5</w:t>
      </w:r>
      <w:r>
        <w:rPr>
          <w:rFonts w:hint="eastAsia"/>
          <w:lang w:val="en-US"/>
        </w:rPr>
        <w:t>，采光均匀度即工作面上采光系数最小值与平均值之比，本项目中采光均匀度情况见下表：</w:t>
      </w:r>
    </w:p>
    <w:tbl>
      <w:tblPr>
        <w:tblStyle w:val="19"/>
        <w:tblW w:w="925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1076"/>
        <w:gridCol w:w="1247"/>
        <w:gridCol w:w="792"/>
        <w:gridCol w:w="848"/>
        <w:gridCol w:w="1075"/>
        <w:gridCol w:w="1075"/>
        <w:gridCol w:w="1075"/>
        <w:gridCol w:w="9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shd w:val="clear" w:color="auto" w:fill="E6E6E6"/>
            <w:vAlign w:val="center"/>
          </w:tcPr>
          <w:p>
            <w:r>
              <w:t>楼层</w:t>
            </w:r>
          </w:p>
        </w:tc>
        <w:tc>
          <w:tcPr>
            <w:tcW w:w="1075" w:type="dxa"/>
            <w:shd w:val="clear" w:color="auto" w:fill="E6E6E6"/>
            <w:vAlign w:val="center"/>
          </w:tcPr>
          <w:p>
            <w:r>
              <w:t>房间</w:t>
            </w:r>
            <w:r>
              <w:br w:type="textWrapping"/>
            </w:r>
            <w:r>
              <w:t>编号</w:t>
            </w:r>
          </w:p>
        </w:tc>
        <w:tc>
          <w:tcPr>
            <w:tcW w:w="1245" w:type="dxa"/>
            <w:shd w:val="clear" w:color="auto" w:fill="E6E6E6"/>
            <w:vAlign w:val="center"/>
          </w:tcPr>
          <w:p>
            <w:r>
              <w:t>房间类型</w:t>
            </w:r>
          </w:p>
        </w:tc>
        <w:tc>
          <w:tcPr>
            <w:tcW w:w="792" w:type="dxa"/>
            <w:shd w:val="clear" w:color="auto" w:fill="E6E6E6"/>
            <w:vAlign w:val="center"/>
          </w:tcPr>
          <w:p>
            <w:r>
              <w:t>采光</w:t>
            </w:r>
            <w:r>
              <w:br w:type="textWrapping"/>
            </w:r>
            <w:r>
              <w:t>等级</w:t>
            </w:r>
          </w:p>
        </w:tc>
        <w:tc>
          <w:tcPr>
            <w:tcW w:w="848" w:type="dxa"/>
            <w:shd w:val="clear" w:color="auto" w:fill="E6E6E6"/>
            <w:vAlign w:val="center"/>
          </w:tcPr>
          <w:p>
            <w:r>
              <w:t>采光</w:t>
            </w:r>
            <w:r>
              <w:br w:type="textWrapping"/>
            </w:r>
            <w:r>
              <w:t>类型</w:t>
            </w:r>
          </w:p>
        </w:tc>
        <w:tc>
          <w:tcPr>
            <w:tcW w:w="1075" w:type="dxa"/>
            <w:shd w:val="clear" w:color="auto" w:fill="E6E6E6"/>
            <w:vAlign w:val="center"/>
          </w:tcPr>
          <w:p>
            <w:r>
              <w:t>最小值</w:t>
            </w:r>
          </w:p>
        </w:tc>
        <w:tc>
          <w:tcPr>
            <w:tcW w:w="1075" w:type="dxa"/>
            <w:shd w:val="clear" w:color="auto" w:fill="E6E6E6"/>
            <w:vAlign w:val="center"/>
          </w:tcPr>
          <w:p>
            <w:r>
              <w:t>平均值</w:t>
            </w:r>
          </w:p>
        </w:tc>
        <w:tc>
          <w:tcPr>
            <w:tcW w:w="1075" w:type="dxa"/>
            <w:shd w:val="clear" w:color="auto" w:fill="E6E6E6"/>
            <w:vAlign w:val="center"/>
          </w:tcPr>
          <w:p>
            <w:r>
              <w:t>采光</w:t>
            </w:r>
            <w:r>
              <w:br w:type="textWrapping"/>
            </w:r>
            <w:r>
              <w:t>均匀度</w:t>
            </w:r>
          </w:p>
        </w:tc>
        <w:tc>
          <w:tcPr>
            <w:tcW w:w="990"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1</w:t>
            </w:r>
          </w:p>
        </w:tc>
        <w:tc>
          <w:tcPr>
            <w:tcW w:w="1075" w:type="dxa"/>
            <w:vAlign w:val="center"/>
          </w:tcPr>
          <w:p>
            <w:r>
              <w:t>1001</w:t>
            </w:r>
          </w:p>
        </w:tc>
        <w:tc>
          <w:tcPr>
            <w:tcW w:w="1245" w:type="dxa"/>
            <w:vAlign w:val="center"/>
          </w:tcPr>
          <w:p>
            <w:r>
              <w:t>Ⅳ级采光</w:t>
            </w:r>
          </w:p>
        </w:tc>
        <w:tc>
          <w:tcPr>
            <w:tcW w:w="792" w:type="dxa"/>
            <w:vAlign w:val="center"/>
          </w:tcPr>
          <w:p>
            <w:r>
              <w:t>IV</w:t>
            </w:r>
          </w:p>
        </w:tc>
        <w:tc>
          <w:tcPr>
            <w:tcW w:w="848" w:type="dxa"/>
            <w:vAlign w:val="center"/>
          </w:tcPr>
          <w:p>
            <w:r>
              <w:t>侧面</w:t>
            </w:r>
          </w:p>
        </w:tc>
        <w:tc>
          <w:tcPr>
            <w:tcW w:w="1075" w:type="dxa"/>
            <w:vAlign w:val="center"/>
          </w:tcPr>
          <w:p>
            <w:r>
              <w:t>0.00</w:t>
            </w:r>
          </w:p>
        </w:tc>
        <w:tc>
          <w:tcPr>
            <w:tcW w:w="1075" w:type="dxa"/>
            <w:vAlign w:val="center"/>
          </w:tcPr>
          <w:p>
            <w:r>
              <w:t>0.00</w:t>
            </w:r>
          </w:p>
        </w:tc>
        <w:tc>
          <w:tcPr>
            <w:tcW w:w="1075" w:type="dxa"/>
            <w:vAlign w:val="center"/>
          </w:tcPr>
          <w:p>
            <w:pPr>
              <w:rPr>
                <w:rFonts w:hint="default" w:eastAsia="微软雅黑"/>
                <w:lang w:val="en-US" w:eastAsia="zh-CN"/>
              </w:rPr>
            </w:pPr>
            <w:r>
              <w:rPr>
                <w:rFonts w:hint="eastAsia"/>
                <w:lang w:val="en-US" w:eastAsia="zh-CN"/>
              </w:rPr>
              <w:t>0.32</w:t>
            </w:r>
          </w:p>
        </w:tc>
        <w:tc>
          <w:tcPr>
            <w:tcW w:w="990" w:type="dxa"/>
            <w:vAlign w:val="center"/>
          </w:tcPr>
          <w:p>
            <w:pPr>
              <w:rPr>
                <w:color w:val="auto"/>
              </w:rPr>
            </w:pPr>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075" w:type="dxa"/>
            <w:vAlign w:val="center"/>
          </w:tcPr>
          <w:p>
            <w:r>
              <w:t>1002</w:t>
            </w:r>
          </w:p>
        </w:tc>
        <w:tc>
          <w:tcPr>
            <w:tcW w:w="1245" w:type="dxa"/>
            <w:vAlign w:val="center"/>
          </w:tcPr>
          <w:p>
            <w:r>
              <w:t>Ⅳ级采光</w:t>
            </w:r>
          </w:p>
        </w:tc>
        <w:tc>
          <w:tcPr>
            <w:tcW w:w="792" w:type="dxa"/>
            <w:vAlign w:val="center"/>
          </w:tcPr>
          <w:p>
            <w:r>
              <w:t>IV</w:t>
            </w:r>
          </w:p>
        </w:tc>
        <w:tc>
          <w:tcPr>
            <w:tcW w:w="848" w:type="dxa"/>
            <w:vAlign w:val="center"/>
          </w:tcPr>
          <w:p>
            <w:r>
              <w:t>侧面</w:t>
            </w:r>
          </w:p>
        </w:tc>
        <w:tc>
          <w:tcPr>
            <w:tcW w:w="1075" w:type="dxa"/>
            <w:vAlign w:val="center"/>
          </w:tcPr>
          <w:p>
            <w:r>
              <w:t>0.00</w:t>
            </w:r>
          </w:p>
        </w:tc>
        <w:tc>
          <w:tcPr>
            <w:tcW w:w="1075" w:type="dxa"/>
            <w:vAlign w:val="center"/>
          </w:tcPr>
          <w:p>
            <w:r>
              <w:t>0.00</w:t>
            </w:r>
          </w:p>
        </w:tc>
        <w:tc>
          <w:tcPr>
            <w:tcW w:w="1075" w:type="dxa"/>
            <w:vAlign w:val="center"/>
          </w:tcPr>
          <w:p>
            <w:r>
              <w:t>-1.#J</w:t>
            </w:r>
          </w:p>
        </w:tc>
        <w:tc>
          <w:tcPr>
            <w:tcW w:w="990"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075" w:type="dxa"/>
            <w:vAlign w:val="center"/>
          </w:tcPr>
          <w:p>
            <w:r>
              <w:t>1003</w:t>
            </w:r>
          </w:p>
        </w:tc>
        <w:tc>
          <w:tcPr>
            <w:tcW w:w="1245" w:type="dxa"/>
            <w:vAlign w:val="center"/>
          </w:tcPr>
          <w:p>
            <w:r>
              <w:t>Ⅳ级采光</w:t>
            </w:r>
          </w:p>
        </w:tc>
        <w:tc>
          <w:tcPr>
            <w:tcW w:w="792" w:type="dxa"/>
            <w:vAlign w:val="center"/>
          </w:tcPr>
          <w:p>
            <w:r>
              <w:t>IV</w:t>
            </w:r>
          </w:p>
        </w:tc>
        <w:tc>
          <w:tcPr>
            <w:tcW w:w="848" w:type="dxa"/>
            <w:vAlign w:val="center"/>
          </w:tcPr>
          <w:p>
            <w:r>
              <w:t>侧面</w:t>
            </w:r>
          </w:p>
        </w:tc>
        <w:tc>
          <w:tcPr>
            <w:tcW w:w="1075" w:type="dxa"/>
            <w:vAlign w:val="center"/>
          </w:tcPr>
          <w:p>
            <w:r>
              <w:t>0.00</w:t>
            </w:r>
          </w:p>
        </w:tc>
        <w:tc>
          <w:tcPr>
            <w:tcW w:w="1075" w:type="dxa"/>
            <w:vAlign w:val="center"/>
          </w:tcPr>
          <w:p>
            <w:r>
              <w:t>0.00</w:t>
            </w:r>
          </w:p>
        </w:tc>
        <w:tc>
          <w:tcPr>
            <w:tcW w:w="1075" w:type="dxa"/>
            <w:vAlign w:val="center"/>
          </w:tcPr>
          <w:p>
            <w:r>
              <w:t>-1.#J</w:t>
            </w:r>
          </w:p>
        </w:tc>
        <w:tc>
          <w:tcPr>
            <w:tcW w:w="990"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075" w:type="dxa"/>
            <w:vAlign w:val="center"/>
          </w:tcPr>
          <w:p>
            <w:r>
              <w:t>1004</w:t>
            </w:r>
          </w:p>
        </w:tc>
        <w:tc>
          <w:tcPr>
            <w:tcW w:w="1245" w:type="dxa"/>
            <w:vAlign w:val="center"/>
          </w:tcPr>
          <w:p>
            <w:r>
              <w:t>Ⅳ级采光</w:t>
            </w:r>
          </w:p>
        </w:tc>
        <w:tc>
          <w:tcPr>
            <w:tcW w:w="792" w:type="dxa"/>
            <w:vAlign w:val="center"/>
          </w:tcPr>
          <w:p>
            <w:r>
              <w:t>IV</w:t>
            </w:r>
          </w:p>
        </w:tc>
        <w:tc>
          <w:tcPr>
            <w:tcW w:w="848" w:type="dxa"/>
            <w:vAlign w:val="center"/>
          </w:tcPr>
          <w:p>
            <w:r>
              <w:t>侧面</w:t>
            </w:r>
          </w:p>
        </w:tc>
        <w:tc>
          <w:tcPr>
            <w:tcW w:w="1075" w:type="dxa"/>
            <w:vAlign w:val="center"/>
          </w:tcPr>
          <w:p>
            <w:r>
              <w:t>0.00</w:t>
            </w:r>
          </w:p>
        </w:tc>
        <w:tc>
          <w:tcPr>
            <w:tcW w:w="1075" w:type="dxa"/>
            <w:vAlign w:val="center"/>
          </w:tcPr>
          <w:p>
            <w:r>
              <w:t>0.23</w:t>
            </w:r>
          </w:p>
        </w:tc>
        <w:tc>
          <w:tcPr>
            <w:tcW w:w="1075" w:type="dxa"/>
            <w:vAlign w:val="center"/>
          </w:tcPr>
          <w:p>
            <w:r>
              <w:t>0.00</w:t>
            </w:r>
          </w:p>
        </w:tc>
        <w:tc>
          <w:tcPr>
            <w:tcW w:w="990" w:type="dxa"/>
            <w:vAlign w:val="center"/>
          </w:tcPr>
          <w:p>
            <w:pPr>
              <w:rPr>
                <w:color w:val="auto"/>
              </w:rPr>
            </w:pPr>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2</w:t>
            </w:r>
          </w:p>
        </w:tc>
        <w:tc>
          <w:tcPr>
            <w:tcW w:w="1075" w:type="dxa"/>
            <w:vAlign w:val="center"/>
          </w:tcPr>
          <w:p>
            <w:r>
              <w:t>X001</w:t>
            </w:r>
          </w:p>
        </w:tc>
        <w:tc>
          <w:tcPr>
            <w:tcW w:w="1245" w:type="dxa"/>
            <w:vAlign w:val="center"/>
          </w:tcPr>
          <w:p>
            <w:r>
              <w:t>Ⅳ级采光</w:t>
            </w:r>
          </w:p>
        </w:tc>
        <w:tc>
          <w:tcPr>
            <w:tcW w:w="792" w:type="dxa"/>
            <w:vAlign w:val="center"/>
          </w:tcPr>
          <w:p>
            <w:r>
              <w:t>IV</w:t>
            </w:r>
          </w:p>
        </w:tc>
        <w:tc>
          <w:tcPr>
            <w:tcW w:w="848" w:type="dxa"/>
            <w:vAlign w:val="center"/>
          </w:tcPr>
          <w:p>
            <w:r>
              <w:t>侧面</w:t>
            </w:r>
          </w:p>
        </w:tc>
        <w:tc>
          <w:tcPr>
            <w:tcW w:w="1075" w:type="dxa"/>
            <w:vAlign w:val="center"/>
          </w:tcPr>
          <w:p>
            <w:r>
              <w:t>4.14</w:t>
            </w:r>
          </w:p>
        </w:tc>
        <w:tc>
          <w:tcPr>
            <w:tcW w:w="1075" w:type="dxa"/>
            <w:vAlign w:val="center"/>
          </w:tcPr>
          <w:p>
            <w:r>
              <w:t>7.76</w:t>
            </w:r>
          </w:p>
        </w:tc>
        <w:tc>
          <w:tcPr>
            <w:tcW w:w="1075" w:type="dxa"/>
            <w:vAlign w:val="center"/>
          </w:tcPr>
          <w:p>
            <w:r>
              <w:t>0.53</w:t>
            </w:r>
          </w:p>
        </w:tc>
        <w:tc>
          <w:tcPr>
            <w:tcW w:w="990" w:type="dxa"/>
            <w:vAlign w:val="center"/>
          </w:tcPr>
          <w:p>
            <w:pPr>
              <w:rPr>
                <w:color w:val="auto"/>
              </w:rPr>
            </w:pPr>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075" w:type="dxa"/>
            <w:vAlign w:val="center"/>
          </w:tcPr>
          <w:p>
            <w:r>
              <w:t>X002</w:t>
            </w:r>
          </w:p>
        </w:tc>
        <w:tc>
          <w:tcPr>
            <w:tcW w:w="1245" w:type="dxa"/>
            <w:vAlign w:val="center"/>
          </w:tcPr>
          <w:p>
            <w:r>
              <w:t>Ⅳ级采光</w:t>
            </w:r>
          </w:p>
        </w:tc>
        <w:tc>
          <w:tcPr>
            <w:tcW w:w="792" w:type="dxa"/>
            <w:vAlign w:val="center"/>
          </w:tcPr>
          <w:p>
            <w:r>
              <w:t>IV</w:t>
            </w:r>
          </w:p>
        </w:tc>
        <w:tc>
          <w:tcPr>
            <w:tcW w:w="848" w:type="dxa"/>
            <w:vAlign w:val="center"/>
          </w:tcPr>
          <w:p>
            <w:r>
              <w:t>侧面</w:t>
            </w:r>
          </w:p>
        </w:tc>
        <w:tc>
          <w:tcPr>
            <w:tcW w:w="1075" w:type="dxa"/>
            <w:vAlign w:val="center"/>
          </w:tcPr>
          <w:p>
            <w:r>
              <w:t>0.00</w:t>
            </w:r>
          </w:p>
        </w:tc>
        <w:tc>
          <w:tcPr>
            <w:tcW w:w="1075" w:type="dxa"/>
            <w:vAlign w:val="center"/>
          </w:tcPr>
          <w:p>
            <w:r>
              <w:t>0.00</w:t>
            </w:r>
          </w:p>
        </w:tc>
        <w:tc>
          <w:tcPr>
            <w:tcW w:w="1075" w:type="dxa"/>
            <w:vAlign w:val="center"/>
          </w:tcPr>
          <w:p>
            <w:pPr>
              <w:rPr>
                <w:rFonts w:hint="default" w:eastAsia="微软雅黑"/>
                <w:lang w:val="en-US" w:eastAsia="zh-CN"/>
              </w:rPr>
            </w:pPr>
            <w:r>
              <w:rPr>
                <w:rFonts w:hint="eastAsia"/>
                <w:lang w:val="en-US" w:eastAsia="zh-CN"/>
              </w:rPr>
              <w:t>0.45</w:t>
            </w:r>
          </w:p>
        </w:tc>
        <w:tc>
          <w:tcPr>
            <w:tcW w:w="990" w:type="dxa"/>
            <w:vAlign w:val="center"/>
          </w:tcPr>
          <w:p>
            <w:pPr>
              <w:rPr>
                <w:color w:val="auto"/>
              </w:rPr>
            </w:pPr>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075" w:type="dxa"/>
            <w:vAlign w:val="center"/>
          </w:tcPr>
          <w:p>
            <w:r>
              <w:t>X003</w:t>
            </w:r>
          </w:p>
        </w:tc>
        <w:tc>
          <w:tcPr>
            <w:tcW w:w="1245" w:type="dxa"/>
            <w:vAlign w:val="center"/>
          </w:tcPr>
          <w:p>
            <w:r>
              <w:t>Ⅳ级采光</w:t>
            </w:r>
          </w:p>
        </w:tc>
        <w:tc>
          <w:tcPr>
            <w:tcW w:w="792" w:type="dxa"/>
            <w:vAlign w:val="center"/>
          </w:tcPr>
          <w:p>
            <w:r>
              <w:t>IV</w:t>
            </w:r>
          </w:p>
        </w:tc>
        <w:tc>
          <w:tcPr>
            <w:tcW w:w="848" w:type="dxa"/>
            <w:vAlign w:val="center"/>
          </w:tcPr>
          <w:p>
            <w:r>
              <w:t>侧面</w:t>
            </w:r>
          </w:p>
        </w:tc>
        <w:tc>
          <w:tcPr>
            <w:tcW w:w="1075" w:type="dxa"/>
            <w:vAlign w:val="center"/>
          </w:tcPr>
          <w:p>
            <w:r>
              <w:t>0.00</w:t>
            </w:r>
          </w:p>
        </w:tc>
        <w:tc>
          <w:tcPr>
            <w:tcW w:w="1075" w:type="dxa"/>
            <w:vAlign w:val="center"/>
          </w:tcPr>
          <w:p>
            <w:r>
              <w:t>0.00</w:t>
            </w:r>
          </w:p>
        </w:tc>
        <w:tc>
          <w:tcPr>
            <w:tcW w:w="1075" w:type="dxa"/>
            <w:vAlign w:val="center"/>
          </w:tcPr>
          <w:p>
            <w:pPr>
              <w:rPr>
                <w:rFonts w:hint="default" w:eastAsia="微软雅黑"/>
                <w:lang w:val="en-US" w:eastAsia="zh-CN"/>
              </w:rPr>
            </w:pPr>
            <w:r>
              <w:rPr>
                <w:rFonts w:hint="eastAsia"/>
                <w:lang w:val="en-US" w:eastAsia="zh-CN"/>
              </w:rPr>
              <w:t>0.55</w:t>
            </w:r>
          </w:p>
        </w:tc>
        <w:tc>
          <w:tcPr>
            <w:tcW w:w="990" w:type="dxa"/>
            <w:vAlign w:val="center"/>
          </w:tcPr>
          <w:p>
            <w:pPr>
              <w:rPr>
                <w:color w:val="auto"/>
              </w:rPr>
            </w:pPr>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075" w:type="dxa"/>
            <w:vAlign w:val="center"/>
          </w:tcPr>
          <w:p>
            <w:r>
              <w:t>X004</w:t>
            </w:r>
          </w:p>
        </w:tc>
        <w:tc>
          <w:tcPr>
            <w:tcW w:w="1245" w:type="dxa"/>
            <w:vAlign w:val="center"/>
          </w:tcPr>
          <w:p>
            <w:r>
              <w:t>Ⅳ级采光</w:t>
            </w:r>
          </w:p>
        </w:tc>
        <w:tc>
          <w:tcPr>
            <w:tcW w:w="792" w:type="dxa"/>
            <w:vAlign w:val="center"/>
          </w:tcPr>
          <w:p>
            <w:r>
              <w:t>IV</w:t>
            </w:r>
          </w:p>
        </w:tc>
        <w:tc>
          <w:tcPr>
            <w:tcW w:w="848" w:type="dxa"/>
            <w:vAlign w:val="center"/>
          </w:tcPr>
          <w:p>
            <w:r>
              <w:t>侧面</w:t>
            </w:r>
          </w:p>
        </w:tc>
        <w:tc>
          <w:tcPr>
            <w:tcW w:w="1075" w:type="dxa"/>
            <w:vAlign w:val="center"/>
          </w:tcPr>
          <w:p>
            <w:r>
              <w:t>0.00</w:t>
            </w:r>
          </w:p>
        </w:tc>
        <w:tc>
          <w:tcPr>
            <w:tcW w:w="1075" w:type="dxa"/>
            <w:vAlign w:val="center"/>
          </w:tcPr>
          <w:p>
            <w:r>
              <w:t>0.00</w:t>
            </w:r>
          </w:p>
        </w:tc>
        <w:tc>
          <w:tcPr>
            <w:tcW w:w="1075" w:type="dxa"/>
            <w:vAlign w:val="center"/>
          </w:tcPr>
          <w:p>
            <w:pPr>
              <w:rPr>
                <w:rFonts w:hint="default" w:eastAsia="微软雅黑"/>
                <w:lang w:val="en-US" w:eastAsia="zh-CN"/>
              </w:rPr>
            </w:pPr>
            <w:r>
              <w:rPr>
                <w:rFonts w:hint="eastAsia"/>
                <w:lang w:val="en-US" w:eastAsia="zh-CN"/>
              </w:rPr>
              <w:t>0.45</w:t>
            </w:r>
          </w:p>
        </w:tc>
        <w:tc>
          <w:tcPr>
            <w:tcW w:w="990" w:type="dxa"/>
            <w:vAlign w:val="center"/>
          </w:tcPr>
          <w:p>
            <w:pPr>
              <w:rPr>
                <w:color w:val="auto"/>
              </w:rPr>
            </w:pPr>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3</w:t>
            </w:r>
          </w:p>
        </w:tc>
        <w:tc>
          <w:tcPr>
            <w:tcW w:w="1075" w:type="dxa"/>
            <w:vAlign w:val="center"/>
          </w:tcPr>
          <w:p>
            <w:r>
              <w:t>X001</w:t>
            </w:r>
          </w:p>
        </w:tc>
        <w:tc>
          <w:tcPr>
            <w:tcW w:w="1245" w:type="dxa"/>
            <w:vAlign w:val="center"/>
          </w:tcPr>
          <w:p>
            <w:r>
              <w:t>Ⅳ级采光</w:t>
            </w:r>
          </w:p>
        </w:tc>
        <w:tc>
          <w:tcPr>
            <w:tcW w:w="792" w:type="dxa"/>
            <w:vAlign w:val="center"/>
          </w:tcPr>
          <w:p>
            <w:r>
              <w:t>IV</w:t>
            </w:r>
          </w:p>
        </w:tc>
        <w:tc>
          <w:tcPr>
            <w:tcW w:w="848" w:type="dxa"/>
            <w:vAlign w:val="center"/>
          </w:tcPr>
          <w:p>
            <w:r>
              <w:t>侧面</w:t>
            </w:r>
          </w:p>
        </w:tc>
        <w:tc>
          <w:tcPr>
            <w:tcW w:w="1075" w:type="dxa"/>
            <w:vAlign w:val="center"/>
          </w:tcPr>
          <w:p>
            <w:r>
              <w:t>1.96</w:t>
            </w:r>
          </w:p>
        </w:tc>
        <w:tc>
          <w:tcPr>
            <w:tcW w:w="1075" w:type="dxa"/>
            <w:vAlign w:val="center"/>
          </w:tcPr>
          <w:p>
            <w:r>
              <w:t>8.79</w:t>
            </w:r>
          </w:p>
        </w:tc>
        <w:tc>
          <w:tcPr>
            <w:tcW w:w="1075" w:type="dxa"/>
            <w:vAlign w:val="center"/>
          </w:tcPr>
          <w:p>
            <w:r>
              <w:t>0.22</w:t>
            </w:r>
          </w:p>
        </w:tc>
        <w:tc>
          <w:tcPr>
            <w:tcW w:w="990" w:type="dxa"/>
            <w:vAlign w:val="center"/>
          </w:tcPr>
          <w:p>
            <w:pPr>
              <w:rPr>
                <w:color w:val="auto"/>
              </w:rPr>
            </w:pPr>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075" w:type="dxa"/>
            <w:vAlign w:val="center"/>
          </w:tcPr>
          <w:p>
            <w:r>
              <w:t>X002</w:t>
            </w:r>
          </w:p>
        </w:tc>
        <w:tc>
          <w:tcPr>
            <w:tcW w:w="1245" w:type="dxa"/>
            <w:vAlign w:val="center"/>
          </w:tcPr>
          <w:p>
            <w:r>
              <w:t>Ⅳ级采光</w:t>
            </w:r>
          </w:p>
        </w:tc>
        <w:tc>
          <w:tcPr>
            <w:tcW w:w="792" w:type="dxa"/>
            <w:vAlign w:val="center"/>
          </w:tcPr>
          <w:p>
            <w:r>
              <w:t>IV</w:t>
            </w:r>
          </w:p>
        </w:tc>
        <w:tc>
          <w:tcPr>
            <w:tcW w:w="848" w:type="dxa"/>
            <w:vAlign w:val="center"/>
          </w:tcPr>
          <w:p>
            <w:r>
              <w:t>侧面</w:t>
            </w:r>
          </w:p>
        </w:tc>
        <w:tc>
          <w:tcPr>
            <w:tcW w:w="1075" w:type="dxa"/>
            <w:vAlign w:val="center"/>
          </w:tcPr>
          <w:p>
            <w:r>
              <w:t>0.15</w:t>
            </w:r>
          </w:p>
        </w:tc>
        <w:tc>
          <w:tcPr>
            <w:tcW w:w="1075" w:type="dxa"/>
            <w:vAlign w:val="center"/>
          </w:tcPr>
          <w:p>
            <w:r>
              <w:t>0.31</w:t>
            </w:r>
          </w:p>
        </w:tc>
        <w:tc>
          <w:tcPr>
            <w:tcW w:w="1075" w:type="dxa"/>
            <w:vAlign w:val="center"/>
          </w:tcPr>
          <w:p>
            <w:r>
              <w:t>0.50</w:t>
            </w:r>
          </w:p>
        </w:tc>
        <w:tc>
          <w:tcPr>
            <w:tcW w:w="990" w:type="dxa"/>
            <w:vAlign w:val="center"/>
          </w:tcPr>
          <w:p>
            <w:pPr>
              <w:rPr>
                <w:color w:val="auto"/>
              </w:rPr>
            </w:pPr>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075" w:type="dxa"/>
            <w:vAlign w:val="center"/>
          </w:tcPr>
          <w:p>
            <w:r>
              <w:t>X003</w:t>
            </w:r>
          </w:p>
        </w:tc>
        <w:tc>
          <w:tcPr>
            <w:tcW w:w="1245" w:type="dxa"/>
            <w:vAlign w:val="center"/>
          </w:tcPr>
          <w:p>
            <w:r>
              <w:t>Ⅳ级采光</w:t>
            </w:r>
          </w:p>
        </w:tc>
        <w:tc>
          <w:tcPr>
            <w:tcW w:w="792" w:type="dxa"/>
            <w:vAlign w:val="center"/>
          </w:tcPr>
          <w:p>
            <w:r>
              <w:t>IV</w:t>
            </w:r>
          </w:p>
        </w:tc>
        <w:tc>
          <w:tcPr>
            <w:tcW w:w="848" w:type="dxa"/>
            <w:vAlign w:val="center"/>
          </w:tcPr>
          <w:p>
            <w:r>
              <w:t>侧面</w:t>
            </w:r>
          </w:p>
        </w:tc>
        <w:tc>
          <w:tcPr>
            <w:tcW w:w="1075" w:type="dxa"/>
            <w:vAlign w:val="center"/>
          </w:tcPr>
          <w:p>
            <w:r>
              <w:t>0.19</w:t>
            </w:r>
          </w:p>
        </w:tc>
        <w:tc>
          <w:tcPr>
            <w:tcW w:w="1075" w:type="dxa"/>
            <w:vAlign w:val="center"/>
          </w:tcPr>
          <w:p>
            <w:r>
              <w:t>0.66</w:t>
            </w:r>
          </w:p>
        </w:tc>
        <w:tc>
          <w:tcPr>
            <w:tcW w:w="1075" w:type="dxa"/>
            <w:vAlign w:val="center"/>
          </w:tcPr>
          <w:p>
            <w:r>
              <w:t>0.29</w:t>
            </w:r>
          </w:p>
        </w:tc>
        <w:tc>
          <w:tcPr>
            <w:tcW w:w="990" w:type="dxa"/>
            <w:vAlign w:val="center"/>
          </w:tcPr>
          <w:p>
            <w:pPr>
              <w:rPr>
                <w:color w:val="auto"/>
              </w:rPr>
            </w:pPr>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075" w:type="dxa"/>
            <w:vAlign w:val="center"/>
          </w:tcPr>
          <w:p>
            <w:r>
              <w:t>X004</w:t>
            </w:r>
          </w:p>
        </w:tc>
        <w:tc>
          <w:tcPr>
            <w:tcW w:w="1245" w:type="dxa"/>
            <w:vAlign w:val="center"/>
          </w:tcPr>
          <w:p>
            <w:r>
              <w:t>Ⅳ级采光</w:t>
            </w:r>
          </w:p>
        </w:tc>
        <w:tc>
          <w:tcPr>
            <w:tcW w:w="792" w:type="dxa"/>
            <w:vAlign w:val="center"/>
          </w:tcPr>
          <w:p>
            <w:r>
              <w:t>IV</w:t>
            </w:r>
          </w:p>
        </w:tc>
        <w:tc>
          <w:tcPr>
            <w:tcW w:w="848" w:type="dxa"/>
            <w:vAlign w:val="center"/>
          </w:tcPr>
          <w:p>
            <w:r>
              <w:t>侧面</w:t>
            </w:r>
          </w:p>
        </w:tc>
        <w:tc>
          <w:tcPr>
            <w:tcW w:w="1075" w:type="dxa"/>
            <w:vAlign w:val="center"/>
          </w:tcPr>
          <w:p>
            <w:r>
              <w:t>0.00</w:t>
            </w:r>
          </w:p>
        </w:tc>
        <w:tc>
          <w:tcPr>
            <w:tcW w:w="1075" w:type="dxa"/>
            <w:vAlign w:val="center"/>
          </w:tcPr>
          <w:p>
            <w:r>
              <w:t>0.00</w:t>
            </w:r>
          </w:p>
        </w:tc>
        <w:tc>
          <w:tcPr>
            <w:tcW w:w="1075" w:type="dxa"/>
            <w:vAlign w:val="center"/>
          </w:tcPr>
          <w:p>
            <w:r>
              <w:t>-1.#J</w:t>
            </w:r>
          </w:p>
        </w:tc>
        <w:tc>
          <w:tcPr>
            <w:tcW w:w="990" w:type="dxa"/>
            <w:vAlign w:val="center"/>
          </w:tcPr>
          <w:p>
            <w:r>
              <w:rPr>
                <w:color w:val="FF0000"/>
              </w:rPr>
              <w:t>不满足</w:t>
            </w:r>
          </w:p>
        </w:tc>
      </w:tr>
    </w:tbl>
    <w:p>
      <w:pPr>
        <w:pStyle w:val="3"/>
      </w:pPr>
      <w:bookmarkStart w:id="78" w:name="光均匀度表"/>
      <w:bookmarkEnd w:id="78"/>
    </w:p>
    <w:p>
      <w:pPr>
        <w:pStyle w:val="2"/>
        <w:ind w:left="432" w:hanging="432"/>
      </w:pPr>
      <w:bookmarkStart w:id="79" w:name="_Toc153123553"/>
      <w:r>
        <w:rPr>
          <w:rFonts w:hint="eastAsia"/>
        </w:rPr>
        <w:t>结论</w:t>
      </w:r>
      <w:bookmarkEnd w:id="79"/>
    </w:p>
    <w:p>
      <w:pPr>
        <w:pStyle w:val="3"/>
        <w:ind w:firstLine="420"/>
      </w:pPr>
      <w:r>
        <w:rPr>
          <w:rFonts w:hint="eastAsia"/>
          <w:lang w:val="en-US"/>
        </w:rPr>
        <w:t>通过对本建筑的采光模拟和统计分析，满足</w:t>
      </w:r>
      <w:r>
        <w:rPr>
          <w:lang w:val="en-US"/>
        </w:rPr>
        <w:t>《建筑环境通用规范》GB 55016-2021</w:t>
      </w:r>
      <w:r>
        <w:rPr>
          <w:rFonts w:hint="eastAsia"/>
          <w:lang w:val="en-US"/>
        </w:rPr>
        <w:t xml:space="preserve">、《建筑采光设计标准》 </w:t>
      </w:r>
      <w:r>
        <w:rPr>
          <w:lang w:val="en-US"/>
        </w:rPr>
        <w:t>GB 50033-2013</w:t>
      </w:r>
      <w:r>
        <w:rPr>
          <w:rFonts w:hint="eastAsia"/>
          <w:lang w:val="en-US"/>
        </w:rPr>
        <w:t>要求的房间汇总如下：</w:t>
      </w: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w:t>
            </w:r>
            <w:r>
              <w:br w:type="textWrapping"/>
            </w:r>
            <w:r>
              <w:t>房间/户型</w:t>
            </w:r>
          </w:p>
        </w:tc>
        <w:tc>
          <w:tcPr>
            <w:tcW w:w="2263" w:type="dxa"/>
            <w:shd w:val="clear" w:color="auto" w:fill="E6E6E6"/>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16</w:t>
            </w:r>
          </w:p>
        </w:tc>
        <w:tc>
          <w:tcPr>
            <w:tcW w:w="1075" w:type="dxa"/>
            <w:vAlign w:val="center"/>
          </w:tcPr>
          <w:p>
            <w:r>
              <w:t>2</w:t>
            </w:r>
          </w:p>
        </w:tc>
        <w:tc>
          <w:tcPr>
            <w:tcW w:w="1075" w:type="dxa"/>
            <w:vAlign w:val="center"/>
          </w:tcPr>
          <w:p>
            <w:r>
              <w:t>12.50</w:t>
            </w:r>
          </w:p>
        </w:tc>
        <w:tc>
          <w:tcPr>
            <w:tcW w:w="2433" w:type="dxa"/>
            <w:vAlign w:val="center"/>
          </w:tcPr>
          <w:p>
            <w:r>
              <w:rPr>
                <w:color w:val="FF00FF"/>
              </w:rPr>
              <w:t xml:space="preserve"> X002 X003 ……</w:t>
            </w:r>
            <w:r>
              <w:rPr>
                <w:color w:val="FF00FF"/>
              </w:rPr>
              <w:br w:type="textWrapping"/>
            </w:r>
            <w:r>
              <w:rPr>
                <w:color w:val="FF00FF"/>
              </w:rPr>
              <w:t>不满足的房间超过</w:t>
            </w:r>
            <w:r>
              <w:rPr>
                <w:rFonts w:hint="eastAsia"/>
                <w:color w:val="FF00FF"/>
                <w:lang w:val="en-US" w:eastAsia="zh-CN"/>
              </w:rPr>
              <w:t>3</w:t>
            </w:r>
            <w:r>
              <w:rPr>
                <w:color w:val="FF00FF"/>
              </w:rPr>
              <w:t>个</w:t>
            </w: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5961.50</w:t>
            </w:r>
          </w:p>
        </w:tc>
        <w:tc>
          <w:tcPr>
            <w:tcW w:w="1075" w:type="dxa"/>
            <w:vAlign w:val="center"/>
          </w:tcPr>
          <w:p>
            <w:r>
              <w:t>813.58</w:t>
            </w:r>
          </w:p>
        </w:tc>
        <w:tc>
          <w:tcPr>
            <w:tcW w:w="1075" w:type="dxa"/>
            <w:vAlign w:val="center"/>
          </w:tcPr>
          <w:p>
            <w:r>
              <w:t>13.65</w:t>
            </w:r>
          </w:p>
        </w:tc>
        <w:tc>
          <w:tcPr>
            <w:tcW w:w="2433" w:type="dxa"/>
            <w:vAlign w:val="center"/>
          </w:tcPr>
          <w:p>
            <w:r>
              <w:t>－－</w:t>
            </w:r>
          </w:p>
        </w:tc>
        <w:tc>
          <w:tcPr>
            <w:tcW w:w="2263" w:type="dxa"/>
            <w:vAlign w:val="center"/>
          </w:tcPr>
          <w:p>
            <w:r>
              <w:t>－－</w:t>
            </w:r>
          </w:p>
        </w:tc>
      </w:tr>
    </w:tbl>
    <w:p>
      <w:pPr>
        <w:pStyle w:val="3"/>
        <w:ind w:firstLine="420"/>
      </w:pPr>
    </w:p>
    <w:p>
      <w:pPr>
        <w:pStyle w:val="3"/>
        <w:ind w:firstLine="420"/>
        <w:sectPr>
          <w:footerReference r:id="rId4" w:type="default"/>
          <w:pgSz w:w="11906" w:h="16838"/>
          <w:pgMar w:top="1440" w:right="1418" w:bottom="1440" w:left="1418" w:header="851" w:footer="992" w:gutter="0"/>
          <w:cols w:space="425" w:num="1"/>
          <w:docGrid w:type="lines" w:linePitch="312" w:charSpace="0"/>
        </w:sectPr>
      </w:pPr>
      <w:r>
        <w:rPr>
          <w:lang w:val="en-US"/>
        </w:rPr>
        <w:t>普通教室侧面采光的采光均匀度不应低于0.5</w:t>
      </w:r>
      <w:r>
        <w:rPr>
          <w:rFonts w:hint="eastAsia"/>
          <w:lang w:val="en-US"/>
        </w:rPr>
        <w:t>，</w:t>
      </w:r>
      <w:r>
        <w:rPr>
          <w:rFonts w:hint="eastAsia"/>
        </w:rPr>
        <w:t>其中</w:t>
      </w:r>
      <w:bookmarkStart w:id="81" w:name="光均匀度不达标房间数"/>
      <w:r>
        <w:rPr>
          <w:rFonts w:hint="eastAsia"/>
        </w:rPr>
        <w:t>11</w:t>
      </w:r>
      <w:bookmarkEnd w:id="81"/>
      <w:r>
        <w:rPr>
          <w:rFonts w:hint="eastAsia"/>
        </w:rPr>
        <w:t>个房间不满足采光均匀度要求。</w:t>
      </w: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4DF743B3"/>
    <w:multiLevelType w:val="multilevel"/>
    <w:tmpl w:val="4DF743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CEA5F96"/>
    <w:multiLevelType w:val="multilevel"/>
    <w:tmpl w:val="7CEA5F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OWY3OWI4Zjc0ZDczZjBiMDhlZGY5MzMzMjVjYzcifQ=="/>
  </w:docVars>
  <w:rsids>
    <w:rsidRoot w:val="00DB4D7F"/>
    <w:rsid w:val="0000161E"/>
    <w:rsid w:val="00003F3F"/>
    <w:rsid w:val="00026821"/>
    <w:rsid w:val="00037A4C"/>
    <w:rsid w:val="000574BA"/>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4B50"/>
    <w:rsid w:val="00206942"/>
    <w:rsid w:val="0021557F"/>
    <w:rsid w:val="002229C1"/>
    <w:rsid w:val="00232CE2"/>
    <w:rsid w:val="002341D3"/>
    <w:rsid w:val="00241D4E"/>
    <w:rsid w:val="0025362B"/>
    <w:rsid w:val="002555B8"/>
    <w:rsid w:val="0025786A"/>
    <w:rsid w:val="002675C4"/>
    <w:rsid w:val="002A7369"/>
    <w:rsid w:val="002B7391"/>
    <w:rsid w:val="002C17A2"/>
    <w:rsid w:val="002D0FB8"/>
    <w:rsid w:val="002D4EE7"/>
    <w:rsid w:val="002E7C19"/>
    <w:rsid w:val="002F4F7E"/>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3C80"/>
    <w:rsid w:val="004B63BA"/>
    <w:rsid w:val="004C18E3"/>
    <w:rsid w:val="004D0938"/>
    <w:rsid w:val="004D230F"/>
    <w:rsid w:val="004D449D"/>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A0064"/>
    <w:rsid w:val="005B290E"/>
    <w:rsid w:val="005B5A6C"/>
    <w:rsid w:val="005D14F5"/>
    <w:rsid w:val="005D4CCD"/>
    <w:rsid w:val="005E6722"/>
    <w:rsid w:val="005E68D9"/>
    <w:rsid w:val="005F5BA5"/>
    <w:rsid w:val="005F76EF"/>
    <w:rsid w:val="0061137B"/>
    <w:rsid w:val="00616D08"/>
    <w:rsid w:val="0061733F"/>
    <w:rsid w:val="0062034E"/>
    <w:rsid w:val="006240DC"/>
    <w:rsid w:val="0063216A"/>
    <w:rsid w:val="00640F14"/>
    <w:rsid w:val="006544F4"/>
    <w:rsid w:val="00654656"/>
    <w:rsid w:val="00665923"/>
    <w:rsid w:val="006663F1"/>
    <w:rsid w:val="00680AB5"/>
    <w:rsid w:val="00694FCA"/>
    <w:rsid w:val="006A10D8"/>
    <w:rsid w:val="006A4CE8"/>
    <w:rsid w:val="006B01BC"/>
    <w:rsid w:val="006B4299"/>
    <w:rsid w:val="006B628D"/>
    <w:rsid w:val="006C2054"/>
    <w:rsid w:val="006C6715"/>
    <w:rsid w:val="006D4ED3"/>
    <w:rsid w:val="006E146F"/>
    <w:rsid w:val="006F480A"/>
    <w:rsid w:val="00703669"/>
    <w:rsid w:val="00704059"/>
    <w:rsid w:val="007053C9"/>
    <w:rsid w:val="00720044"/>
    <w:rsid w:val="00740B68"/>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D78EE"/>
    <w:rsid w:val="008F0010"/>
    <w:rsid w:val="008F7A62"/>
    <w:rsid w:val="0090340B"/>
    <w:rsid w:val="00903994"/>
    <w:rsid w:val="00905F94"/>
    <w:rsid w:val="00916DFB"/>
    <w:rsid w:val="00933379"/>
    <w:rsid w:val="009360C1"/>
    <w:rsid w:val="009363F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5E06"/>
    <w:rsid w:val="00A96DD2"/>
    <w:rsid w:val="00A972F1"/>
    <w:rsid w:val="00AA22F6"/>
    <w:rsid w:val="00AA47FE"/>
    <w:rsid w:val="00AA686F"/>
    <w:rsid w:val="00AC45CC"/>
    <w:rsid w:val="00AD0888"/>
    <w:rsid w:val="00AD149F"/>
    <w:rsid w:val="00AD2D17"/>
    <w:rsid w:val="00AF050E"/>
    <w:rsid w:val="00B364B6"/>
    <w:rsid w:val="00B41640"/>
    <w:rsid w:val="00B461E7"/>
    <w:rsid w:val="00B55B22"/>
    <w:rsid w:val="00B60841"/>
    <w:rsid w:val="00B77743"/>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B4D7F"/>
    <w:rsid w:val="00DC08B7"/>
    <w:rsid w:val="00DC73AD"/>
    <w:rsid w:val="00DD3C92"/>
    <w:rsid w:val="00DE3377"/>
    <w:rsid w:val="00DE39CD"/>
    <w:rsid w:val="00DF045C"/>
    <w:rsid w:val="00DF470C"/>
    <w:rsid w:val="00E0259B"/>
    <w:rsid w:val="00E12326"/>
    <w:rsid w:val="00E125AE"/>
    <w:rsid w:val="00E12AD1"/>
    <w:rsid w:val="00E24BFA"/>
    <w:rsid w:val="00E25349"/>
    <w:rsid w:val="00E25E8C"/>
    <w:rsid w:val="00E4407F"/>
    <w:rsid w:val="00E47E06"/>
    <w:rsid w:val="00E70768"/>
    <w:rsid w:val="00E74F22"/>
    <w:rsid w:val="00E81ACD"/>
    <w:rsid w:val="00E81C02"/>
    <w:rsid w:val="00E950A3"/>
    <w:rsid w:val="00EB450B"/>
    <w:rsid w:val="00EB65C7"/>
    <w:rsid w:val="00EE0F57"/>
    <w:rsid w:val="00EF2A35"/>
    <w:rsid w:val="00F01840"/>
    <w:rsid w:val="00F0686F"/>
    <w:rsid w:val="00F26211"/>
    <w:rsid w:val="00F2650F"/>
    <w:rsid w:val="00F308B6"/>
    <w:rsid w:val="00F32066"/>
    <w:rsid w:val="00F51600"/>
    <w:rsid w:val="00F54FBC"/>
    <w:rsid w:val="00F642A6"/>
    <w:rsid w:val="00F64596"/>
    <w:rsid w:val="00F75DD1"/>
    <w:rsid w:val="00F7631E"/>
    <w:rsid w:val="00F8504B"/>
    <w:rsid w:val="00F959AF"/>
    <w:rsid w:val="00F972A6"/>
    <w:rsid w:val="00F97EC7"/>
    <w:rsid w:val="00FA4B87"/>
    <w:rsid w:val="00FB0816"/>
    <w:rsid w:val="00FF14DB"/>
    <w:rsid w:val="00FF2243"/>
    <w:rsid w:val="00FF752E"/>
    <w:rsid w:val="1F021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EFFE-EC76-4E09-A95F-982A5A4B7DEA}">
  <ds:schemaRefs/>
</ds:datastoreItem>
</file>

<file path=docProps/app.xml><?xml version="1.0" encoding="utf-8"?>
<Properties xmlns="http://schemas.openxmlformats.org/officeDocument/2006/extended-properties" xmlns:vt="http://schemas.openxmlformats.org/officeDocument/2006/docPropsVTypes">
  <Template>tmp3.dotx</Template>
  <Company>ths</Company>
  <Pages>11</Pages>
  <Words>985</Words>
  <Characters>5619</Characters>
  <Lines>46</Lines>
  <Paragraphs>13</Paragraphs>
  <TotalTime>4</TotalTime>
  <ScaleCrop>false</ScaleCrop>
  <LinksUpToDate>false</LinksUpToDate>
  <CharactersWithSpaces>6591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2023-12-10T09:58:00Z</dcterms:created>
  <dc:creator>Administrator</dc:creator>
  <cp:lastModifiedBy>长熹</cp:lastModifiedBy>
  <cp:lastPrinted>2411-12-31T16:00:00Z</cp:lastPrinted>
  <dcterms:modified xsi:type="dcterms:W3CDTF">2023-12-16T01:17:42Z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6941B2C800DF4D049A2D3BB36326578B_13</vt:lpwstr>
  </property>
</Properties>
</file>