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rPr>
          <w:rFonts w:ascii="黑体" w:hAnsi="宋体" w:eastAsia="黑体"/>
          <w:b/>
          <w:bCs/>
          <w:sz w:val="72"/>
          <w:szCs w:val="72"/>
        </w:rPr>
      </w:pPr>
      <w:bookmarkStart w:id="51" w:name="_GoBack"/>
      <w:r>
        <w:rPr>
          <w:rFonts w:hint="eastAsia" w:ascii="黑体" w:hAnsi="宋体" w:eastAsia="黑体"/>
          <w:b/>
          <w:bCs/>
          <w:sz w:val="72"/>
          <w:szCs w:val="72"/>
        </w:rPr>
        <w:t>居住建筑</w:t>
      </w:r>
    </w:p>
    <w:p>
      <w:pPr>
        <w:spacing w:before="312" w:beforeLines="100" w:line="180" w:lineRule="atLeast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窗地面积比计算书</w:t>
      </w:r>
    </w:p>
    <w:bookmarkEnd w:id="51"/>
    <w:p>
      <w:pPr>
        <w:spacing w:line="180" w:lineRule="atLeast"/>
        <w:rPr>
          <w:rFonts w:ascii="宋体" w:hAnsi="宋体"/>
          <w:b/>
          <w:bCs/>
          <w:szCs w:val="21"/>
        </w:rPr>
      </w:pPr>
    </w:p>
    <w:p>
      <w:pPr>
        <w:spacing w:line="180" w:lineRule="atLeast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rPr>
          <w:rFonts w:ascii="宋体" w:hAnsi="宋体"/>
          <w:b/>
          <w:bCs/>
          <w:szCs w:val="21"/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3"/>
              <w:jc w:val="center"/>
            </w:pPr>
            <w:bookmarkStart w:id="0" w:name="工程名称"/>
            <w:r>
              <w:t>临水村铜窑民宿设计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pStyle w:val="3"/>
              <w:jc w:val="center"/>
            </w:pPr>
            <w:bookmarkStart w:id="1" w:name="设计编号"/>
            <w:r>
              <w:t>BK1A60087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pStyle w:val="3"/>
              <w:jc w:val="center"/>
            </w:pPr>
            <w:bookmarkStart w:id="2" w:name="建设单位"/>
            <w:r>
              <w:t>建筑与土木工程系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pStyle w:val="3"/>
              <w:jc w:val="center"/>
            </w:pPr>
            <w:bookmarkStart w:id="3" w:name="设计单位"/>
            <w:r>
              <w:t>优靛东喜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pStyle w:val="3"/>
              <w:jc w:val="center"/>
            </w:pPr>
            <w:bookmarkStart w:id="4" w:name="审核人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pStyle w:val="3"/>
              <w:jc w:val="center"/>
            </w:pPr>
            <w:bookmarkStart w:id="5" w:name="审定人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pStyle w:val="3"/>
              <w:jc w:val="center"/>
            </w:pPr>
            <w:bookmarkStart w:id="6" w:name="计算日期"/>
            <w:r>
              <w:t>2024年1月8日</w:t>
            </w:r>
            <w:bookmarkEnd w:id="6"/>
          </w:p>
        </w:tc>
      </w:tr>
    </w:tbl>
    <w:p>
      <w:pPr>
        <w:rPr>
          <w:rFonts w:ascii="黑体" w:hAnsi="黑体" w:eastAsia="黑体"/>
          <w:b/>
          <w:bCs/>
          <w:sz w:val="30"/>
          <w:szCs w:val="32"/>
        </w:rPr>
      </w:pPr>
    </w:p>
    <w:p>
      <w:pPr>
        <w:rPr>
          <w:rFonts w:ascii="黑体" w:hAnsi="黑体" w:eastAsia="黑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2171700" cy="21717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1928" cy="217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b/>
          <w:bCs/>
          <w:sz w:val="30"/>
          <w:szCs w:val="32"/>
        </w:rPr>
      </w:pPr>
    </w:p>
    <w:p>
      <w:pPr>
        <w:rPr>
          <w:rFonts w:ascii="黑体" w:hAnsi="黑体" w:eastAsia="黑体"/>
          <w:b/>
          <w:bCs/>
          <w:sz w:val="30"/>
          <w:szCs w:val="32"/>
        </w:rPr>
      </w:pP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3"/>
              <w:jc w:val="center"/>
            </w:pPr>
            <w:bookmarkStart w:id="8" w:name="采用软件"/>
            <w:r>
              <w:t>采光分析DALI2023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pStyle w:val="3"/>
              <w:jc w:val="center"/>
            </w:pPr>
            <w:bookmarkStart w:id="9" w:name="软件版本"/>
            <w:r>
              <w:t>20220808(SP1)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pStyle w:val="3"/>
              <w:jc w:val="center"/>
            </w:pPr>
            <w:bookmarkStart w:id="10" w:name="研发单位"/>
            <w:r>
              <w:t>北京绿建软件股份有限公司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正版授权码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3"/>
              <w:jc w:val="center"/>
            </w:pPr>
            <w:bookmarkStart w:id="11" w:name="正版授权码"/>
            <w:r>
              <w:t>T 13233268292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服务热线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shd w:val="clear" w:color="auto" w:fill="FFFFFF"/>
              </w:rPr>
              <w:t>400-094-1228</w:t>
            </w:r>
          </w:p>
        </w:tc>
      </w:tr>
    </w:tbl>
    <w:p>
      <w:pPr>
        <w:rPr>
          <w:rFonts w:ascii="黑体" w:hAnsi="黑体" w:eastAsia="黑体"/>
          <w:b/>
          <w:bCs/>
          <w:sz w:val="30"/>
          <w:szCs w:val="32"/>
        </w:rPr>
      </w:pPr>
    </w:p>
    <w:p>
      <w:pPr>
        <w:rPr>
          <w:rFonts w:ascii="黑体" w:hAnsi="黑体" w:eastAsia="黑体"/>
          <w:b/>
          <w:bCs/>
          <w:sz w:val="30"/>
          <w:szCs w:val="32"/>
        </w:rPr>
      </w:pPr>
    </w:p>
    <w:p>
      <w:pPr>
        <w:rPr>
          <w:rFonts w:ascii="黑体" w:hAnsi="黑体" w:eastAsia="黑体"/>
          <w:b/>
          <w:bCs/>
          <w:sz w:val="30"/>
          <w:szCs w:val="32"/>
        </w:rPr>
      </w:pPr>
    </w:p>
    <w:p>
      <w:pPr>
        <w:rPr>
          <w:rFonts w:ascii="黑体" w:hAnsi="黑体" w:eastAsia="黑体"/>
          <w:b/>
          <w:bCs/>
          <w:sz w:val="30"/>
          <w:szCs w:val="32"/>
        </w:rPr>
      </w:pPr>
    </w:p>
    <w:p>
      <w:pPr>
        <w:rPr>
          <w:rFonts w:ascii="黑体" w:hAnsi="黑体" w:eastAsia="黑体"/>
          <w:b/>
          <w:bCs/>
          <w:sz w:val="30"/>
          <w:szCs w:val="32"/>
        </w:rPr>
      </w:pPr>
    </w:p>
    <w:p>
      <w:p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rPr>
          <w:sz w:val="28"/>
          <w:szCs w:val="28"/>
        </w:rPr>
      </w:pPr>
      <w:bookmarkStart w:id="12" w:name="目录"/>
      <w:r>
        <w:rPr>
          <w:rFonts w:hint="eastAsia"/>
          <w:sz w:val="28"/>
          <w:szCs w:val="28"/>
        </w:rPr>
        <w:t>目  录</w:t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TOC \o "1-3"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szCs w:val="28"/>
        </w:rPr>
        <w:fldChar w:fldCharType="begin"/>
      </w:r>
      <w:r>
        <w:rPr>
          <w:szCs w:val="28"/>
        </w:rPr>
        <w:instrText xml:space="preserve"> HYPERLINK \l _Toc9014 </w:instrText>
      </w:r>
      <w:r>
        <w:rPr>
          <w:szCs w:val="28"/>
        </w:rPr>
        <w:fldChar w:fldCharType="separate"/>
      </w:r>
      <w:r>
        <w:rPr>
          <w:rFonts w:hint="eastAsia"/>
        </w:rPr>
        <w:t>1. 建筑概况</w:t>
      </w:r>
      <w:r>
        <w:tab/>
      </w:r>
      <w:r>
        <w:fldChar w:fldCharType="begin"/>
      </w:r>
      <w:r>
        <w:instrText xml:space="preserve"> PAGEREF _Toc9014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_Toc28782 </w:instrText>
      </w:r>
      <w:r>
        <w:rPr>
          <w:szCs w:val="28"/>
        </w:rPr>
        <w:fldChar w:fldCharType="separate"/>
      </w:r>
      <w:r>
        <w:rPr>
          <w:rFonts w:hint="eastAsia"/>
        </w:rPr>
        <w:t>2. 计算目的</w:t>
      </w:r>
      <w:r>
        <w:tab/>
      </w:r>
      <w:r>
        <w:fldChar w:fldCharType="begin"/>
      </w:r>
      <w:r>
        <w:instrText xml:space="preserve"> PAGEREF _Toc28782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_Toc1119 </w:instrText>
      </w:r>
      <w:r>
        <w:rPr>
          <w:szCs w:val="28"/>
        </w:rPr>
        <w:fldChar w:fldCharType="separate"/>
      </w:r>
      <w:r>
        <w:rPr>
          <w:rFonts w:hint="eastAsia"/>
        </w:rPr>
        <w:t>3. 分析依据</w:t>
      </w:r>
      <w:r>
        <w:tab/>
      </w:r>
      <w:r>
        <w:fldChar w:fldCharType="begin"/>
      </w:r>
      <w:r>
        <w:instrText xml:space="preserve"> PAGEREF _Toc1119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_Toc27823 </w:instrText>
      </w:r>
      <w:r>
        <w:rPr>
          <w:szCs w:val="28"/>
        </w:rP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_Toc27823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_Toc17025 </w:instrText>
      </w:r>
      <w:r>
        <w:rPr>
          <w:szCs w:val="28"/>
        </w:rP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标准要求</w:t>
      </w:r>
      <w:r>
        <w:tab/>
      </w:r>
      <w:r>
        <w:fldChar w:fldCharType="begin"/>
      </w:r>
      <w:r>
        <w:instrText xml:space="preserve"> PAGEREF _Toc17025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_Toc25401 </w:instrText>
      </w:r>
      <w:r>
        <w:rPr>
          <w:szCs w:val="28"/>
        </w:rPr>
        <w:fldChar w:fldCharType="separate"/>
      </w:r>
      <w:r>
        <w:rPr>
          <w:rFonts w:hint="eastAsia"/>
        </w:rPr>
        <w:t>4. 应用软件与计算方法</w:t>
      </w:r>
      <w:r>
        <w:tab/>
      </w:r>
      <w:r>
        <w:fldChar w:fldCharType="begin"/>
      </w:r>
      <w:r>
        <w:instrText xml:space="preserve"> PAGEREF _Toc25401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_Toc28474 </w:instrText>
      </w:r>
      <w:r>
        <w:rPr>
          <w:szCs w:val="28"/>
        </w:rPr>
        <w:fldChar w:fldCharType="separate"/>
      </w:r>
      <w:r>
        <w:rPr>
          <w:rFonts w:hint="eastAsia"/>
          <w:lang w:val="en-GB"/>
        </w:rPr>
        <w:t xml:space="preserve">4.1 </w:t>
      </w:r>
      <w:r>
        <w:t>软件</w:t>
      </w:r>
      <w:r>
        <w:rPr>
          <w:rFonts w:hint="eastAsia"/>
        </w:rPr>
        <w:t>选用</w:t>
      </w:r>
      <w:r>
        <w:tab/>
      </w:r>
      <w:r>
        <w:fldChar w:fldCharType="begin"/>
      </w:r>
      <w:r>
        <w:instrText xml:space="preserve"> PAGEREF _Toc28474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_Toc17071 </w:instrText>
      </w:r>
      <w:r>
        <w:rPr>
          <w:szCs w:val="28"/>
        </w:rP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计算方法</w:t>
      </w:r>
      <w:r>
        <w:tab/>
      </w:r>
      <w:r>
        <w:fldChar w:fldCharType="begin"/>
      </w:r>
      <w:r>
        <w:instrText xml:space="preserve"> PAGEREF _Toc17071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_Toc23572 </w:instrText>
      </w:r>
      <w:r>
        <w:rPr>
          <w:szCs w:val="28"/>
        </w:rPr>
        <w:fldChar w:fldCharType="separate"/>
      </w:r>
      <w:r>
        <w:rPr>
          <w:rFonts w:hint="eastAsia" w:ascii="微软雅黑" w:hAnsi="微软雅黑"/>
        </w:rPr>
        <w:t>5. 计算参数选用</w:t>
      </w:r>
      <w:r>
        <w:tab/>
      </w:r>
      <w:r>
        <w:fldChar w:fldCharType="begin"/>
      </w:r>
      <w:r>
        <w:instrText xml:space="preserve"> PAGEREF _Toc23572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_Toc9733 </w:instrText>
      </w:r>
      <w:r>
        <w:rPr>
          <w:szCs w:val="28"/>
        </w:rPr>
        <w:fldChar w:fldCharType="separate"/>
      </w:r>
      <w:r>
        <w:rPr>
          <w:rFonts w:hint="eastAsia" w:ascii="微软雅黑" w:hAnsi="微软雅黑"/>
        </w:rPr>
        <w:t>6. 窗地比结果</w:t>
      </w:r>
      <w:r>
        <w:tab/>
      </w:r>
      <w:r>
        <w:fldChar w:fldCharType="begin"/>
      </w:r>
      <w:r>
        <w:instrText xml:space="preserve"> PAGEREF _Toc9733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_Toc20869 </w:instrText>
      </w:r>
      <w:r>
        <w:rPr>
          <w:szCs w:val="28"/>
        </w:rPr>
        <w:fldChar w:fldCharType="separate"/>
      </w:r>
      <w:r>
        <w:rPr>
          <w:rFonts w:hint="eastAsia"/>
        </w:rPr>
        <w:t>7. 评价结论</w:t>
      </w:r>
      <w:r>
        <w:tab/>
      </w:r>
      <w:r>
        <w:fldChar w:fldCharType="begin"/>
      </w:r>
      <w:r>
        <w:instrText xml:space="preserve"> PAGEREF _Toc20869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>
      <w:pPr>
        <w:rPr>
          <w:sz w:val="28"/>
          <w:szCs w:val="28"/>
        </w:rPr>
        <w:sectPr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rPr>
          <w:szCs w:val="28"/>
        </w:rPr>
        <w:fldChar w:fldCharType="end"/>
      </w:r>
      <w:bookmarkEnd w:id="12"/>
    </w:p>
    <w:p>
      <w:pPr>
        <w:pStyle w:val="2"/>
        <w:ind w:left="432" w:hanging="432"/>
      </w:pPr>
      <w:bookmarkStart w:id="13" w:name="_Toc9014"/>
      <w:r>
        <w:rPr>
          <w:rFonts w:hint="eastAsia"/>
        </w:rPr>
        <w:t>建筑概况</w:t>
      </w:r>
      <w:bookmarkEnd w:id="13"/>
    </w:p>
    <w:tbl>
      <w:tblPr>
        <w:tblStyle w:val="19"/>
        <w:tblpPr w:leftFromText="180" w:rightFromText="180" w:vertAnchor="text" w:horzAnchor="margin" w:tblpXSpec="center" w:tblpY="202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763"/>
        <w:gridCol w:w="1653"/>
        <w:gridCol w:w="22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>
            <w:pPr>
              <w:pStyle w:val="3"/>
              <w:rPr>
                <w:lang w:val="en-US"/>
              </w:rPr>
            </w:pPr>
            <w:r>
              <w:rPr>
                <w:rFonts w:hint="eastAsia"/>
                <w:lang w:val="en-US"/>
              </w:rPr>
              <w:t>项目所在地</w:t>
            </w:r>
          </w:p>
        </w:tc>
        <w:tc>
          <w:tcPr>
            <w:tcW w:w="6624" w:type="dxa"/>
            <w:gridSpan w:val="3"/>
          </w:tcPr>
          <w:p>
            <w:pPr>
              <w:pStyle w:val="3"/>
              <w:rPr>
                <w:lang w:val="en-US"/>
              </w:rPr>
            </w:pPr>
            <w:bookmarkStart w:id="14" w:name="项目地点"/>
            <w:r>
              <w:t>吕梁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>
            <w:pPr>
              <w:pStyle w:val="3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763" w:type="dxa"/>
          </w:tcPr>
          <w:p>
            <w:pPr>
              <w:pStyle w:val="3"/>
              <w:rPr>
                <w:lang w:val="en-US"/>
              </w:rPr>
            </w:pPr>
            <w:bookmarkStart w:id="15" w:name="光气候分区"/>
            <w:r>
              <w:t>III</w:t>
            </w:r>
            <w:bookmarkEnd w:id="15"/>
          </w:p>
        </w:tc>
        <w:tc>
          <w:tcPr>
            <w:tcW w:w="1653" w:type="dxa"/>
            <w:shd w:val="clear" w:color="auto" w:fill="E7E6E6"/>
          </w:tcPr>
          <w:p>
            <w:pPr>
              <w:pStyle w:val="3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2208" w:type="dxa"/>
          </w:tcPr>
          <w:p>
            <w:pPr>
              <w:pStyle w:val="3"/>
              <w:rPr>
                <w:lang w:val="en-US"/>
              </w:rPr>
            </w:pPr>
            <w:bookmarkStart w:id="16" w:name="光气候系数K"/>
            <w:r>
              <w:t>1.00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>
            <w:pPr>
              <w:pStyle w:val="3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624" w:type="dxa"/>
            <w:gridSpan w:val="3"/>
          </w:tcPr>
          <w:p>
            <w:pPr>
              <w:pStyle w:val="3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 </w:t>
            </w:r>
            <w:bookmarkStart w:id="17" w:name="地上建筑面积"/>
            <w:r>
              <w:t>1753.56</w:t>
            </w:r>
            <w:bookmarkEnd w:id="17"/>
            <w:r>
              <w:rPr>
                <w:rFonts w:hint="eastAsia"/>
              </w:rPr>
              <w:t>㎡</w:t>
            </w:r>
            <w:r>
              <w:rPr>
                <w:rFonts w:hint="eastAsia"/>
                <w:lang w:val="en-US"/>
              </w:rPr>
              <w:t xml:space="preserve">    地下  </w:t>
            </w:r>
            <w:bookmarkStart w:id="18" w:name="地下建筑面积"/>
            <w:r>
              <w:t>0.00</w:t>
            </w:r>
            <w:bookmarkEnd w:id="18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>
            <w:pPr>
              <w:pStyle w:val="3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624" w:type="dxa"/>
            <w:gridSpan w:val="3"/>
          </w:tcPr>
          <w:p>
            <w:pPr>
              <w:pStyle w:val="3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 </w:t>
            </w:r>
            <w:bookmarkStart w:id="19" w:name="地上建筑层数"/>
            <w:r>
              <w:t>1</w:t>
            </w:r>
            <w:bookmarkEnd w:id="19"/>
            <w:r>
              <w:rPr>
                <w:rFonts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>
            <w:pPr>
              <w:pStyle w:val="3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624" w:type="dxa"/>
            <w:gridSpan w:val="3"/>
          </w:tcPr>
          <w:p>
            <w:pPr>
              <w:pStyle w:val="3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bookmarkStart w:id="21" w:name="地上建筑高度"/>
            <w:r>
              <w:t>4.24</w:t>
            </w:r>
            <w:bookmarkEnd w:id="21"/>
            <w:r>
              <w:rPr>
                <w:rFonts w:hint="eastAsia"/>
                <w:lang w:val="en-US"/>
              </w:rPr>
              <w:t xml:space="preserve"> m     地下  </w:t>
            </w:r>
            <w:bookmarkStart w:id="22" w:name="地下建筑高度"/>
            <w:r>
              <w:t>0.00</w:t>
            </w:r>
            <w:bookmarkEnd w:id="22"/>
            <w:r>
              <w:rPr>
                <w:rFonts w:hint="eastAsia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>
            <w:pPr>
              <w:pStyle w:val="3"/>
              <w:rPr>
                <w:lang w:val="en-US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624" w:type="dxa"/>
            <w:gridSpan w:val="3"/>
          </w:tcPr>
          <w:p>
            <w:pPr>
              <w:pStyle w:val="3"/>
              <w:rPr>
                <w:lang w:val="en-US"/>
              </w:rPr>
            </w:pPr>
            <w:bookmarkStart w:id="23" w:name="备注"/>
            <w:bookmarkEnd w:id="23"/>
          </w:p>
        </w:tc>
      </w:tr>
    </w:tbl>
    <w:p>
      <w:pPr>
        <w:pStyle w:val="3"/>
        <w:jc w:val="center"/>
        <w:rPr>
          <w:lang w:val="en-US"/>
        </w:rPr>
      </w:pPr>
    </w:p>
    <w:p>
      <w:pPr>
        <w:pStyle w:val="3"/>
        <w:jc w:val="center"/>
        <w:rPr>
          <w:lang w:val="en-US"/>
        </w:rPr>
      </w:pPr>
    </w:p>
    <w:p>
      <w:pPr>
        <w:pStyle w:val="2"/>
        <w:ind w:left="432" w:hanging="432"/>
      </w:pPr>
      <w:bookmarkStart w:id="24" w:name="_Toc28782"/>
      <w:r>
        <w:rPr>
          <w:rFonts w:hint="eastAsia"/>
        </w:rPr>
        <w:t>计算目的</w:t>
      </w:r>
      <w:bookmarkEnd w:id="24"/>
    </w:p>
    <w:p>
      <w:pPr>
        <w:pStyle w:val="3"/>
        <w:ind w:firstLine="420" w:firstLineChars="200"/>
      </w:pPr>
      <w:r>
        <w:rPr>
          <w:rFonts w:hint="eastAsia"/>
        </w:rPr>
        <w:t>通过软件对目标建筑进行采光分析计算，求得居住</w:t>
      </w:r>
      <w:r>
        <w:t>建筑内</w:t>
      </w:r>
      <w:r>
        <w:rPr>
          <w:rFonts w:hint="eastAsia"/>
        </w:rPr>
        <w:t>卧室</w:t>
      </w:r>
      <w:r>
        <w:t>、起居室的窗地</w:t>
      </w:r>
      <w:r>
        <w:rPr>
          <w:rFonts w:hint="eastAsia"/>
        </w:rPr>
        <w:t>面积比，从而评价本项目的建筑采光设计是否满足《绿色建筑评价标准》的要求。</w:t>
      </w:r>
    </w:p>
    <w:p>
      <w:pPr>
        <w:pStyle w:val="2"/>
        <w:ind w:left="432" w:hanging="432"/>
      </w:pPr>
      <w:bookmarkStart w:id="25" w:name="_Toc1119"/>
      <w:r>
        <w:rPr>
          <w:rFonts w:hint="eastAsia"/>
        </w:rPr>
        <w:t>分析依据</w:t>
      </w:r>
      <w:bookmarkEnd w:id="25"/>
    </w:p>
    <w:p>
      <w:pPr>
        <w:pStyle w:val="4"/>
        <w:jc w:val="left"/>
      </w:pPr>
      <w:bookmarkStart w:id="26" w:name="_Toc27823"/>
      <w:r>
        <w:rPr>
          <w:rFonts w:hint="eastAsia"/>
        </w:rPr>
        <w:t>评价依据</w:t>
      </w:r>
      <w:bookmarkEnd w:id="26"/>
    </w:p>
    <w:p>
      <w:pPr>
        <w:pStyle w:val="3"/>
        <w:numPr>
          <w:ilvl w:val="0"/>
          <w:numId w:val="2"/>
        </w:numPr>
        <w:rPr>
          <w:lang w:val="en-US"/>
        </w:rPr>
      </w:pPr>
      <w:r>
        <w:rPr>
          <w:lang w:val="en-US"/>
        </w:rPr>
        <w:t>《建筑采光设计标准》GB 5003-2013</w:t>
      </w:r>
    </w:p>
    <w:p>
      <w:pPr>
        <w:pStyle w:val="3"/>
        <w:numPr>
          <w:ilvl w:val="0"/>
          <w:numId w:val="2"/>
        </w:numPr>
        <w:rPr>
          <w:lang w:val="en-US"/>
        </w:rPr>
      </w:pPr>
      <w:r>
        <w:rPr>
          <w:lang w:val="en-US"/>
        </w:rPr>
        <w:t>《绿色建筑评价标准》GB/T 50378-2014</w:t>
      </w:r>
    </w:p>
    <w:p>
      <w:pPr>
        <w:pStyle w:val="3"/>
        <w:numPr>
          <w:ilvl w:val="0"/>
          <w:numId w:val="2"/>
        </w:numPr>
        <w:rPr>
          <w:lang w:val="en-US"/>
        </w:rPr>
      </w:pPr>
      <w:r>
        <w:rPr>
          <w:lang w:val="en-US"/>
        </w:rPr>
        <w:t>《采光测量方法》GB/T5699-2017</w:t>
      </w:r>
    </w:p>
    <w:p>
      <w:pPr>
        <w:pStyle w:val="4"/>
      </w:pPr>
      <w:bookmarkStart w:id="27" w:name="_Toc17025"/>
      <w:r>
        <w:rPr>
          <w:rFonts w:hint="eastAsia"/>
        </w:rPr>
        <w:t>标准要求</w:t>
      </w:r>
      <w:bookmarkEnd w:id="27"/>
    </w:p>
    <w:p>
      <w:pPr>
        <w:pStyle w:val="3"/>
        <w:numPr>
          <w:ilvl w:val="0"/>
          <w:numId w:val="3"/>
        </w:numPr>
      </w:pPr>
      <w:r>
        <w:rPr>
          <w:rFonts w:hint="eastAsia"/>
        </w:rPr>
        <w:t>《绿色建筑评价标准》GB/T 50378-2014要求</w:t>
      </w:r>
      <w:r>
        <w:t>：</w:t>
      </w:r>
    </w:p>
    <w:p>
      <w:pPr>
        <w:pStyle w:val="3"/>
        <w:ind w:left="360" w:leftChars="200"/>
      </w:pPr>
      <w:r>
        <w:t>8.2.6 主要功能房间的采光系数满足现行国家标准《建筑采光设计标准》GB 50033的要求，评价总分值为8分。</w:t>
      </w:r>
    </w:p>
    <w:p>
      <w:pPr>
        <w:pStyle w:val="3"/>
        <w:ind w:left="360" w:leftChars="200"/>
      </w:pPr>
      <w:r>
        <w:t>1</w:t>
      </w:r>
      <w:r>
        <w:rPr>
          <w:rFonts w:hint="eastAsia"/>
        </w:rPr>
        <w:t xml:space="preserve"> 居住建筑：</w:t>
      </w:r>
      <w:r>
        <w:rPr>
          <w:b/>
        </w:rPr>
        <w:t>卧室、起居室的窗地面积比达到1/6，得6分；达到1/5，得8分</w:t>
      </w:r>
      <w:r>
        <w:t>。</w:t>
      </w:r>
    </w:p>
    <w:p>
      <w:pPr>
        <w:pStyle w:val="2"/>
      </w:pPr>
      <w:bookmarkStart w:id="28" w:name="_Toc25401"/>
      <w:r>
        <w:rPr>
          <w:rFonts w:hint="eastAsia"/>
        </w:rPr>
        <w:t>应用软件与计算方法</w:t>
      </w:r>
      <w:bookmarkEnd w:id="28"/>
    </w:p>
    <w:p>
      <w:pPr>
        <w:pStyle w:val="4"/>
      </w:pPr>
      <w:bookmarkStart w:id="29" w:name="_Toc28474"/>
      <w:r>
        <w:t>软件</w:t>
      </w:r>
      <w:r>
        <w:rPr>
          <w:rFonts w:hint="eastAsia"/>
        </w:rPr>
        <w:t>选用</w:t>
      </w:r>
      <w:bookmarkEnd w:id="29"/>
    </w:p>
    <w:p>
      <w:pPr>
        <w:pStyle w:val="3"/>
        <w:ind w:firstLine="420" w:firstLineChars="200"/>
      </w:pPr>
      <w:r>
        <w:t>本报告采用绿建斯维尔采光分析软件Dali</w:t>
      </w:r>
      <w:r>
        <w:rPr>
          <w:rFonts w:hint="eastAsia"/>
        </w:rPr>
        <w:t>作为分析工具。</w:t>
      </w:r>
      <w:r>
        <w:t>Dali是国内首款与国标《建筑采光设计标准》GB50033配套的软件，支持《绿色建筑评价标准》GB/T50378的采光指标要求</w:t>
      </w:r>
      <w:r>
        <w:rPr>
          <w:rFonts w:hint="eastAsia"/>
        </w:rPr>
        <w:t>。软件</w:t>
      </w:r>
      <w:r>
        <w:t>以Radiance为计算核心，将计算结果返回到Dali进行处理分析。Dali可对</w:t>
      </w:r>
      <w:r>
        <w:rPr>
          <w:b/>
        </w:rPr>
        <w:t>地下采光</w:t>
      </w:r>
      <w:r>
        <w:t>、视野率、达标率、内区采光、眩光指数等进行快速分析，并根据需求生成</w:t>
      </w:r>
      <w:r>
        <w:rPr>
          <w:rFonts w:hint="eastAsia"/>
        </w:rPr>
        <w:t>《地下采光分析</w:t>
      </w:r>
      <w:r>
        <w:t>计算书</w:t>
      </w:r>
      <w:r>
        <w:rPr>
          <w:rFonts w:hint="eastAsia"/>
        </w:rPr>
        <w:t>》等</w:t>
      </w:r>
      <w:r>
        <w:t>采光相关计算书。</w:t>
      </w:r>
    </w:p>
    <w:p>
      <w:pPr>
        <w:pStyle w:val="3"/>
        <w:ind w:firstLine="420" w:firstLineChars="200"/>
      </w:pPr>
      <w:r>
        <w:t>Dali已通过了《建筑采光设计标准》GB50033-2013标准编制组的鉴定，获得国家建筑工程质量监督检验中心鉴定报告，编号BETC-GMJC-2014-1。同时，Dali还通过了住房和城乡建设部科技发展促进中心专家组评审鉴定，获得《建设行业科技成果评估证书》，编号建科评[2014]069，评估委员会认定软件总体已达到国内领先水平。</w:t>
      </w:r>
    </w:p>
    <w:p>
      <w:pPr>
        <w:pStyle w:val="4"/>
      </w:pPr>
      <w:bookmarkStart w:id="30" w:name="_Toc17071"/>
      <w:r>
        <w:rPr>
          <w:rFonts w:hint="eastAsia"/>
        </w:rPr>
        <w:t>计算方法</w:t>
      </w:r>
      <w:bookmarkEnd w:id="30"/>
    </w:p>
    <w:p>
      <w:pPr>
        <w:pStyle w:val="13"/>
        <w:spacing w:line="360" w:lineRule="auto"/>
        <w:ind w:firstLine="420"/>
        <w:rPr>
          <w:b/>
          <w:sz w:val="21"/>
          <w:szCs w:val="21"/>
        </w:rPr>
      </w:pPr>
      <w:bookmarkStart w:id="31" w:name="_Toc290209341"/>
      <w:bookmarkStart w:id="32" w:name="_Toc312399796"/>
      <w:bookmarkStart w:id="33" w:name="_Toc290149059"/>
      <w:bookmarkStart w:id="34" w:name="_Toc264569237"/>
      <w:bookmarkStart w:id="35" w:name="_Toc275165387"/>
      <w:bookmarkStart w:id="36" w:name="_Toc264043630"/>
      <w:bookmarkStart w:id="37" w:name="_Toc290209317"/>
      <w:r>
        <w:rPr>
          <w:rFonts w:hint="eastAsia"/>
          <w:b/>
          <w:sz w:val="21"/>
          <w:szCs w:val="21"/>
        </w:rPr>
        <w:t>■ 窗地面积比</w:t>
      </w:r>
    </w:p>
    <w:p>
      <w:pPr>
        <w:pStyle w:val="3"/>
        <w:ind w:firstLine="420" w:firstLineChars="200"/>
      </w:pPr>
      <w:r>
        <w:t>窗洞口面积与地面面积之比。对于侧面采光，应为参考平面（即距离地板750mm）以上的窗洞口面积</w:t>
      </w:r>
      <w:r>
        <w:rPr>
          <w:rFonts w:hint="eastAsia"/>
        </w:rPr>
        <w:t>，</w:t>
      </w:r>
      <w:r>
        <w:t>窗地面积比用Ac/Ad来表示，</w:t>
      </w:r>
      <w:r>
        <w:rPr>
          <w:rFonts w:hint="eastAsia"/>
        </w:rPr>
        <w:t>窗面积Ac为窗洞口面积，地面面积Ad为室内地面的净面积。</w:t>
      </w:r>
    </w:p>
    <w:bookmarkEnd w:id="31"/>
    <w:bookmarkEnd w:id="32"/>
    <w:bookmarkEnd w:id="33"/>
    <w:bookmarkEnd w:id="34"/>
    <w:bookmarkEnd w:id="35"/>
    <w:bookmarkEnd w:id="36"/>
    <w:bookmarkEnd w:id="37"/>
    <w:p>
      <w:pPr>
        <w:pStyle w:val="2"/>
        <w:ind w:left="432" w:hanging="432"/>
        <w:rPr>
          <w:rFonts w:ascii="微软雅黑" w:hAnsi="微软雅黑"/>
        </w:rPr>
      </w:pPr>
      <w:bookmarkStart w:id="38" w:name="_Toc23572"/>
      <w:r>
        <w:rPr>
          <w:rFonts w:hint="eastAsia" w:ascii="微软雅黑" w:hAnsi="微软雅黑"/>
        </w:rPr>
        <w:t>计算参数选用</w:t>
      </w:r>
      <w:bookmarkEnd w:id="38"/>
    </w:p>
    <w:p>
      <w:pPr>
        <w:pStyle w:val="3"/>
        <w:ind w:firstLine="420" w:firstLineChars="200"/>
        <w:rPr>
          <w:lang w:val="en-US"/>
        </w:rPr>
      </w:pPr>
      <w:r>
        <w:rPr>
          <w:rFonts w:hint="eastAsia"/>
          <w:lang w:val="en-US"/>
        </w:rPr>
        <w:t>为了计算本项目的</w:t>
      </w:r>
      <w:r>
        <w:rPr>
          <w:lang w:val="en-US"/>
        </w:rPr>
        <w:t>窗地比</w:t>
      </w:r>
      <w:r>
        <w:rPr>
          <w:rFonts w:hint="eastAsia"/>
          <w:lang w:val="en-US"/>
        </w:rPr>
        <w:t>情况</w:t>
      </w:r>
      <w:r>
        <w:rPr>
          <w:lang w:val="en-US"/>
        </w:rPr>
        <w:t>，</w:t>
      </w:r>
      <w:r>
        <w:rPr>
          <w:rFonts w:hint="eastAsia"/>
          <w:lang w:val="en-US"/>
        </w:rPr>
        <w:t>窗地比</w:t>
      </w:r>
      <w:r>
        <w:rPr>
          <w:lang w:val="en-US"/>
        </w:rPr>
        <w:t>计算时</w:t>
      </w:r>
      <w:r>
        <w:rPr>
          <w:rFonts w:hint="eastAsia"/>
          <w:lang w:val="en-US"/>
        </w:rPr>
        <w:t>需要</w:t>
      </w:r>
      <w:r>
        <w:rPr>
          <w:lang w:val="en-US"/>
        </w:rPr>
        <w:t>对门窗中透光部分的面积</w:t>
      </w:r>
      <w:r>
        <w:rPr>
          <w:rFonts w:hint="eastAsia"/>
          <w:lang w:val="en-US"/>
        </w:rPr>
        <w:t>和</w:t>
      </w:r>
      <w:r>
        <w:rPr>
          <w:lang w:val="en-US"/>
        </w:rPr>
        <w:t>数量进行统计</w:t>
      </w:r>
      <w:r>
        <w:rPr>
          <w:rFonts w:hint="eastAsia"/>
          <w:lang w:val="en-US"/>
        </w:rPr>
        <w:t>，</w:t>
      </w:r>
      <w:r>
        <w:rPr>
          <w:lang w:val="en-US"/>
        </w:rPr>
        <w:t>本项目中门窗信息统计如下：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867"/>
        <w:gridCol w:w="1867"/>
        <w:gridCol w:w="1867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宽度(mm)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高度(mm)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c0921</w:t>
            </w:r>
          </w:p>
        </w:tc>
        <w:tc>
          <w:tcPr>
            <w:vAlign w:val="center"/>
          </w:tcPr>
          <w:p>
            <w:r>
              <w:t>900</w:t>
            </w:r>
          </w:p>
        </w:tc>
        <w:tc>
          <w:tcPr>
            <w:vAlign w:val="center"/>
          </w:tcPr>
          <w:p>
            <w:r>
              <w:t>2100</w:t>
            </w:r>
          </w:p>
        </w:tc>
        <w:tc>
          <w:tcPr>
            <w:vAlign w:val="center"/>
          </w:tcPr>
          <w:p>
            <w:r>
              <w:t>1.89</w:t>
            </w:r>
          </w:p>
        </w:tc>
        <w:tc>
          <w:tcPr>
            <w:vAlign w:val="center"/>
          </w:tcPr>
          <w:p>
            <w:r>
              <w:t>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c1221</w:t>
            </w:r>
          </w:p>
        </w:tc>
        <w:tc>
          <w:tcPr>
            <w:vAlign w:val="center"/>
          </w:tcPr>
          <w:p>
            <w:r>
              <w:t>1200</w:t>
            </w:r>
          </w:p>
        </w:tc>
        <w:tc>
          <w:tcPr>
            <w:vAlign w:val="center"/>
          </w:tcPr>
          <w:p>
            <w:r>
              <w:t>2100</w:t>
            </w:r>
          </w:p>
        </w:tc>
        <w:tc>
          <w:tcPr>
            <w:vAlign w:val="center"/>
          </w:tcPr>
          <w:p>
            <w:r>
              <w:t>2.52</w:t>
            </w:r>
          </w:p>
        </w:tc>
        <w:tc>
          <w:tcPr>
            <w:vAlign w:val="center"/>
          </w:tcPr>
          <w:p>
            <w:r>
              <w:t>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c1521</w:t>
            </w:r>
          </w:p>
        </w:tc>
        <w:tc>
          <w:tcPr>
            <w:vAlign w:val="center"/>
          </w:tcPr>
          <w:p>
            <w:r>
              <w:t>1500</w:t>
            </w:r>
          </w:p>
        </w:tc>
        <w:tc>
          <w:tcPr>
            <w:vAlign w:val="center"/>
          </w:tcPr>
          <w:p>
            <w:r>
              <w:t>2100</w:t>
            </w:r>
          </w:p>
        </w:tc>
        <w:tc>
          <w:tcPr>
            <w:vAlign w:val="center"/>
          </w:tcPr>
          <w:p>
            <w:r>
              <w:t>3.15</w:t>
            </w:r>
          </w:p>
        </w:tc>
        <w:tc>
          <w:tcPr>
            <w:vAlign w:val="center"/>
          </w:tcPr>
          <w:p>
            <w: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c1821</w:t>
            </w:r>
          </w:p>
        </w:tc>
        <w:tc>
          <w:tcPr>
            <w:vAlign w:val="center"/>
          </w:tcPr>
          <w:p>
            <w:r>
              <w:t>1800</w:t>
            </w:r>
          </w:p>
        </w:tc>
        <w:tc>
          <w:tcPr>
            <w:vAlign w:val="center"/>
          </w:tcPr>
          <w:p>
            <w:r>
              <w:t>2100</w:t>
            </w:r>
          </w:p>
        </w:tc>
        <w:tc>
          <w:tcPr>
            <w:vAlign w:val="center"/>
          </w:tcPr>
          <w:p>
            <w:r>
              <w:t>3.78</w:t>
            </w:r>
          </w:p>
        </w:tc>
        <w:tc>
          <w:tcPr>
            <w:vAlign w:val="center"/>
          </w:tcPr>
          <w:p>
            <w:r>
              <w:t>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c2721</w:t>
            </w:r>
          </w:p>
        </w:tc>
        <w:tc>
          <w:tcPr>
            <w:vAlign w:val="center"/>
          </w:tcPr>
          <w:p>
            <w:r>
              <w:t>2700</w:t>
            </w:r>
          </w:p>
        </w:tc>
        <w:tc>
          <w:tcPr>
            <w:vAlign w:val="center"/>
          </w:tcPr>
          <w:p>
            <w:r>
              <w:t>2100</w:t>
            </w:r>
          </w:p>
        </w:tc>
        <w:tc>
          <w:tcPr>
            <w:vAlign w:val="center"/>
          </w:tcPr>
          <w:p>
            <w:r>
              <w:t>5.67</w:t>
            </w:r>
          </w:p>
        </w:tc>
        <w:tc>
          <w:tcPr>
            <w:vAlign w:val="center"/>
          </w:tcPr>
          <w:p>
            <w: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c3321</w:t>
            </w:r>
          </w:p>
        </w:tc>
        <w:tc>
          <w:tcPr>
            <w:vAlign w:val="center"/>
          </w:tcPr>
          <w:p>
            <w:r>
              <w:t>3300</w:t>
            </w:r>
          </w:p>
        </w:tc>
        <w:tc>
          <w:tcPr>
            <w:vAlign w:val="center"/>
          </w:tcPr>
          <w:p>
            <w:r>
              <w:t>2100</w:t>
            </w:r>
          </w:p>
        </w:tc>
        <w:tc>
          <w:tcPr>
            <w:vAlign w:val="center"/>
          </w:tcPr>
          <w:p>
            <w:r>
              <w:t>6.93</w:t>
            </w:r>
          </w:p>
        </w:tc>
        <w:tc>
          <w:tcPr>
            <w:vAlign w:val="center"/>
          </w:tcPr>
          <w:p>
            <w: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c3621</w:t>
            </w:r>
          </w:p>
        </w:tc>
        <w:tc>
          <w:tcPr>
            <w:vAlign w:val="center"/>
          </w:tcPr>
          <w:p>
            <w:r>
              <w:t>3600</w:t>
            </w:r>
          </w:p>
        </w:tc>
        <w:tc>
          <w:tcPr>
            <w:vAlign w:val="center"/>
          </w:tcPr>
          <w:p>
            <w:r>
              <w:t>2100</w:t>
            </w:r>
          </w:p>
        </w:tc>
        <w:tc>
          <w:tcPr>
            <w:vAlign w:val="center"/>
          </w:tcPr>
          <w:p>
            <w:r>
              <w:t>7.56</w:t>
            </w:r>
          </w:p>
        </w:tc>
        <w:tc>
          <w:tcPr>
            <w:vAlign w:val="center"/>
          </w:tcPr>
          <w:p>
            <w: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d0924</w:t>
            </w:r>
          </w:p>
        </w:tc>
        <w:tc>
          <w:tcPr>
            <w:vAlign w:val="center"/>
          </w:tcPr>
          <w:p>
            <w:r>
              <w:t>900</w:t>
            </w:r>
          </w:p>
        </w:tc>
        <w:tc>
          <w:tcPr>
            <w:vAlign w:val="center"/>
          </w:tcPr>
          <w:p>
            <w:r>
              <w:t>2400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d2124</w:t>
            </w:r>
          </w:p>
        </w:tc>
        <w:tc>
          <w:tcPr>
            <w:vAlign w:val="center"/>
          </w:tcPr>
          <w:p>
            <w:r>
              <w:t>2100</w:t>
            </w:r>
          </w:p>
        </w:tc>
        <w:tc>
          <w:tcPr>
            <w:vAlign w:val="center"/>
          </w:tcPr>
          <w:p>
            <w:r>
              <w:t>2400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d2424</w:t>
            </w:r>
          </w:p>
        </w:tc>
        <w:tc>
          <w:tcPr>
            <w:vAlign w:val="center"/>
          </w:tcPr>
          <w:p>
            <w:r>
              <w:t>2400</w:t>
            </w:r>
          </w:p>
        </w:tc>
        <w:tc>
          <w:tcPr>
            <w:vAlign w:val="center"/>
          </w:tcPr>
          <w:p>
            <w:r>
              <w:t>2400</w:t>
            </w:r>
          </w:p>
        </w:tc>
        <w:tc>
          <w:tcPr>
            <w:vAlign w:val="center"/>
          </w:tcPr>
          <w:p>
            <w:r>
              <w:t>5.76</w:t>
            </w:r>
          </w:p>
        </w:tc>
        <w:tc>
          <w:tcPr>
            <w:vAlign w:val="center"/>
          </w:tcPr>
          <w:p>
            <w:r>
              <w:t>2</w:t>
            </w:r>
          </w:p>
        </w:tc>
      </w:tr>
    </w:tbl>
    <w:p>
      <w:pPr>
        <w:rPr>
          <w:lang w:val="en-US"/>
        </w:rPr>
      </w:pPr>
      <w:bookmarkStart w:id="39" w:name="门窗参数"/>
      <w:bookmarkEnd w:id="39"/>
    </w:p>
    <w:p>
      <w:pPr>
        <w:pStyle w:val="3"/>
        <w:jc w:val="center"/>
        <w:rPr>
          <w:sz w:val="18"/>
          <w:szCs w:val="18"/>
          <w:lang w:val="en-US"/>
        </w:rPr>
      </w:pPr>
    </w:p>
    <w:p>
      <w:pPr>
        <w:pStyle w:val="2"/>
        <w:ind w:left="432" w:hanging="432"/>
        <w:rPr>
          <w:rFonts w:ascii="微软雅黑" w:hAnsi="微软雅黑"/>
        </w:rPr>
      </w:pPr>
      <w:bookmarkStart w:id="40" w:name="_Toc427164156"/>
      <w:bookmarkStart w:id="41" w:name="_Toc9733"/>
      <w:r>
        <w:rPr>
          <w:rFonts w:hint="eastAsia" w:ascii="微软雅黑" w:hAnsi="微软雅黑"/>
        </w:rPr>
        <w:t>窗地比</w:t>
      </w:r>
      <w:bookmarkEnd w:id="40"/>
      <w:r>
        <w:rPr>
          <w:rFonts w:hint="eastAsia" w:ascii="微软雅黑" w:hAnsi="微软雅黑"/>
        </w:rPr>
        <w:t>结果</w:t>
      </w:r>
      <w:bookmarkEnd w:id="41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软件对</w:t>
      </w:r>
      <w:r>
        <w:rPr>
          <w:lang w:val="en-US"/>
        </w:rPr>
        <w:t>标准要求的功能房间</w:t>
      </w:r>
      <w:r>
        <w:rPr>
          <w:rFonts w:hint="eastAsia"/>
          <w:lang w:val="en-US"/>
        </w:rPr>
        <w:t>中</w:t>
      </w:r>
      <w:r>
        <w:rPr>
          <w:lang w:val="en-US"/>
        </w:rPr>
        <w:t>的窗面积和</w:t>
      </w:r>
      <w:r>
        <w:rPr>
          <w:rFonts w:hint="eastAsia"/>
          <w:lang w:val="en-US"/>
        </w:rPr>
        <w:t>房间</w:t>
      </w:r>
      <w:r>
        <w:rPr>
          <w:lang w:val="en-US"/>
        </w:rPr>
        <w:t>地</w:t>
      </w:r>
      <w:r>
        <w:rPr>
          <w:rFonts w:hint="eastAsia"/>
          <w:lang w:val="en-US"/>
        </w:rPr>
        <w:t>面</w:t>
      </w:r>
      <w:r>
        <w:rPr>
          <w:lang w:val="en-US"/>
        </w:rPr>
        <w:t>面积</w:t>
      </w:r>
      <w:r>
        <w:rPr>
          <w:rFonts w:hint="eastAsia"/>
          <w:lang w:val="en-US"/>
        </w:rPr>
        <w:t>进行</w:t>
      </w:r>
      <w:r>
        <w:rPr>
          <w:lang w:val="en-US"/>
        </w:rPr>
        <w:t>统计</w:t>
      </w:r>
      <w:r>
        <w:rPr>
          <w:rFonts w:hint="eastAsia"/>
          <w:lang w:val="en-US"/>
        </w:rPr>
        <w:t>，</w:t>
      </w:r>
      <w:r>
        <w:rPr>
          <w:lang w:val="en-US"/>
        </w:rPr>
        <w:t>对窗地比进行计算</w:t>
      </w:r>
      <w:r>
        <w:rPr>
          <w:rFonts w:hint="eastAsia"/>
          <w:lang w:val="en-US"/>
        </w:rPr>
        <w:t>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312"/>
        <w:gridCol w:w="904"/>
        <w:gridCol w:w="539"/>
        <w:gridCol w:w="519"/>
        <w:gridCol w:w="924"/>
        <w:gridCol w:w="38"/>
        <w:gridCol w:w="1216"/>
        <w:gridCol w:w="245"/>
        <w:gridCol w:w="971"/>
        <w:gridCol w:w="1060"/>
        <w:gridCol w:w="156"/>
        <w:gridCol w:w="1341"/>
        <w:gridCol w:w="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</w:t>
            </w:r>
            <w:r>
              <w:br w:type="textWrapping"/>
            </w:r>
            <w:r>
              <w:t>编号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采光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</w:t>
            </w:r>
            <w:r>
              <w:br w:type="textWrapping"/>
            </w:r>
            <w:r>
              <w:t>Ac（㎡）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地面积</w:t>
            </w:r>
            <w:r>
              <w:br w:type="textWrapping"/>
            </w:r>
            <w:r>
              <w:t>Ad（㎡）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窗地比</w:t>
            </w:r>
            <w:r>
              <w:br w:type="textWrapping"/>
            </w:r>
            <w:r>
              <w:t>Ac/Ad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1010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11.34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37.80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0.300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≥0.200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1011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7.56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37.80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0.200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≥0.200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1017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6.93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25.95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0.267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≥0.200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1018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混合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6.93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25.95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0.267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≥0.200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1019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6.00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25.95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0.231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≥0.200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1020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5.76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25.95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0.222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≥0.200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1021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5.76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25.95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0.222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≥0.200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1022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5.76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25.95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0.222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≥0.200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1024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混合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5.40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22.50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0.240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≥0.200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1025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混合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5.40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22.50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0.240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≥0.200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1026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3.99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8.05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0.496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≥0.200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1027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7.56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20.92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0.361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≥0.200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1028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7.56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20.92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0.361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≥0.200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1029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5.04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20.93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0.241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≥0.200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1030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5.04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20.93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0.241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≥0.200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1031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7.56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20.92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0.361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≥0.200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1032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7.56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20.93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0.361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≥0.200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1033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5.04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20.92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0.241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≥0.200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1034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7.56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20.93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0.361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≥0.200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1035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5.04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20.92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0.241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≥0.200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1036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7.56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20.93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0.361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≥0.200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1037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6.93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20.92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0.331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≥0.200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1038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6.93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20.92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0.331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≥0.200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1039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5.67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19.80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0.286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≥0.200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1042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7.92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17.82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0.444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≥0.200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1047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2.88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13.50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0.213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≥0.200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1062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3.15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7.20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0.437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≥0.200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1063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3.15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7.20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0.438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≥0.200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1065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2.52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7.20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0.350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≥0.200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1066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2.52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7.20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0.350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≥0.200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1067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2.52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7.20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0.350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≥0.200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1068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混合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3.18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7.20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t>0.442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≥0.200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gridSpan w:val="2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采光类型</w:t>
            </w:r>
          </w:p>
        </w:tc>
        <w:tc>
          <w:tcPr>
            <w:gridSpan w:val="2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房间数量</w:t>
            </w:r>
          </w:p>
        </w:tc>
        <w:tc>
          <w:tcPr>
            <w:gridSpan w:val="8"/>
            <w:shd w:val="clear" w:color="auto" w:fill="E6E6E6"/>
            <w:vAlign w:val="center"/>
          </w:tcPr>
          <w:p>
            <w:pPr>
              <w:jc w:val="center"/>
            </w:pPr>
            <w:r>
              <w:t>区间内房间数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gridSpan w:val="2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gridSpan w:val="2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Ac/Ad＜1/6*K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1/6*K＜Ac/Ad≤1/5*K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1/5*K≤Ac/Ad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r>
              <w:t>起居室</w:t>
            </w:r>
          </w:p>
        </w:tc>
        <w:tc>
          <w:tcPr>
            <w:gridSpan w:val="2"/>
            <w:vAlign w:val="center"/>
          </w:tcPr>
          <w:p>
            <w:r>
              <w:t>侧面</w:t>
            </w:r>
          </w:p>
        </w:tc>
        <w:tc>
          <w:tcPr>
            <w:gridSpan w:val="2"/>
            <w:vAlign w:val="center"/>
          </w:tcPr>
          <w:p>
            <w:r>
              <w:t>17</w:t>
            </w:r>
          </w:p>
        </w:tc>
        <w:tc>
          <w:tcPr>
            <w:gridSpan w:val="3"/>
            <w:vAlign w:val="center"/>
          </w:tcPr>
          <w:p>
            <w:r>
              <w:t>0</w:t>
            </w:r>
          </w:p>
        </w:tc>
        <w:tc>
          <w:tcPr>
            <w:gridSpan w:val="2"/>
            <w:vAlign w:val="center"/>
          </w:tcPr>
          <w:p>
            <w:r>
              <w:t>0</w:t>
            </w:r>
          </w:p>
        </w:tc>
        <w:tc>
          <w:tcPr>
            <w:gridSpan w:val="3"/>
            <w:vAlign w:val="center"/>
          </w:tcPr>
          <w:p>
            <w:r>
              <w:t>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r>
              <w:t>卧室</w:t>
            </w:r>
          </w:p>
        </w:tc>
        <w:tc>
          <w:tcPr>
            <w:gridSpan w:val="2"/>
            <w:vAlign w:val="center"/>
          </w:tcPr>
          <w:p>
            <w:r>
              <w:t>侧面</w:t>
            </w:r>
          </w:p>
        </w:tc>
        <w:tc>
          <w:tcPr>
            <w:gridSpan w:val="2"/>
            <w:vAlign w:val="center"/>
          </w:tcPr>
          <w:p>
            <w:r>
              <w:t>11</w:t>
            </w:r>
          </w:p>
        </w:tc>
        <w:tc>
          <w:tcPr>
            <w:gridSpan w:val="3"/>
            <w:vAlign w:val="center"/>
          </w:tcPr>
          <w:p>
            <w:r>
              <w:t>0</w:t>
            </w:r>
          </w:p>
        </w:tc>
        <w:tc>
          <w:tcPr>
            <w:gridSpan w:val="2"/>
            <w:vAlign w:val="center"/>
          </w:tcPr>
          <w:p>
            <w:r>
              <w:t>0</w:t>
            </w:r>
          </w:p>
        </w:tc>
        <w:tc>
          <w:tcPr>
            <w:gridSpan w:val="3"/>
            <w:vAlign w:val="center"/>
          </w:tcPr>
          <w:p>
            <w:r>
              <w:t>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r>
              <w:t>卧室</w:t>
            </w:r>
          </w:p>
        </w:tc>
        <w:tc>
          <w:tcPr>
            <w:gridSpan w:val="2"/>
            <w:vAlign w:val="center"/>
          </w:tcPr>
          <w:p>
            <w:r>
              <w:t>混合</w:t>
            </w:r>
          </w:p>
        </w:tc>
        <w:tc>
          <w:tcPr>
            <w:gridSpan w:val="2"/>
            <w:vAlign w:val="center"/>
          </w:tcPr>
          <w:p>
            <w:r>
              <w:t>1</w:t>
            </w:r>
          </w:p>
        </w:tc>
        <w:tc>
          <w:tcPr>
            <w:gridSpan w:val="3"/>
            <w:vAlign w:val="center"/>
          </w:tcPr>
          <w:p>
            <w:r>
              <w:t>0</w:t>
            </w:r>
          </w:p>
        </w:tc>
        <w:tc>
          <w:tcPr>
            <w:gridSpan w:val="2"/>
            <w:vAlign w:val="center"/>
          </w:tcPr>
          <w:p>
            <w:r>
              <w:t>0</w:t>
            </w:r>
          </w:p>
        </w:tc>
        <w:tc>
          <w:tcPr>
            <w:gridSpan w:val="3"/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r>
              <w:t>起居室</w:t>
            </w:r>
          </w:p>
        </w:tc>
        <w:tc>
          <w:tcPr>
            <w:gridSpan w:val="2"/>
            <w:vAlign w:val="center"/>
          </w:tcPr>
          <w:p>
            <w:r>
              <w:t>混合</w:t>
            </w:r>
          </w:p>
        </w:tc>
        <w:tc>
          <w:tcPr>
            <w:gridSpan w:val="2"/>
            <w:vAlign w:val="center"/>
          </w:tcPr>
          <w:p>
            <w:r>
              <w:t>3</w:t>
            </w:r>
          </w:p>
        </w:tc>
        <w:tc>
          <w:tcPr>
            <w:gridSpan w:val="3"/>
            <w:vAlign w:val="center"/>
          </w:tcPr>
          <w:p>
            <w:r>
              <w:t>0</w:t>
            </w:r>
          </w:p>
        </w:tc>
        <w:tc>
          <w:tcPr>
            <w:gridSpan w:val="2"/>
            <w:vAlign w:val="center"/>
          </w:tcPr>
          <w:p>
            <w:r>
              <w:t>0</w:t>
            </w:r>
          </w:p>
        </w:tc>
        <w:tc>
          <w:tcPr>
            <w:gridSpan w:val="3"/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合计</w:t>
            </w:r>
          </w:p>
        </w:tc>
        <w:tc>
          <w:tcPr>
            <w:gridSpan w:val="2"/>
            <w:vAlign w:val="center"/>
          </w:tcPr>
          <w:p>
            <w:r>
              <w:t>32</w:t>
            </w:r>
          </w:p>
        </w:tc>
        <w:tc>
          <w:tcPr>
            <w:gridSpan w:val="3"/>
            <w:vAlign w:val="center"/>
          </w:tcPr>
          <w:p>
            <w:r>
              <w:t>0</w:t>
            </w:r>
          </w:p>
        </w:tc>
        <w:tc>
          <w:tcPr>
            <w:gridSpan w:val="2"/>
            <w:vAlign w:val="center"/>
          </w:tcPr>
          <w:p>
            <w:r>
              <w:t>0</w:t>
            </w:r>
          </w:p>
        </w:tc>
        <w:tc>
          <w:tcPr>
            <w:gridSpan w:val="3"/>
            <w:vAlign w:val="center"/>
          </w:tcPr>
          <w:p>
            <w:r>
              <w:t>32</w:t>
            </w:r>
          </w:p>
        </w:tc>
      </w:tr>
    </w:tbl>
    <w:p>
      <w:pPr>
        <w:rPr>
          <w:szCs w:val="18"/>
          <w:lang w:val="en-US"/>
        </w:rPr>
      </w:pPr>
      <w:bookmarkStart w:id="42" w:name="绿标窗地比"/>
      <w:bookmarkEnd w:id="42"/>
    </w:p>
    <w:p>
      <w:pPr>
        <w:pStyle w:val="3"/>
        <w:ind w:firstLine="420"/>
        <w:rPr>
          <w:lang w:val="en-US"/>
        </w:rPr>
      </w:pPr>
    </w:p>
    <w:p>
      <w:pPr>
        <w:pStyle w:val="2"/>
        <w:ind w:left="432" w:hanging="432"/>
      </w:pPr>
      <w:bookmarkStart w:id="43" w:name="_Toc20869"/>
      <w:r>
        <w:rPr>
          <w:rFonts w:hint="eastAsia"/>
        </w:rPr>
        <w:t>评价结论</w:t>
      </w:r>
      <w:bookmarkEnd w:id="43"/>
    </w:p>
    <w:p>
      <w:pPr>
        <w:pStyle w:val="3"/>
        <w:ind w:firstLine="420" w:firstLineChars="200"/>
      </w:pPr>
      <w:r>
        <w:t>根据《绿色建筑评价标准》GB/T 50378-2014的8.2.6条款</w:t>
      </w:r>
      <w:r>
        <w:rPr>
          <w:rFonts w:hint="eastAsia"/>
        </w:rPr>
        <w:t>要求</w:t>
      </w:r>
      <w:r>
        <w:t>，</w:t>
      </w:r>
      <w:r>
        <w:rPr>
          <w:rFonts w:hint="eastAsia"/>
        </w:rPr>
        <w:t>对</w:t>
      </w:r>
      <w:r>
        <w:t>该居住建筑主要功能房间窗地面积比</w:t>
      </w:r>
      <w:r>
        <w:rPr>
          <w:rFonts w:hint="eastAsia"/>
        </w:rPr>
        <w:t>情况进行</w:t>
      </w:r>
      <w:r>
        <w:t>分析，评价</w:t>
      </w:r>
      <w:r>
        <w:rPr>
          <w:rFonts w:hint="eastAsia"/>
        </w:rPr>
        <w:t>结果</w:t>
      </w:r>
      <w:r>
        <w:t>如下：</w:t>
      </w:r>
    </w:p>
    <w:tbl>
      <w:tblPr>
        <w:tblStyle w:val="19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842"/>
        <w:gridCol w:w="2552"/>
        <w:gridCol w:w="18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61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rPr>
                <w:kern w:val="2"/>
                <w:szCs w:val="22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3339" w:type="pct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E6E6E6"/>
            <w:vAlign w:val="center"/>
          </w:tcPr>
          <w:p>
            <w:pPr>
              <w:rPr>
                <w:kern w:val="2"/>
                <w:szCs w:val="22"/>
              </w:rPr>
            </w:pPr>
            <w:r>
              <w:rPr>
                <w:rFonts w:hint="eastAsia"/>
              </w:rPr>
              <w:t>区间内房间数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2"/>
                <w:szCs w:val="22"/>
              </w:rPr>
            </w:pP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rPr>
                <w:kern w:val="2"/>
                <w:szCs w:val="22"/>
              </w:rPr>
            </w:pPr>
            <w:bookmarkStart w:id="44" w:name="窗地比区间1"/>
            <w:r>
              <w:rPr>
                <w:rFonts w:hint="eastAsia"/>
              </w:rPr>
              <w:t>Ac/Ad＜1/6*K</w:t>
            </w:r>
            <w:bookmarkEnd w:id="44"/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rPr>
                <w:kern w:val="2"/>
                <w:szCs w:val="22"/>
              </w:rPr>
            </w:pPr>
            <w:bookmarkStart w:id="45" w:name="窗地比区间2"/>
            <w:r>
              <w:t>1/6*K＜Ac/Ad≤1/5*K</w:t>
            </w:r>
            <w:bookmarkEnd w:id="45"/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E6E6E6"/>
            <w:vAlign w:val="center"/>
          </w:tcPr>
          <w:p>
            <w:pPr>
              <w:rPr>
                <w:kern w:val="2"/>
                <w:szCs w:val="22"/>
              </w:rPr>
            </w:pPr>
            <w:bookmarkStart w:id="46" w:name="窗地比区间3"/>
            <w:r>
              <w:t>1/5*K≤Ac/Ad</w:t>
            </w:r>
            <w:bookmarkEnd w:id="4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61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2"/>
                <w:szCs w:val="22"/>
              </w:rPr>
            </w:pPr>
            <w:r>
              <w:rPr>
                <w:rFonts w:hint="eastAsia"/>
              </w:rPr>
              <w:t>房间数量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2"/>
                <w:szCs w:val="22"/>
              </w:rPr>
            </w:pPr>
            <w:bookmarkStart w:id="47" w:name="窗地比区间1房间数"/>
            <w:r>
              <w:rPr>
                <w:rFonts w:hint="eastAsia"/>
              </w:rPr>
              <w:t>0</w:t>
            </w:r>
            <w:bookmarkEnd w:id="47"/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2"/>
                <w:szCs w:val="22"/>
              </w:rPr>
            </w:pPr>
            <w:bookmarkStart w:id="48" w:name="窗地比区间2房间数"/>
            <w:r>
              <w:rPr>
                <w:rFonts w:hint="eastAsia"/>
              </w:rPr>
              <w:t>0</w:t>
            </w:r>
            <w:bookmarkEnd w:id="48"/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kern w:val="2"/>
                <w:szCs w:val="22"/>
              </w:rPr>
            </w:pPr>
            <w:bookmarkStart w:id="49" w:name="窗地比区间3房间数"/>
            <w:r>
              <w:rPr>
                <w:rFonts w:hint="eastAsia"/>
              </w:rPr>
              <w:t>32</w:t>
            </w:r>
            <w:bookmarkEnd w:id="4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得分</w:t>
            </w:r>
          </w:p>
        </w:tc>
        <w:tc>
          <w:tcPr>
            <w:tcW w:w="33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bookmarkStart w:id="50" w:name="窗地比得分"/>
            <w:r>
              <w:rPr>
                <w:rFonts w:hint="eastAsia"/>
              </w:rPr>
              <w:t>8</w:t>
            </w:r>
            <w:bookmarkEnd w:id="50"/>
            <w:r>
              <w:rPr>
                <w:rFonts w:hint="eastAsia"/>
              </w:rPr>
              <w:t>分</w:t>
            </w:r>
          </w:p>
        </w:tc>
      </w:tr>
    </w:tbl>
    <w:p>
      <w:pPr>
        <w:pStyle w:val="3"/>
        <w:spacing w:line="360" w:lineRule="auto"/>
        <w:outlineLvl w:val="0"/>
        <w:rPr>
          <w:rFonts w:ascii="宋体" w:hAnsi="宋体"/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enter" w:pos="4535"/>
        <w:tab w:val="right" w:pos="9070"/>
        <w:tab w:val="clear" w:pos="4153"/>
        <w:tab w:val="clear" w:pos="8306"/>
      </w:tabs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4"/>
        <w:u w:val="none"/>
      </w:rPr>
      <w:t>http://www.gbsware.cn/</w:t>
    </w:r>
    <w:r>
      <w:rPr>
        <w:rStyle w:val="24"/>
        <w:u w:val="none"/>
      </w:rPr>
      <w:fldChar w:fldCharType="end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4</w:t>
    </w:r>
    <w:r>
      <w:fldChar w:fldCharType="end"/>
    </w:r>
    <w:r>
      <w:rPr>
        <w:b/>
      </w:rP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5</w:t>
    </w:r>
    <w:r>
      <w:fldChar w:fldCharType="end"/>
    </w:r>
    <w:r>
      <w:tab/>
    </w:r>
    <w:r>
      <w:t>D</w:t>
    </w:r>
    <w:r>
      <w:rPr>
        <w:rFonts w:hint="eastAsia"/>
      </w:rPr>
      <w:t>ali</w:t>
    </w:r>
    <w:r>
      <w:t xml:space="preserve"> </w:t>
    </w:r>
  </w:p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2"/>
      </w:pBdr>
      <w:jc w:val="left"/>
    </w:pPr>
    <w:r>
      <w:rPr>
        <w:lang w:val="en-US"/>
      </w:rPr>
      <w:drawing>
        <wp:inline distT="0" distB="0" distL="114300" distR="114300">
          <wp:extent cx="971550" cy="257175"/>
          <wp:effectExtent l="0" t="0" r="3810" b="1905"/>
          <wp:docPr id="1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5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</w:t>
    </w:r>
    <w:r>
      <w:t xml:space="preserve">                                               </w:t>
    </w:r>
    <w:r>
      <w:rPr>
        <w:rFonts w:hint="eastAsia"/>
      </w:rPr>
      <w:t>居住</w:t>
    </w:r>
    <w:r>
      <w:t>建筑窗地面积</w:t>
    </w:r>
    <w:r>
      <w:rPr>
        <w:rFonts w:hint="eastAsia"/>
      </w:rPr>
      <w:t>比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17B47F0B"/>
    <w:multiLevelType w:val="multilevel"/>
    <w:tmpl w:val="17B47F0B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5CF318B"/>
    <w:multiLevelType w:val="multilevel"/>
    <w:tmpl w:val="55CF318B"/>
    <w:lvl w:ilvl="0" w:tentative="0">
      <w:start w:val="1"/>
      <w:numFmt w:val="bullet"/>
      <w:lvlText w:val="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M2QzY2Q3M2Y4M2I4MjM3NDI5MmNkZTgzNzFjNTEifQ=="/>
  </w:docVars>
  <w:rsids>
    <w:rsidRoot w:val="547471FE"/>
    <w:rsid w:val="00015278"/>
    <w:rsid w:val="00022F54"/>
    <w:rsid w:val="00022FE4"/>
    <w:rsid w:val="0003015C"/>
    <w:rsid w:val="0003718D"/>
    <w:rsid w:val="00037A4C"/>
    <w:rsid w:val="000431C3"/>
    <w:rsid w:val="00045796"/>
    <w:rsid w:val="00047BEF"/>
    <w:rsid w:val="00047D27"/>
    <w:rsid w:val="00060BD8"/>
    <w:rsid w:val="000631B3"/>
    <w:rsid w:val="00064057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6EC"/>
    <w:rsid w:val="00094B16"/>
    <w:rsid w:val="0009672C"/>
    <w:rsid w:val="0009772D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E3005"/>
    <w:rsid w:val="000F1573"/>
    <w:rsid w:val="000F48FD"/>
    <w:rsid w:val="000F7EF2"/>
    <w:rsid w:val="000F7FEF"/>
    <w:rsid w:val="00101764"/>
    <w:rsid w:val="0010266A"/>
    <w:rsid w:val="001037D7"/>
    <w:rsid w:val="00105DF2"/>
    <w:rsid w:val="001104AC"/>
    <w:rsid w:val="00110A51"/>
    <w:rsid w:val="00111340"/>
    <w:rsid w:val="00112680"/>
    <w:rsid w:val="001146C5"/>
    <w:rsid w:val="00117919"/>
    <w:rsid w:val="00122AE1"/>
    <w:rsid w:val="00136510"/>
    <w:rsid w:val="00141170"/>
    <w:rsid w:val="00145EBC"/>
    <w:rsid w:val="00145FA8"/>
    <w:rsid w:val="001463F5"/>
    <w:rsid w:val="0014776A"/>
    <w:rsid w:val="00150077"/>
    <w:rsid w:val="001511F2"/>
    <w:rsid w:val="00152AD1"/>
    <w:rsid w:val="001549CD"/>
    <w:rsid w:val="00170E95"/>
    <w:rsid w:val="0017134B"/>
    <w:rsid w:val="00180509"/>
    <w:rsid w:val="00180537"/>
    <w:rsid w:val="001811B7"/>
    <w:rsid w:val="00191705"/>
    <w:rsid w:val="00195963"/>
    <w:rsid w:val="001A213A"/>
    <w:rsid w:val="001A3A15"/>
    <w:rsid w:val="001A47EB"/>
    <w:rsid w:val="001B3E00"/>
    <w:rsid w:val="001B6E89"/>
    <w:rsid w:val="001D49B5"/>
    <w:rsid w:val="001D7C6B"/>
    <w:rsid w:val="001E049F"/>
    <w:rsid w:val="001E157B"/>
    <w:rsid w:val="001E32B4"/>
    <w:rsid w:val="002005F2"/>
    <w:rsid w:val="00201BD9"/>
    <w:rsid w:val="002038AE"/>
    <w:rsid w:val="00203A7D"/>
    <w:rsid w:val="00204341"/>
    <w:rsid w:val="00204D80"/>
    <w:rsid w:val="0022062D"/>
    <w:rsid w:val="002229C1"/>
    <w:rsid w:val="00224948"/>
    <w:rsid w:val="00241D4E"/>
    <w:rsid w:val="00242864"/>
    <w:rsid w:val="002442BB"/>
    <w:rsid w:val="00244792"/>
    <w:rsid w:val="0025362B"/>
    <w:rsid w:val="002555B8"/>
    <w:rsid w:val="00262B68"/>
    <w:rsid w:val="0027073D"/>
    <w:rsid w:val="00283BF0"/>
    <w:rsid w:val="002933AC"/>
    <w:rsid w:val="00294F67"/>
    <w:rsid w:val="00294F7E"/>
    <w:rsid w:val="002A2F2E"/>
    <w:rsid w:val="002A3037"/>
    <w:rsid w:val="002A7369"/>
    <w:rsid w:val="002A79FB"/>
    <w:rsid w:val="002B2590"/>
    <w:rsid w:val="002B7899"/>
    <w:rsid w:val="002C17A2"/>
    <w:rsid w:val="002C62E3"/>
    <w:rsid w:val="002D2BBC"/>
    <w:rsid w:val="002E5393"/>
    <w:rsid w:val="002E574B"/>
    <w:rsid w:val="002E7C19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43D9E"/>
    <w:rsid w:val="0035421F"/>
    <w:rsid w:val="00355840"/>
    <w:rsid w:val="00356224"/>
    <w:rsid w:val="0036330B"/>
    <w:rsid w:val="003642AC"/>
    <w:rsid w:val="00370E69"/>
    <w:rsid w:val="00380AAF"/>
    <w:rsid w:val="00390063"/>
    <w:rsid w:val="00390296"/>
    <w:rsid w:val="00391613"/>
    <w:rsid w:val="00393106"/>
    <w:rsid w:val="003964EA"/>
    <w:rsid w:val="003A2B52"/>
    <w:rsid w:val="003A2CE1"/>
    <w:rsid w:val="003A3E76"/>
    <w:rsid w:val="003A5353"/>
    <w:rsid w:val="003B1331"/>
    <w:rsid w:val="003C056D"/>
    <w:rsid w:val="003C5FD5"/>
    <w:rsid w:val="003C61FC"/>
    <w:rsid w:val="003D0076"/>
    <w:rsid w:val="003D07EF"/>
    <w:rsid w:val="003D11B4"/>
    <w:rsid w:val="003D1FC7"/>
    <w:rsid w:val="003D5C64"/>
    <w:rsid w:val="003F27D2"/>
    <w:rsid w:val="003F60B9"/>
    <w:rsid w:val="003F66A9"/>
    <w:rsid w:val="00400053"/>
    <w:rsid w:val="0040698B"/>
    <w:rsid w:val="00406B01"/>
    <w:rsid w:val="00413082"/>
    <w:rsid w:val="004140D8"/>
    <w:rsid w:val="00420487"/>
    <w:rsid w:val="00420DBF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54EC9"/>
    <w:rsid w:val="00455D17"/>
    <w:rsid w:val="0047172C"/>
    <w:rsid w:val="004732C6"/>
    <w:rsid w:val="0047512A"/>
    <w:rsid w:val="004839C8"/>
    <w:rsid w:val="00486B69"/>
    <w:rsid w:val="00486F6E"/>
    <w:rsid w:val="0049058C"/>
    <w:rsid w:val="00492A5F"/>
    <w:rsid w:val="004A008B"/>
    <w:rsid w:val="004A5301"/>
    <w:rsid w:val="004D230F"/>
    <w:rsid w:val="004D239D"/>
    <w:rsid w:val="004D449D"/>
    <w:rsid w:val="004D4831"/>
    <w:rsid w:val="004E320A"/>
    <w:rsid w:val="004E5DEA"/>
    <w:rsid w:val="004F181A"/>
    <w:rsid w:val="004F2B43"/>
    <w:rsid w:val="00504F54"/>
    <w:rsid w:val="005051EB"/>
    <w:rsid w:val="00507065"/>
    <w:rsid w:val="0051542F"/>
    <w:rsid w:val="0051646C"/>
    <w:rsid w:val="005215FB"/>
    <w:rsid w:val="00521623"/>
    <w:rsid w:val="00525FEB"/>
    <w:rsid w:val="00531BC0"/>
    <w:rsid w:val="00540B17"/>
    <w:rsid w:val="0054304B"/>
    <w:rsid w:val="005430C1"/>
    <w:rsid w:val="005438CC"/>
    <w:rsid w:val="005449BD"/>
    <w:rsid w:val="00547052"/>
    <w:rsid w:val="00553946"/>
    <w:rsid w:val="00555634"/>
    <w:rsid w:val="00555EF2"/>
    <w:rsid w:val="00560CD5"/>
    <w:rsid w:val="00562B4A"/>
    <w:rsid w:val="00567DFC"/>
    <w:rsid w:val="00570A92"/>
    <w:rsid w:val="005755BA"/>
    <w:rsid w:val="00580CDE"/>
    <w:rsid w:val="00584084"/>
    <w:rsid w:val="00591D7B"/>
    <w:rsid w:val="005927FC"/>
    <w:rsid w:val="00594914"/>
    <w:rsid w:val="00595E32"/>
    <w:rsid w:val="005A0064"/>
    <w:rsid w:val="005B0295"/>
    <w:rsid w:val="005B290E"/>
    <w:rsid w:val="005B370C"/>
    <w:rsid w:val="005C1293"/>
    <w:rsid w:val="005C5E53"/>
    <w:rsid w:val="005D14F5"/>
    <w:rsid w:val="005D6617"/>
    <w:rsid w:val="005E5442"/>
    <w:rsid w:val="005E5D67"/>
    <w:rsid w:val="005E6722"/>
    <w:rsid w:val="005E6DB2"/>
    <w:rsid w:val="005F5BA5"/>
    <w:rsid w:val="005F76EF"/>
    <w:rsid w:val="0060385C"/>
    <w:rsid w:val="00603BD9"/>
    <w:rsid w:val="0061137B"/>
    <w:rsid w:val="00611A83"/>
    <w:rsid w:val="006142C8"/>
    <w:rsid w:val="00616D08"/>
    <w:rsid w:val="00617087"/>
    <w:rsid w:val="006170E1"/>
    <w:rsid w:val="00617F56"/>
    <w:rsid w:val="0062034E"/>
    <w:rsid w:val="0062232E"/>
    <w:rsid w:val="006240DC"/>
    <w:rsid w:val="00652934"/>
    <w:rsid w:val="006544F4"/>
    <w:rsid w:val="006677F4"/>
    <w:rsid w:val="00670B60"/>
    <w:rsid w:val="0067635E"/>
    <w:rsid w:val="00681C5E"/>
    <w:rsid w:val="00683C72"/>
    <w:rsid w:val="00691729"/>
    <w:rsid w:val="00694FCA"/>
    <w:rsid w:val="00696156"/>
    <w:rsid w:val="006B628D"/>
    <w:rsid w:val="006C2054"/>
    <w:rsid w:val="006C31C0"/>
    <w:rsid w:val="006E124F"/>
    <w:rsid w:val="006E2DB9"/>
    <w:rsid w:val="006E4125"/>
    <w:rsid w:val="006F1E82"/>
    <w:rsid w:val="006F480A"/>
    <w:rsid w:val="006F6958"/>
    <w:rsid w:val="0070016E"/>
    <w:rsid w:val="00700961"/>
    <w:rsid w:val="00704059"/>
    <w:rsid w:val="007100B1"/>
    <w:rsid w:val="00710AAA"/>
    <w:rsid w:val="00716859"/>
    <w:rsid w:val="00720044"/>
    <w:rsid w:val="00720CD9"/>
    <w:rsid w:val="00722CF6"/>
    <w:rsid w:val="007250A6"/>
    <w:rsid w:val="0074389B"/>
    <w:rsid w:val="00760461"/>
    <w:rsid w:val="0076205C"/>
    <w:rsid w:val="0078389D"/>
    <w:rsid w:val="00784B44"/>
    <w:rsid w:val="007859D0"/>
    <w:rsid w:val="007A2481"/>
    <w:rsid w:val="007A2817"/>
    <w:rsid w:val="007A7DF0"/>
    <w:rsid w:val="007B7859"/>
    <w:rsid w:val="007C324F"/>
    <w:rsid w:val="007D2688"/>
    <w:rsid w:val="007E0DA0"/>
    <w:rsid w:val="007E39A8"/>
    <w:rsid w:val="007E3D1F"/>
    <w:rsid w:val="007F09EA"/>
    <w:rsid w:val="007F4E56"/>
    <w:rsid w:val="00800F96"/>
    <w:rsid w:val="00801632"/>
    <w:rsid w:val="008060C3"/>
    <w:rsid w:val="00806523"/>
    <w:rsid w:val="00810B33"/>
    <w:rsid w:val="00815480"/>
    <w:rsid w:val="0083639A"/>
    <w:rsid w:val="00837670"/>
    <w:rsid w:val="00840D90"/>
    <w:rsid w:val="008439F8"/>
    <w:rsid w:val="00850136"/>
    <w:rsid w:val="0085014F"/>
    <w:rsid w:val="008704AB"/>
    <w:rsid w:val="00871FC0"/>
    <w:rsid w:val="0087441B"/>
    <w:rsid w:val="00883D6C"/>
    <w:rsid w:val="00892594"/>
    <w:rsid w:val="008A1241"/>
    <w:rsid w:val="008A54A0"/>
    <w:rsid w:val="008A6504"/>
    <w:rsid w:val="008B0CA0"/>
    <w:rsid w:val="008C1297"/>
    <w:rsid w:val="008C66D5"/>
    <w:rsid w:val="008D31F9"/>
    <w:rsid w:val="008D35DA"/>
    <w:rsid w:val="008D4BEC"/>
    <w:rsid w:val="008D7168"/>
    <w:rsid w:val="008F0010"/>
    <w:rsid w:val="008F5BF5"/>
    <w:rsid w:val="0090340B"/>
    <w:rsid w:val="00905F94"/>
    <w:rsid w:val="00906259"/>
    <w:rsid w:val="00925FCF"/>
    <w:rsid w:val="009363FF"/>
    <w:rsid w:val="0095123C"/>
    <w:rsid w:val="0096074B"/>
    <w:rsid w:val="00965A34"/>
    <w:rsid w:val="00973452"/>
    <w:rsid w:val="00975F79"/>
    <w:rsid w:val="0098285F"/>
    <w:rsid w:val="00990F63"/>
    <w:rsid w:val="00991801"/>
    <w:rsid w:val="00992A94"/>
    <w:rsid w:val="00993CF2"/>
    <w:rsid w:val="009A15B5"/>
    <w:rsid w:val="009A1EA3"/>
    <w:rsid w:val="009A6B0F"/>
    <w:rsid w:val="009B0C40"/>
    <w:rsid w:val="009C4AE6"/>
    <w:rsid w:val="009D244A"/>
    <w:rsid w:val="009D4733"/>
    <w:rsid w:val="009D57E6"/>
    <w:rsid w:val="009D5AAC"/>
    <w:rsid w:val="009E6B81"/>
    <w:rsid w:val="009E75F0"/>
    <w:rsid w:val="009F5016"/>
    <w:rsid w:val="009F5A35"/>
    <w:rsid w:val="009F7C95"/>
    <w:rsid w:val="00A0525F"/>
    <w:rsid w:val="00A12783"/>
    <w:rsid w:val="00A177A6"/>
    <w:rsid w:val="00A32590"/>
    <w:rsid w:val="00A355BD"/>
    <w:rsid w:val="00A357F7"/>
    <w:rsid w:val="00A47443"/>
    <w:rsid w:val="00A47585"/>
    <w:rsid w:val="00A57E38"/>
    <w:rsid w:val="00A60B63"/>
    <w:rsid w:val="00A61068"/>
    <w:rsid w:val="00A6289C"/>
    <w:rsid w:val="00A71CD3"/>
    <w:rsid w:val="00A73DF3"/>
    <w:rsid w:val="00A86476"/>
    <w:rsid w:val="00A90BB1"/>
    <w:rsid w:val="00A920E8"/>
    <w:rsid w:val="00A92636"/>
    <w:rsid w:val="00A95E06"/>
    <w:rsid w:val="00A972F1"/>
    <w:rsid w:val="00AA47FE"/>
    <w:rsid w:val="00AA7D07"/>
    <w:rsid w:val="00AB1AE2"/>
    <w:rsid w:val="00AB5182"/>
    <w:rsid w:val="00AB5572"/>
    <w:rsid w:val="00AD0888"/>
    <w:rsid w:val="00AD520D"/>
    <w:rsid w:val="00AE206F"/>
    <w:rsid w:val="00AF050E"/>
    <w:rsid w:val="00AF0542"/>
    <w:rsid w:val="00AF06AD"/>
    <w:rsid w:val="00B00FFB"/>
    <w:rsid w:val="00B049EF"/>
    <w:rsid w:val="00B11FD8"/>
    <w:rsid w:val="00B157BB"/>
    <w:rsid w:val="00B3131F"/>
    <w:rsid w:val="00B364B6"/>
    <w:rsid w:val="00B41640"/>
    <w:rsid w:val="00B55B22"/>
    <w:rsid w:val="00B60841"/>
    <w:rsid w:val="00B70998"/>
    <w:rsid w:val="00B774E4"/>
    <w:rsid w:val="00B85735"/>
    <w:rsid w:val="00B86B1C"/>
    <w:rsid w:val="00B950DF"/>
    <w:rsid w:val="00BA12CD"/>
    <w:rsid w:val="00BA4C10"/>
    <w:rsid w:val="00BB3B23"/>
    <w:rsid w:val="00BB64F7"/>
    <w:rsid w:val="00BD47A9"/>
    <w:rsid w:val="00BD693F"/>
    <w:rsid w:val="00BD7DD2"/>
    <w:rsid w:val="00BE118E"/>
    <w:rsid w:val="00BE18AD"/>
    <w:rsid w:val="00BE4583"/>
    <w:rsid w:val="00BF3074"/>
    <w:rsid w:val="00BF5975"/>
    <w:rsid w:val="00C00992"/>
    <w:rsid w:val="00C02ABE"/>
    <w:rsid w:val="00C127CA"/>
    <w:rsid w:val="00C257AB"/>
    <w:rsid w:val="00C3168B"/>
    <w:rsid w:val="00C31D17"/>
    <w:rsid w:val="00C33D67"/>
    <w:rsid w:val="00C35E26"/>
    <w:rsid w:val="00C37F41"/>
    <w:rsid w:val="00C44808"/>
    <w:rsid w:val="00C45C1D"/>
    <w:rsid w:val="00C52CCB"/>
    <w:rsid w:val="00C56EF0"/>
    <w:rsid w:val="00C60B76"/>
    <w:rsid w:val="00C63237"/>
    <w:rsid w:val="00C67778"/>
    <w:rsid w:val="00C677CE"/>
    <w:rsid w:val="00C72CFF"/>
    <w:rsid w:val="00C8032E"/>
    <w:rsid w:val="00C832CC"/>
    <w:rsid w:val="00C851CF"/>
    <w:rsid w:val="00C85350"/>
    <w:rsid w:val="00C855E5"/>
    <w:rsid w:val="00C95C03"/>
    <w:rsid w:val="00C9765F"/>
    <w:rsid w:val="00C97E25"/>
    <w:rsid w:val="00CA7AE3"/>
    <w:rsid w:val="00CB6248"/>
    <w:rsid w:val="00CC196B"/>
    <w:rsid w:val="00CC6133"/>
    <w:rsid w:val="00CC74BC"/>
    <w:rsid w:val="00CD01C9"/>
    <w:rsid w:val="00CD4869"/>
    <w:rsid w:val="00CE28AA"/>
    <w:rsid w:val="00CE5E9D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60976"/>
    <w:rsid w:val="00D62634"/>
    <w:rsid w:val="00D62A9A"/>
    <w:rsid w:val="00D65949"/>
    <w:rsid w:val="00D73139"/>
    <w:rsid w:val="00D74281"/>
    <w:rsid w:val="00D80C28"/>
    <w:rsid w:val="00D85296"/>
    <w:rsid w:val="00D85A78"/>
    <w:rsid w:val="00DA543D"/>
    <w:rsid w:val="00DB1F7E"/>
    <w:rsid w:val="00DB29C3"/>
    <w:rsid w:val="00DC08B7"/>
    <w:rsid w:val="00DC73AD"/>
    <w:rsid w:val="00DD33B1"/>
    <w:rsid w:val="00DD3C92"/>
    <w:rsid w:val="00DD56FC"/>
    <w:rsid w:val="00DE15EB"/>
    <w:rsid w:val="00DE39CD"/>
    <w:rsid w:val="00DE7EA5"/>
    <w:rsid w:val="00DF470C"/>
    <w:rsid w:val="00DF7D67"/>
    <w:rsid w:val="00E04BB6"/>
    <w:rsid w:val="00E12326"/>
    <w:rsid w:val="00E125AE"/>
    <w:rsid w:val="00E12AD1"/>
    <w:rsid w:val="00E17240"/>
    <w:rsid w:val="00E17F17"/>
    <w:rsid w:val="00E200C4"/>
    <w:rsid w:val="00E22381"/>
    <w:rsid w:val="00E23D22"/>
    <w:rsid w:val="00E24572"/>
    <w:rsid w:val="00E278C1"/>
    <w:rsid w:val="00E341D6"/>
    <w:rsid w:val="00E34789"/>
    <w:rsid w:val="00E3796F"/>
    <w:rsid w:val="00E50FE4"/>
    <w:rsid w:val="00E55FF6"/>
    <w:rsid w:val="00E612BA"/>
    <w:rsid w:val="00E67432"/>
    <w:rsid w:val="00E71D63"/>
    <w:rsid w:val="00E75360"/>
    <w:rsid w:val="00E81ACD"/>
    <w:rsid w:val="00E9036A"/>
    <w:rsid w:val="00E93153"/>
    <w:rsid w:val="00E950A3"/>
    <w:rsid w:val="00EA30AE"/>
    <w:rsid w:val="00EB160E"/>
    <w:rsid w:val="00EB2565"/>
    <w:rsid w:val="00EB27DC"/>
    <w:rsid w:val="00EB450B"/>
    <w:rsid w:val="00EB65C7"/>
    <w:rsid w:val="00ED5D36"/>
    <w:rsid w:val="00ED5F4E"/>
    <w:rsid w:val="00EE0F57"/>
    <w:rsid w:val="00EF1307"/>
    <w:rsid w:val="00EF469A"/>
    <w:rsid w:val="00EF5D54"/>
    <w:rsid w:val="00F0062B"/>
    <w:rsid w:val="00F0686F"/>
    <w:rsid w:val="00F11B75"/>
    <w:rsid w:val="00F14F02"/>
    <w:rsid w:val="00F15E1F"/>
    <w:rsid w:val="00F20C9F"/>
    <w:rsid w:val="00F26211"/>
    <w:rsid w:val="00F27AD2"/>
    <w:rsid w:val="00F32066"/>
    <w:rsid w:val="00F34053"/>
    <w:rsid w:val="00F4109F"/>
    <w:rsid w:val="00F41E78"/>
    <w:rsid w:val="00F42DDB"/>
    <w:rsid w:val="00F51600"/>
    <w:rsid w:val="00F54AF7"/>
    <w:rsid w:val="00F6461B"/>
    <w:rsid w:val="00F6582C"/>
    <w:rsid w:val="00F66DC8"/>
    <w:rsid w:val="00F75DD1"/>
    <w:rsid w:val="00F82D7F"/>
    <w:rsid w:val="00F9138A"/>
    <w:rsid w:val="00F92266"/>
    <w:rsid w:val="00F959AF"/>
    <w:rsid w:val="00F972A6"/>
    <w:rsid w:val="00FA4B87"/>
    <w:rsid w:val="00FA5E92"/>
    <w:rsid w:val="00FB0817"/>
    <w:rsid w:val="00FB084F"/>
    <w:rsid w:val="00FB1375"/>
    <w:rsid w:val="00FB34D2"/>
    <w:rsid w:val="00FB688E"/>
    <w:rsid w:val="00FC5270"/>
    <w:rsid w:val="00FC7BC5"/>
    <w:rsid w:val="00FD0EF2"/>
    <w:rsid w:val="00FD44EE"/>
    <w:rsid w:val="00FE749C"/>
    <w:rsid w:val="00FF14DB"/>
    <w:rsid w:val="00FF2243"/>
    <w:rsid w:val="41872688"/>
    <w:rsid w:val="5474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jc w:val="center"/>
    </w:pPr>
    <w:rPr>
      <w:rFonts w:ascii="微软雅黑" w:hAnsi="微软雅黑" w:eastAsia="微软雅黑" w:cs="Times New Roman"/>
      <w:sz w:val="18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微软雅黑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微软雅黑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微软雅黑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autoRedefine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autoRedefine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autoRedefine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autoRedefine/>
    <w:qFormat/>
    <w:uiPriority w:val="0"/>
    <w:pPr>
      <w:kinsoku w:val="0"/>
      <w:snapToGrid w:val="0"/>
    </w:pPr>
    <w:rPr>
      <w:rFonts w:ascii="微软雅黑" w:hAnsi="微软雅黑" w:eastAsia="微软雅黑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13">
    <w:name w:val="Body Text Indent"/>
    <w:basedOn w:val="1"/>
    <w:link w:val="25"/>
    <w:autoRedefine/>
    <w:qFormat/>
    <w:uiPriority w:val="0"/>
    <w:pPr>
      <w:widowControl w:val="0"/>
      <w:spacing w:line="400" w:lineRule="exact"/>
      <w:ind w:firstLine="480" w:firstLineChars="200"/>
      <w:jc w:val="both"/>
    </w:pPr>
    <w:rPr>
      <w:rFonts w:ascii="宋体" w:hAnsi="宋体"/>
      <w:kern w:val="2"/>
      <w:sz w:val="24"/>
      <w:szCs w:val="24"/>
      <w:lang w:val="en-US"/>
    </w:rPr>
  </w:style>
  <w:style w:type="paragraph" w:styleId="14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5">
    <w:name w:val="footer"/>
    <w:basedOn w:val="1"/>
    <w:link w:val="29"/>
    <w:autoRedefine/>
    <w:qFormat/>
    <w:uiPriority w:val="0"/>
    <w:pPr>
      <w:tabs>
        <w:tab w:val="center" w:pos="4153"/>
        <w:tab w:val="right" w:pos="8306"/>
      </w:tabs>
    </w:pPr>
    <w:rPr>
      <w:szCs w:val="18"/>
    </w:rPr>
  </w:style>
  <w:style w:type="paragraph" w:styleId="1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</w:pPr>
    <w:rPr>
      <w:szCs w:val="18"/>
    </w:rPr>
  </w:style>
  <w:style w:type="paragraph" w:styleId="17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autoRedefine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autoRedefine/>
    <w:qFormat/>
    <w:uiPriority w:val="0"/>
  </w:style>
  <w:style w:type="character" w:styleId="23">
    <w:name w:val="FollowedHyperlink"/>
    <w:autoRedefine/>
    <w:qFormat/>
    <w:uiPriority w:val="0"/>
    <w:rPr>
      <w:color w:val="800080"/>
      <w:u w:val="single"/>
    </w:rPr>
  </w:style>
  <w:style w:type="character" w:styleId="24">
    <w:name w:val="Hyperlink"/>
    <w:autoRedefine/>
    <w:uiPriority w:val="99"/>
    <w:rPr>
      <w:color w:val="0000FF"/>
      <w:u w:val="single"/>
    </w:rPr>
  </w:style>
  <w:style w:type="character" w:customStyle="1" w:styleId="25">
    <w:name w:val="正文文本缩进 字符"/>
    <w:link w:val="13"/>
    <w:autoRedefine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customStyle="1" w:styleId="26">
    <w:name w:val="标题二"/>
    <w:basedOn w:val="4"/>
    <w:autoRedefine/>
    <w:qFormat/>
    <w:uiPriority w:val="0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27">
    <w:name w:val="Char Char2"/>
    <w:autoRedefine/>
    <w:qFormat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28">
    <w:name w:val="Char Char21"/>
    <w:autoRedefine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29">
    <w:name w:val="页脚 字符"/>
    <w:link w:val="15"/>
    <w:qFormat/>
    <w:uiPriority w:val="0"/>
    <w:rPr>
      <w:rFonts w:eastAsia="宋体"/>
      <w:sz w:val="18"/>
      <w:szCs w:val="18"/>
      <w:lang w:val="en-GB" w:eastAsia="zh-CN" w:bidi="ar-SA"/>
    </w:rPr>
  </w:style>
  <w:style w:type="character" w:customStyle="1" w:styleId="30">
    <w:name w:val="Char Char1"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31">
    <w:name w:val="Char Char"/>
    <w:autoRedefine/>
    <w:qFormat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styleId="3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tmp9.dotx</Template>
  <Pages>6</Pages>
  <Words>1541</Words>
  <Characters>2594</Characters>
  <Lines>14</Lines>
  <Paragraphs>4</Paragraphs>
  <TotalTime>0</TotalTime>
  <ScaleCrop>false</ScaleCrop>
  <LinksUpToDate>false</LinksUpToDate>
  <CharactersWithSpaces>2660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2024-01-08T10:36:00Z</dcterms:created>
  <dc:creator>柒</dc:creator>
  <cp:lastModifiedBy>梵音</cp:lastModifiedBy>
  <dcterms:modified xsi:type="dcterms:W3CDTF">2024-01-09T11:47:48Z</dcterms:modified>
  <dc:title>地下室采光分析报告书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B81CD4ECE4F34A7D8D0D178D2E15F86B_13</vt:lpwstr>
  </property>
  <property fmtid="{D5CDD505-2E9C-101B-9397-08002B2CF9AE}" pid="3" name="KSOProductBuildVer">
    <vt:lpwstr>2052-12.1.0.16120</vt:lpwstr>
  </property>
</Properties>
</file>