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AD42" w14:textId="54D45900" w:rsidR="007A43DC" w:rsidRPr="0000733B" w:rsidRDefault="004A2C37" w:rsidP="004A2C37">
      <w:pPr>
        <w:jc w:val="center"/>
        <w:rPr>
          <w:sz w:val="36"/>
          <w:szCs w:val="36"/>
        </w:rPr>
      </w:pPr>
      <w:r w:rsidRPr="0000733B">
        <w:rPr>
          <w:rFonts w:hint="eastAsia"/>
          <w:sz w:val="36"/>
          <w:szCs w:val="36"/>
        </w:rPr>
        <w:t>绿色技术应用说明</w:t>
      </w:r>
    </w:p>
    <w:p w14:paraId="12EB8181" w14:textId="77777777" w:rsidR="004A2C37" w:rsidRPr="0000733B" w:rsidRDefault="004A2C37" w:rsidP="004A2C37">
      <w:pPr>
        <w:jc w:val="center"/>
        <w:rPr>
          <w:sz w:val="36"/>
          <w:szCs w:val="36"/>
        </w:rPr>
      </w:pPr>
    </w:p>
    <w:p w14:paraId="77E56EA2" w14:textId="77777777" w:rsidR="00C96C88" w:rsidRPr="00C96C88" w:rsidRDefault="00C96C88" w:rsidP="00C96C88">
      <w:pPr>
        <w:jc w:val="left"/>
        <w:rPr>
          <w:b/>
          <w:bCs/>
          <w:szCs w:val="21"/>
        </w:rPr>
      </w:pPr>
      <w:r w:rsidRPr="00C96C88">
        <w:rPr>
          <w:b/>
          <w:bCs/>
          <w:szCs w:val="21"/>
        </w:rPr>
        <w:t>一、技术概述</w:t>
      </w:r>
    </w:p>
    <w:p w14:paraId="37D23E54" w14:textId="77777777" w:rsidR="00C96C88" w:rsidRPr="00C96C88" w:rsidRDefault="00C96C88" w:rsidP="0000733B">
      <w:pPr>
        <w:ind w:firstLineChars="100" w:firstLine="210"/>
        <w:jc w:val="left"/>
        <w:rPr>
          <w:b/>
          <w:bCs/>
          <w:szCs w:val="21"/>
        </w:rPr>
      </w:pPr>
      <w:r w:rsidRPr="00C96C88">
        <w:rPr>
          <w:b/>
          <w:bCs/>
          <w:szCs w:val="21"/>
        </w:rPr>
        <w:t>1.1 技术名称</w:t>
      </w:r>
    </w:p>
    <w:p w14:paraId="17ADF190" w14:textId="77777777" w:rsidR="00C96C88" w:rsidRDefault="00C96C88" w:rsidP="0000733B">
      <w:pPr>
        <w:ind w:firstLineChars="200" w:firstLine="420"/>
        <w:jc w:val="left"/>
        <w:rPr>
          <w:szCs w:val="21"/>
        </w:rPr>
      </w:pPr>
      <w:r w:rsidRPr="00C96C88">
        <w:rPr>
          <w:szCs w:val="21"/>
        </w:rPr>
        <w:t>光</w:t>
      </w:r>
      <w:proofErr w:type="gramStart"/>
      <w:r w:rsidRPr="00C96C88">
        <w:rPr>
          <w:szCs w:val="21"/>
        </w:rPr>
        <w:t>追踪自</w:t>
      </w:r>
      <w:proofErr w:type="gramEnd"/>
      <w:r w:rsidRPr="00C96C88">
        <w:rPr>
          <w:szCs w:val="21"/>
        </w:rPr>
        <w:t>适应角度太阳能屋面系统（Solar-Tracking Adaptive Roof System, STARS）</w:t>
      </w:r>
    </w:p>
    <w:p w14:paraId="1D31BF80" w14:textId="77777777" w:rsidR="0000733B" w:rsidRPr="00C96C88" w:rsidRDefault="0000733B" w:rsidP="0000733B">
      <w:pPr>
        <w:ind w:firstLineChars="200" w:firstLine="420"/>
        <w:jc w:val="left"/>
        <w:rPr>
          <w:rFonts w:hint="eastAsia"/>
          <w:szCs w:val="21"/>
        </w:rPr>
      </w:pPr>
    </w:p>
    <w:p w14:paraId="0718DB03" w14:textId="77777777" w:rsidR="00C96C88" w:rsidRPr="00C96C88" w:rsidRDefault="00C96C88" w:rsidP="0000733B">
      <w:pPr>
        <w:ind w:firstLineChars="100" w:firstLine="210"/>
        <w:jc w:val="left"/>
        <w:rPr>
          <w:b/>
          <w:bCs/>
          <w:szCs w:val="21"/>
        </w:rPr>
      </w:pPr>
      <w:r w:rsidRPr="00C96C88">
        <w:rPr>
          <w:b/>
          <w:bCs/>
          <w:szCs w:val="21"/>
        </w:rPr>
        <w:t>1.2 技术原理</w:t>
      </w:r>
    </w:p>
    <w:p w14:paraId="5F96B052" w14:textId="77777777" w:rsidR="00C96C88" w:rsidRDefault="00C96C88" w:rsidP="0000733B">
      <w:pPr>
        <w:ind w:firstLineChars="200" w:firstLine="420"/>
        <w:jc w:val="left"/>
        <w:rPr>
          <w:szCs w:val="21"/>
        </w:rPr>
      </w:pPr>
      <w:r w:rsidRPr="00C96C88">
        <w:rPr>
          <w:szCs w:val="21"/>
        </w:rPr>
        <w:t>该系统将光伏组件集成于可旋转的屋面单元中，通过光敏传感器阵列实时追踪太阳位置，由微型伺服电机驱动屋面单元在双轴方向（方位角+倾角）进行微调，使光</w:t>
      </w:r>
      <w:proofErr w:type="gramStart"/>
      <w:r w:rsidRPr="00C96C88">
        <w:rPr>
          <w:szCs w:val="21"/>
        </w:rPr>
        <w:t>伏板始终</w:t>
      </w:r>
      <w:proofErr w:type="gramEnd"/>
      <w:r w:rsidRPr="00C96C88">
        <w:rPr>
          <w:szCs w:val="21"/>
        </w:rPr>
        <w:t>维持最佳入射角（理想状态下光线垂直入射），相比固定式光伏屋面可提升发电效率25-40%。</w:t>
      </w:r>
    </w:p>
    <w:p w14:paraId="58BD76CD" w14:textId="77777777" w:rsidR="0000733B" w:rsidRPr="00C96C88" w:rsidRDefault="0000733B" w:rsidP="0000733B">
      <w:pPr>
        <w:ind w:firstLineChars="200" w:firstLine="420"/>
        <w:jc w:val="left"/>
        <w:rPr>
          <w:rFonts w:hint="eastAsia"/>
          <w:szCs w:val="21"/>
        </w:rPr>
      </w:pPr>
    </w:p>
    <w:p w14:paraId="4A7E3909" w14:textId="675EE855" w:rsidR="0000733B" w:rsidRPr="00C96C88" w:rsidRDefault="00C96C88" w:rsidP="0000733B">
      <w:pPr>
        <w:ind w:firstLineChars="100" w:firstLine="210"/>
        <w:jc w:val="left"/>
        <w:rPr>
          <w:rFonts w:hint="eastAsia"/>
          <w:b/>
          <w:bCs/>
          <w:szCs w:val="21"/>
        </w:rPr>
      </w:pPr>
      <w:r w:rsidRPr="00C96C88">
        <w:rPr>
          <w:b/>
          <w:bCs/>
          <w:szCs w:val="21"/>
        </w:rPr>
        <w:t>1.3 核心创新点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0"/>
        <w:gridCol w:w="7166"/>
      </w:tblGrid>
      <w:tr w:rsidR="00C96C88" w:rsidRPr="00C96C88" w14:paraId="76D03CDD" w14:textId="77777777" w:rsidTr="0000733B">
        <w:trPr>
          <w:tblHeader/>
        </w:trPr>
        <w:tc>
          <w:tcPr>
            <w:tcW w:w="0" w:type="auto"/>
            <w:tcMar>
              <w:top w:w="150" w:type="dxa"/>
              <w:left w:w="150" w:type="dxa"/>
              <w:bottom w:w="150" w:type="dxa"/>
              <w:right w:w="150" w:type="dxa"/>
            </w:tcMar>
            <w:vAlign w:val="bottom"/>
            <w:hideMark/>
          </w:tcPr>
          <w:p w14:paraId="7D9D213C" w14:textId="77777777" w:rsidR="00C96C88" w:rsidRPr="00C96C88" w:rsidRDefault="00C96C88" w:rsidP="00C96C88">
            <w:pPr>
              <w:jc w:val="left"/>
              <w:rPr>
                <w:szCs w:val="21"/>
              </w:rPr>
            </w:pPr>
            <w:r w:rsidRPr="00C96C88">
              <w:rPr>
                <w:szCs w:val="21"/>
              </w:rPr>
              <w:t>创新维度</w:t>
            </w:r>
          </w:p>
        </w:tc>
        <w:tc>
          <w:tcPr>
            <w:tcW w:w="0" w:type="auto"/>
            <w:tcMar>
              <w:top w:w="150" w:type="dxa"/>
              <w:left w:w="150" w:type="dxa"/>
              <w:bottom w:w="150" w:type="dxa"/>
              <w:right w:w="150" w:type="dxa"/>
            </w:tcMar>
            <w:vAlign w:val="bottom"/>
            <w:hideMark/>
          </w:tcPr>
          <w:p w14:paraId="1010FD40" w14:textId="77777777" w:rsidR="00C96C88" w:rsidRPr="00C96C88" w:rsidRDefault="00C96C88" w:rsidP="00C96C88">
            <w:pPr>
              <w:jc w:val="left"/>
              <w:rPr>
                <w:szCs w:val="21"/>
              </w:rPr>
            </w:pPr>
            <w:r w:rsidRPr="00C96C88">
              <w:rPr>
                <w:szCs w:val="21"/>
              </w:rPr>
              <w:t>具体表现</w:t>
            </w:r>
          </w:p>
        </w:tc>
      </w:tr>
      <w:tr w:rsidR="00C96C88" w:rsidRPr="00C96C88" w14:paraId="3D53C6F9" w14:textId="77777777" w:rsidTr="0000733B">
        <w:tc>
          <w:tcPr>
            <w:tcW w:w="0" w:type="auto"/>
            <w:tcMar>
              <w:top w:w="150" w:type="dxa"/>
              <w:left w:w="150" w:type="dxa"/>
              <w:bottom w:w="150" w:type="dxa"/>
              <w:right w:w="150" w:type="dxa"/>
            </w:tcMar>
            <w:vAlign w:val="bottom"/>
            <w:hideMark/>
          </w:tcPr>
          <w:p w14:paraId="2DBBE877" w14:textId="77777777" w:rsidR="00C96C88" w:rsidRPr="00C96C88" w:rsidRDefault="00C96C88" w:rsidP="00C96C88">
            <w:pPr>
              <w:jc w:val="left"/>
              <w:rPr>
                <w:szCs w:val="21"/>
              </w:rPr>
            </w:pPr>
            <w:r w:rsidRPr="00C96C88">
              <w:rPr>
                <w:szCs w:val="21"/>
              </w:rPr>
              <w:t>技术可行性</w:t>
            </w:r>
          </w:p>
        </w:tc>
        <w:tc>
          <w:tcPr>
            <w:tcW w:w="0" w:type="auto"/>
            <w:tcMar>
              <w:top w:w="150" w:type="dxa"/>
              <w:left w:w="150" w:type="dxa"/>
              <w:bottom w:w="150" w:type="dxa"/>
              <w:right w:w="150" w:type="dxa"/>
            </w:tcMar>
            <w:vAlign w:val="bottom"/>
            <w:hideMark/>
          </w:tcPr>
          <w:p w14:paraId="1CD1F294" w14:textId="77777777" w:rsidR="00C96C88" w:rsidRPr="00C96C88" w:rsidRDefault="00C96C88" w:rsidP="00C96C88">
            <w:pPr>
              <w:jc w:val="left"/>
              <w:rPr>
                <w:szCs w:val="21"/>
              </w:rPr>
            </w:pPr>
            <w:r w:rsidRPr="00C96C88">
              <w:rPr>
                <w:szCs w:val="21"/>
              </w:rPr>
              <w:t>模块化设计，单单元重量&lt;50kg，适配常规钢结构屋面系统；IP67防护等级，抗风压≥1.5kN/m²</w:t>
            </w:r>
          </w:p>
        </w:tc>
      </w:tr>
      <w:tr w:rsidR="00C96C88" w:rsidRPr="00C96C88" w14:paraId="2FB4C841" w14:textId="77777777" w:rsidTr="0000733B">
        <w:tc>
          <w:tcPr>
            <w:tcW w:w="0" w:type="auto"/>
            <w:tcMar>
              <w:top w:w="150" w:type="dxa"/>
              <w:left w:w="150" w:type="dxa"/>
              <w:bottom w:w="150" w:type="dxa"/>
              <w:right w:w="150" w:type="dxa"/>
            </w:tcMar>
            <w:vAlign w:val="bottom"/>
            <w:hideMark/>
          </w:tcPr>
          <w:p w14:paraId="52050291" w14:textId="77777777" w:rsidR="00C96C88" w:rsidRPr="00C96C88" w:rsidRDefault="00C96C88" w:rsidP="00C96C88">
            <w:pPr>
              <w:jc w:val="left"/>
              <w:rPr>
                <w:szCs w:val="21"/>
              </w:rPr>
            </w:pPr>
            <w:r w:rsidRPr="00C96C88">
              <w:rPr>
                <w:szCs w:val="21"/>
              </w:rPr>
              <w:t>艺术适配性</w:t>
            </w:r>
          </w:p>
        </w:tc>
        <w:tc>
          <w:tcPr>
            <w:tcW w:w="0" w:type="auto"/>
            <w:tcMar>
              <w:top w:w="150" w:type="dxa"/>
              <w:left w:w="150" w:type="dxa"/>
              <w:bottom w:w="150" w:type="dxa"/>
              <w:right w:w="150" w:type="dxa"/>
            </w:tcMar>
            <w:vAlign w:val="bottom"/>
            <w:hideMark/>
          </w:tcPr>
          <w:p w14:paraId="254052CA" w14:textId="77777777" w:rsidR="00C96C88" w:rsidRPr="00C96C88" w:rsidRDefault="00C96C88" w:rsidP="00C96C88">
            <w:pPr>
              <w:jc w:val="left"/>
              <w:rPr>
                <w:szCs w:val="21"/>
              </w:rPr>
            </w:pPr>
            <w:r w:rsidRPr="00C96C88">
              <w:rPr>
                <w:szCs w:val="21"/>
              </w:rPr>
              <w:t>屋面形成动态"鳞片"肌理，随时间呈现光影韵律变化，打破传统光伏屋面的呆板形象</w:t>
            </w:r>
          </w:p>
        </w:tc>
      </w:tr>
      <w:tr w:rsidR="00C96C88" w:rsidRPr="00C96C88" w14:paraId="55BB787F" w14:textId="77777777" w:rsidTr="0000733B">
        <w:tc>
          <w:tcPr>
            <w:tcW w:w="0" w:type="auto"/>
            <w:tcMar>
              <w:top w:w="150" w:type="dxa"/>
              <w:left w:w="150" w:type="dxa"/>
              <w:bottom w:w="150" w:type="dxa"/>
              <w:right w:w="150" w:type="dxa"/>
            </w:tcMar>
            <w:vAlign w:val="bottom"/>
            <w:hideMark/>
          </w:tcPr>
          <w:p w14:paraId="45733A48" w14:textId="77777777" w:rsidR="00C96C88" w:rsidRPr="00C96C88" w:rsidRDefault="00C96C88" w:rsidP="00C96C88">
            <w:pPr>
              <w:jc w:val="left"/>
              <w:rPr>
                <w:szCs w:val="21"/>
              </w:rPr>
            </w:pPr>
            <w:r w:rsidRPr="00C96C88">
              <w:rPr>
                <w:szCs w:val="21"/>
              </w:rPr>
              <w:t>多专业协同</w:t>
            </w:r>
          </w:p>
        </w:tc>
        <w:tc>
          <w:tcPr>
            <w:tcW w:w="0" w:type="auto"/>
            <w:tcMar>
              <w:top w:w="150" w:type="dxa"/>
              <w:left w:w="150" w:type="dxa"/>
              <w:bottom w:w="150" w:type="dxa"/>
              <w:right w:w="150" w:type="dxa"/>
            </w:tcMar>
            <w:vAlign w:val="bottom"/>
            <w:hideMark/>
          </w:tcPr>
          <w:p w14:paraId="708FBFBC" w14:textId="77777777" w:rsidR="00C96C88" w:rsidRPr="00C96C88" w:rsidRDefault="00C96C88" w:rsidP="00C96C88">
            <w:pPr>
              <w:jc w:val="left"/>
              <w:rPr>
                <w:szCs w:val="21"/>
              </w:rPr>
            </w:pPr>
            <w:r w:rsidRPr="00C96C88">
              <w:rPr>
                <w:szCs w:val="21"/>
              </w:rPr>
              <w:t>整合建筑学（形态生成）、结构工程（节点力学）、电气工程（能源管理）、控制工程（追踪算法）</w:t>
            </w:r>
          </w:p>
        </w:tc>
      </w:tr>
    </w:tbl>
    <w:p w14:paraId="140A7AE1" w14:textId="27795D24" w:rsidR="00C96C88" w:rsidRPr="00C96C88" w:rsidRDefault="00C96C88" w:rsidP="00C96C88">
      <w:pPr>
        <w:jc w:val="left"/>
        <w:rPr>
          <w:szCs w:val="21"/>
        </w:rPr>
      </w:pPr>
    </w:p>
    <w:p w14:paraId="7118BBF0" w14:textId="77777777" w:rsidR="00C96C88" w:rsidRPr="00C96C88" w:rsidRDefault="00C96C88" w:rsidP="00C96C88">
      <w:pPr>
        <w:jc w:val="left"/>
        <w:rPr>
          <w:b/>
          <w:bCs/>
          <w:szCs w:val="21"/>
        </w:rPr>
      </w:pPr>
      <w:r w:rsidRPr="00C96C88">
        <w:rPr>
          <w:b/>
          <w:bCs/>
          <w:szCs w:val="21"/>
        </w:rPr>
        <w:t>二、技术可行性论证</w:t>
      </w:r>
    </w:p>
    <w:p w14:paraId="604E0874" w14:textId="77777777" w:rsidR="00C61F26" w:rsidRPr="00C61F26" w:rsidRDefault="00C61F26" w:rsidP="0000733B">
      <w:pPr>
        <w:ind w:firstLineChars="100" w:firstLine="210"/>
        <w:jc w:val="left"/>
        <w:rPr>
          <w:b/>
          <w:bCs/>
          <w:szCs w:val="21"/>
        </w:rPr>
      </w:pPr>
      <w:r w:rsidRPr="00C61F26">
        <w:rPr>
          <w:b/>
          <w:bCs/>
          <w:szCs w:val="21"/>
        </w:rPr>
        <w:t>2.1 机械系统架构</w:t>
      </w:r>
    </w:p>
    <w:p w14:paraId="2CA73930" w14:textId="77777777" w:rsidR="00C61F26" w:rsidRPr="00C61F26" w:rsidRDefault="00C61F26" w:rsidP="0000733B">
      <w:pPr>
        <w:ind w:firstLineChars="200" w:firstLine="420"/>
        <w:jc w:val="left"/>
        <w:rPr>
          <w:szCs w:val="21"/>
        </w:rPr>
      </w:pPr>
      <w:r w:rsidRPr="00C61F26">
        <w:rPr>
          <w:szCs w:val="21"/>
        </w:rPr>
        <w:t>光</w:t>
      </w:r>
      <w:proofErr w:type="gramStart"/>
      <w:r w:rsidRPr="00C61F26">
        <w:rPr>
          <w:szCs w:val="21"/>
        </w:rPr>
        <w:t>追踪自</w:t>
      </w:r>
      <w:proofErr w:type="gramEnd"/>
      <w:r w:rsidRPr="00C61F26">
        <w:rPr>
          <w:szCs w:val="21"/>
        </w:rPr>
        <w:t>适应角度太阳能屋面系统的机械架构采用分层式模块化设计，自上而下可分为五个功能层级，各层级之间通过标准化接口连接，既保证整体系统的协同工作，又实现单单元的独立维护更换。</w:t>
      </w:r>
    </w:p>
    <w:p w14:paraId="2649A142" w14:textId="77777777" w:rsidR="00C61F26" w:rsidRPr="00C61F26" w:rsidRDefault="00C61F26" w:rsidP="00C61F26">
      <w:pPr>
        <w:jc w:val="left"/>
        <w:rPr>
          <w:szCs w:val="21"/>
        </w:rPr>
      </w:pPr>
      <w:r w:rsidRPr="00C61F26">
        <w:rPr>
          <w:szCs w:val="21"/>
        </w:rPr>
        <w:t>最上层为光伏组件层，采用碲化镉薄膜太阳能电池，封装于双层超白钢化玻璃之间，整体厚度控制在15毫米以内，透光率可根据需求在20%至40%范围内调节。组件尺寸为2006毫米乘1002毫米，每两个组件嵌入一个铝合金边框单元，形成3000毫米乘1500毫米的标准屋面单元模块。这一层级的核心功能是光电转换，同时通过透光率的主动调节兼顾室内采光需求。</w:t>
      </w:r>
    </w:p>
    <w:p w14:paraId="71BC2B01" w14:textId="77777777" w:rsidR="00C61F26" w:rsidRPr="00C61F26" w:rsidRDefault="00C61F26" w:rsidP="0000733B">
      <w:pPr>
        <w:ind w:firstLineChars="200" w:firstLine="420"/>
        <w:jc w:val="left"/>
        <w:rPr>
          <w:szCs w:val="21"/>
        </w:rPr>
      </w:pPr>
      <w:r w:rsidRPr="00C61F26">
        <w:rPr>
          <w:szCs w:val="21"/>
        </w:rPr>
        <w:t>第二层为旋转框架层，由6063-T5铝合金型材构成边框主体，壁厚3毫米，表面阳极氧化处理，氧化膜厚度不小于10微米，确保在户外环境下的耐候性。边框中央预留直径50毫米的旋转轴孔，内部设置空腔线槽，用于隐蔽敷设电缆。边框四周镶嵌三元乙丙橡胶密封条，在单元旋转过程中始终保持与相邻单元的动态密封，防止雨水渗透。</w:t>
      </w:r>
    </w:p>
    <w:p w14:paraId="5ACAB0E2" w14:textId="77777777" w:rsidR="00C61F26" w:rsidRPr="00C61F26" w:rsidRDefault="00C61F26" w:rsidP="00F62A60">
      <w:pPr>
        <w:ind w:firstLineChars="200" w:firstLine="420"/>
        <w:jc w:val="left"/>
        <w:rPr>
          <w:szCs w:val="21"/>
        </w:rPr>
      </w:pPr>
      <w:r w:rsidRPr="00C61F26">
        <w:rPr>
          <w:szCs w:val="21"/>
        </w:rPr>
        <w:t>第三层为旋转枢纽层，这是整个机械系统的核心传动部位。采用316L不锈钢材质的旋转轴，直径50毫米，长度300毫米，表面冷拔处理达到Ra1.6的表面粗糙度，确保与轴承</w:t>
      </w:r>
      <w:r w:rsidRPr="00C61F26">
        <w:rPr>
          <w:szCs w:val="21"/>
        </w:rPr>
        <w:lastRenderedPageBreak/>
        <w:t>的精密配合。旋转轴通过深沟球轴承（型号SKF 6208-2RS，内径40毫米，动载荷额定值32.5千牛）支撑于轴承座内，实现低摩擦系数的顺畅旋转。轴承两侧设置防尘盖，内部填充锂基润滑脂，维护周期可达5年以上。旋转轴下端连接精密十字轴式万向节，允许在水平方位角和垂直倾角两个方向上各正负30度的活动范围，实现双轴追踪所需的自由度。</w:t>
      </w:r>
    </w:p>
    <w:p w14:paraId="2CF0C11E" w14:textId="77777777" w:rsidR="00C61F26" w:rsidRPr="00C61F26" w:rsidRDefault="00C61F26" w:rsidP="00F62A60">
      <w:pPr>
        <w:ind w:firstLineChars="200" w:firstLine="420"/>
        <w:jc w:val="left"/>
        <w:rPr>
          <w:szCs w:val="21"/>
        </w:rPr>
      </w:pPr>
      <w:r w:rsidRPr="00C61F26">
        <w:rPr>
          <w:szCs w:val="21"/>
        </w:rPr>
        <w:t>第四层为驱动执行层，每个屋面单元配置两台57型步进电机，分别控制方位角和倾角的调整。电机额定扭矩8牛米，通过1比10的蜗轮蜗杆减速器增扭后，输出扭矩可达80牛米，足以克服风荷载和组件自重产生的阻力矩。电机后端集成光电编码器，位置反馈精度达到0.036度每步，确保追踪精度误差控制在2度以内。电机支架采用热镀锌钢板冷弯成型，通过螺栓与主龙骨连接，便于现场调节安装精度。</w:t>
      </w:r>
    </w:p>
    <w:p w14:paraId="2B2D6EC5" w14:textId="77777777" w:rsidR="00C61F26" w:rsidRDefault="00C61F26" w:rsidP="00F62A60">
      <w:pPr>
        <w:ind w:firstLineChars="200" w:firstLine="420"/>
        <w:jc w:val="left"/>
        <w:rPr>
          <w:szCs w:val="21"/>
        </w:rPr>
      </w:pPr>
      <w:r w:rsidRPr="00C61F26">
        <w:rPr>
          <w:szCs w:val="21"/>
        </w:rPr>
        <w:t>最底层为基层防护层，由TPO热塑性聚烯烃防水卷材、挤塑聚苯乙烯保温板和压型钢板组成，与常规屋面系统完全相同，确保在移除或更换上部旋转单元时，建筑的基本防水保温功能不受影响。</w:t>
      </w:r>
    </w:p>
    <w:p w14:paraId="7E02819F" w14:textId="77777777" w:rsidR="0000733B" w:rsidRPr="00C61F26" w:rsidRDefault="0000733B" w:rsidP="00C61F26">
      <w:pPr>
        <w:jc w:val="left"/>
        <w:rPr>
          <w:rFonts w:hint="eastAsia"/>
          <w:szCs w:val="21"/>
        </w:rPr>
      </w:pPr>
    </w:p>
    <w:p w14:paraId="08FF515D" w14:textId="77777777" w:rsidR="00C61F26" w:rsidRPr="00C61F26" w:rsidRDefault="00C61F26" w:rsidP="0000733B">
      <w:pPr>
        <w:ind w:firstLineChars="100" w:firstLine="210"/>
        <w:jc w:val="left"/>
        <w:rPr>
          <w:b/>
          <w:bCs/>
          <w:szCs w:val="21"/>
        </w:rPr>
      </w:pPr>
      <w:r w:rsidRPr="00C61F26">
        <w:rPr>
          <w:b/>
          <w:bCs/>
          <w:szCs w:val="21"/>
        </w:rPr>
        <w:t>2.2 控制逻辑流程</w:t>
      </w:r>
    </w:p>
    <w:p w14:paraId="45E10F70" w14:textId="77777777" w:rsidR="00C61F26" w:rsidRPr="00C61F26" w:rsidRDefault="00C61F26" w:rsidP="0000733B">
      <w:pPr>
        <w:ind w:firstLineChars="200" w:firstLine="420"/>
        <w:jc w:val="left"/>
        <w:rPr>
          <w:szCs w:val="21"/>
        </w:rPr>
      </w:pPr>
      <w:r w:rsidRPr="00C61F26">
        <w:rPr>
          <w:szCs w:val="21"/>
        </w:rPr>
        <w:t>系统的控制逻辑采用分布式架构，每个屋面单元配备独立的微控制器，同时通过CAN总线与中央控制柜通信，实现集中监控与</w:t>
      </w:r>
      <w:proofErr w:type="gramStart"/>
      <w:r w:rsidRPr="00C61F26">
        <w:rPr>
          <w:szCs w:val="21"/>
        </w:rPr>
        <w:t>分散执行</w:t>
      </w:r>
      <w:proofErr w:type="gramEnd"/>
      <w:r w:rsidRPr="00C61F26">
        <w:rPr>
          <w:szCs w:val="21"/>
        </w:rPr>
        <w:t>的协调。</w:t>
      </w:r>
    </w:p>
    <w:p w14:paraId="661A0D6F" w14:textId="77777777" w:rsidR="00C61F26" w:rsidRPr="00C61F26" w:rsidRDefault="00C61F26" w:rsidP="00F62A60">
      <w:pPr>
        <w:ind w:firstLineChars="200" w:firstLine="420"/>
        <w:jc w:val="left"/>
        <w:rPr>
          <w:szCs w:val="21"/>
        </w:rPr>
      </w:pPr>
      <w:r w:rsidRPr="00C61F26">
        <w:rPr>
          <w:szCs w:val="21"/>
        </w:rPr>
        <w:t>感知环节由光照传感器阵列完成，每个单元四角各布置一个硅光电池传感器，实时采样环境光照强度和方向。四个传感器的差值信号用于判断太阳相对位置，当相对偏差超过5度时触发调整程序。</w:t>
      </w:r>
    </w:p>
    <w:p w14:paraId="10823BAF" w14:textId="77777777" w:rsidR="00C61F26" w:rsidRPr="00C61F26" w:rsidRDefault="00C61F26" w:rsidP="0000733B">
      <w:pPr>
        <w:ind w:firstLineChars="200" w:firstLine="420"/>
        <w:jc w:val="left"/>
        <w:rPr>
          <w:szCs w:val="21"/>
        </w:rPr>
      </w:pPr>
      <w:r w:rsidRPr="00C61F26">
        <w:rPr>
          <w:szCs w:val="21"/>
        </w:rPr>
        <w:t>运算环节采用混合算法策略：正常时段运行主动追踪模式，微控制器内置的太阳位置算法根据当地经纬度、日期和时间计算理论太阳高度角和方位角，公式为太阳高度角α等于</w:t>
      </w:r>
      <w:proofErr w:type="spellStart"/>
      <w:r w:rsidRPr="00C61F26">
        <w:rPr>
          <w:szCs w:val="21"/>
        </w:rPr>
        <w:t>arcsin</w:t>
      </w:r>
      <w:proofErr w:type="spellEnd"/>
      <w:r w:rsidRPr="00C61F26">
        <w:rPr>
          <w:szCs w:val="21"/>
        </w:rPr>
        <w:t>（</w:t>
      </w:r>
      <w:proofErr w:type="spellStart"/>
      <w:r w:rsidRPr="00C61F26">
        <w:rPr>
          <w:szCs w:val="21"/>
        </w:rPr>
        <w:t>sinφ</w:t>
      </w:r>
      <w:proofErr w:type="spellEnd"/>
      <w:r w:rsidRPr="00C61F26">
        <w:rPr>
          <w:szCs w:val="21"/>
        </w:rPr>
        <w:t>乘以</w:t>
      </w:r>
      <w:proofErr w:type="spellStart"/>
      <w:r w:rsidRPr="00C61F26">
        <w:rPr>
          <w:szCs w:val="21"/>
        </w:rPr>
        <w:t>sinδ</w:t>
      </w:r>
      <w:proofErr w:type="spellEnd"/>
      <w:r w:rsidRPr="00C61F26">
        <w:rPr>
          <w:szCs w:val="21"/>
        </w:rPr>
        <w:t>加上</w:t>
      </w:r>
      <w:proofErr w:type="spellStart"/>
      <w:r w:rsidRPr="00C61F26">
        <w:rPr>
          <w:szCs w:val="21"/>
        </w:rPr>
        <w:t>cosφ</w:t>
      </w:r>
      <w:proofErr w:type="spellEnd"/>
      <w:r w:rsidRPr="00C61F26">
        <w:rPr>
          <w:szCs w:val="21"/>
        </w:rPr>
        <w:t>乘以</w:t>
      </w:r>
      <w:proofErr w:type="spellStart"/>
      <w:r w:rsidRPr="00C61F26">
        <w:rPr>
          <w:szCs w:val="21"/>
        </w:rPr>
        <w:t>cosδ</w:t>
      </w:r>
      <w:proofErr w:type="spellEnd"/>
      <w:r w:rsidRPr="00C61F26">
        <w:rPr>
          <w:szCs w:val="21"/>
        </w:rPr>
        <w:t>乘以</w:t>
      </w:r>
      <w:proofErr w:type="spellStart"/>
      <w:r w:rsidRPr="00C61F26">
        <w:rPr>
          <w:szCs w:val="21"/>
        </w:rPr>
        <w:t>cosω</w:t>
      </w:r>
      <w:proofErr w:type="spellEnd"/>
      <w:r w:rsidRPr="00C61F26">
        <w:rPr>
          <w:szCs w:val="21"/>
        </w:rPr>
        <w:t>），其中φ为当地纬度，δ为太阳赤纬角，ω为时角；方位角A等于</w:t>
      </w:r>
      <w:proofErr w:type="spellStart"/>
      <w:r w:rsidRPr="00C61F26">
        <w:rPr>
          <w:szCs w:val="21"/>
        </w:rPr>
        <w:t>arccos</w:t>
      </w:r>
      <w:proofErr w:type="spellEnd"/>
      <w:r w:rsidRPr="00C61F26">
        <w:rPr>
          <w:szCs w:val="21"/>
        </w:rPr>
        <w:t>[（sinα乘以</w:t>
      </w:r>
      <w:proofErr w:type="spellStart"/>
      <w:r w:rsidRPr="00C61F26">
        <w:rPr>
          <w:szCs w:val="21"/>
        </w:rPr>
        <w:t>sinφ</w:t>
      </w:r>
      <w:proofErr w:type="spellEnd"/>
      <w:r w:rsidRPr="00C61F26">
        <w:rPr>
          <w:szCs w:val="21"/>
        </w:rPr>
        <w:t>减去</w:t>
      </w:r>
      <w:proofErr w:type="spellStart"/>
      <w:r w:rsidRPr="00C61F26">
        <w:rPr>
          <w:szCs w:val="21"/>
        </w:rPr>
        <w:t>sinδ</w:t>
      </w:r>
      <w:proofErr w:type="spellEnd"/>
      <w:r w:rsidRPr="00C61F26">
        <w:rPr>
          <w:szCs w:val="21"/>
        </w:rPr>
        <w:t>）除以（cosα乘以</w:t>
      </w:r>
      <w:proofErr w:type="spellStart"/>
      <w:r w:rsidRPr="00C61F26">
        <w:rPr>
          <w:szCs w:val="21"/>
        </w:rPr>
        <w:t>cosφ</w:t>
      </w:r>
      <w:proofErr w:type="spellEnd"/>
      <w:r w:rsidRPr="00C61F26">
        <w:rPr>
          <w:szCs w:val="21"/>
        </w:rPr>
        <w:t>）]。在多云天气或传感器故障时，系统自动切换至被动追踪模式，直接依据四个光照传感器的相对读数差驱动电机向光照最强方向调整。</w:t>
      </w:r>
    </w:p>
    <w:p w14:paraId="6F3872AD" w14:textId="77777777" w:rsidR="00C61F26" w:rsidRPr="00C61F26" w:rsidRDefault="00C61F26" w:rsidP="0000733B">
      <w:pPr>
        <w:ind w:firstLineChars="200" w:firstLine="420"/>
        <w:jc w:val="left"/>
        <w:rPr>
          <w:szCs w:val="21"/>
        </w:rPr>
      </w:pPr>
      <w:r w:rsidRPr="00C61F26">
        <w:rPr>
          <w:szCs w:val="21"/>
        </w:rPr>
        <w:t>执行环节通过脉冲信号分配实现双轴同步。步进电机驱动器接收微控制器发出的脉冲序列，经细分驱动后控制电机步进。每次调整分为三个阶段：首先是快速趋近阶段，电机以每秒1000步的速度运行，迅速缩小角度偏差至5度以内；其次是精确定位阶段，速度降至每秒200步，确保最终定位精度；最后是锁定保持阶段，电机进入半流锁定状态，维持当前位置的同时降低功耗和发热。</w:t>
      </w:r>
    </w:p>
    <w:p w14:paraId="63944956" w14:textId="77777777" w:rsidR="00C61F26" w:rsidRDefault="00C61F26" w:rsidP="0000733B">
      <w:pPr>
        <w:ind w:firstLineChars="200" w:firstLine="420"/>
        <w:jc w:val="left"/>
        <w:rPr>
          <w:szCs w:val="21"/>
        </w:rPr>
      </w:pPr>
      <w:r w:rsidRPr="00C61F26">
        <w:rPr>
          <w:szCs w:val="21"/>
        </w:rPr>
        <w:t>反馈环节通过闭环校准消除累积误差。每次完整调整后，系统读取编码器实际位置值，与目标理论值比对，若偏差超过2度则自动修正，并记录误差数据用于算法参数的自学习优化。中央控制柜每日汇总所有单元的运行数据，生成发电效率报告和故障预警信息。</w:t>
      </w:r>
    </w:p>
    <w:p w14:paraId="7EAC97A8" w14:textId="77777777" w:rsidR="0000733B" w:rsidRPr="00C61F26" w:rsidRDefault="0000733B" w:rsidP="0000733B">
      <w:pPr>
        <w:ind w:firstLineChars="200" w:firstLine="420"/>
        <w:jc w:val="left"/>
        <w:rPr>
          <w:rFonts w:hint="eastAsia"/>
          <w:szCs w:val="21"/>
        </w:rPr>
      </w:pPr>
    </w:p>
    <w:p w14:paraId="3E6F95B5" w14:textId="77777777" w:rsidR="00C96C88" w:rsidRPr="00C96C88" w:rsidRDefault="00C96C88" w:rsidP="00C96C88">
      <w:pPr>
        <w:jc w:val="left"/>
        <w:rPr>
          <w:b/>
          <w:bCs/>
          <w:szCs w:val="21"/>
        </w:rPr>
      </w:pPr>
      <w:r w:rsidRPr="00C96C88">
        <w:rPr>
          <w:b/>
          <w:bCs/>
          <w:szCs w:val="21"/>
        </w:rPr>
        <w:t>三、艺术与技术适配策略</w:t>
      </w:r>
    </w:p>
    <w:p w14:paraId="79F122BD" w14:textId="2D2F7C9E" w:rsidR="00C96C88" w:rsidRPr="00C96C88" w:rsidRDefault="00C96C88" w:rsidP="0000733B">
      <w:pPr>
        <w:ind w:firstLineChars="100" w:firstLine="210"/>
        <w:jc w:val="left"/>
        <w:rPr>
          <w:rFonts w:hint="eastAsia"/>
          <w:b/>
          <w:bCs/>
          <w:szCs w:val="21"/>
        </w:rPr>
      </w:pPr>
      <w:r w:rsidRPr="00C96C88">
        <w:rPr>
          <w:b/>
          <w:bCs/>
          <w:szCs w:val="21"/>
        </w:rPr>
        <w:t>3.1 动态美学生成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5"/>
        <w:gridCol w:w="3203"/>
        <w:gridCol w:w="2978"/>
      </w:tblGrid>
      <w:tr w:rsidR="00C96C88" w:rsidRPr="00C96C88" w14:paraId="1619AAD5" w14:textId="77777777" w:rsidTr="00C61F26">
        <w:trPr>
          <w:tblHeader/>
        </w:trPr>
        <w:tc>
          <w:tcPr>
            <w:tcW w:w="0" w:type="auto"/>
            <w:tcMar>
              <w:top w:w="150" w:type="dxa"/>
              <w:left w:w="150" w:type="dxa"/>
              <w:bottom w:w="150" w:type="dxa"/>
              <w:right w:w="150" w:type="dxa"/>
            </w:tcMar>
            <w:vAlign w:val="bottom"/>
            <w:hideMark/>
          </w:tcPr>
          <w:p w14:paraId="32CEB555" w14:textId="77777777" w:rsidR="00C96C88" w:rsidRPr="00C96C88" w:rsidRDefault="00C96C88" w:rsidP="00C96C88">
            <w:pPr>
              <w:jc w:val="left"/>
              <w:rPr>
                <w:szCs w:val="21"/>
              </w:rPr>
            </w:pPr>
            <w:r w:rsidRPr="00C96C88">
              <w:rPr>
                <w:szCs w:val="21"/>
              </w:rPr>
              <w:t>时间段</w:t>
            </w:r>
          </w:p>
        </w:tc>
        <w:tc>
          <w:tcPr>
            <w:tcW w:w="0" w:type="auto"/>
            <w:tcMar>
              <w:top w:w="150" w:type="dxa"/>
              <w:left w:w="150" w:type="dxa"/>
              <w:bottom w:w="150" w:type="dxa"/>
              <w:right w:w="150" w:type="dxa"/>
            </w:tcMar>
            <w:vAlign w:val="bottom"/>
            <w:hideMark/>
          </w:tcPr>
          <w:p w14:paraId="3F0F3D58" w14:textId="77777777" w:rsidR="00C96C88" w:rsidRPr="00C96C88" w:rsidRDefault="00C96C88" w:rsidP="00C96C88">
            <w:pPr>
              <w:jc w:val="left"/>
              <w:rPr>
                <w:szCs w:val="21"/>
              </w:rPr>
            </w:pPr>
            <w:r w:rsidRPr="00C96C88">
              <w:rPr>
                <w:szCs w:val="21"/>
              </w:rPr>
              <w:t>屋面状态</w:t>
            </w:r>
          </w:p>
        </w:tc>
        <w:tc>
          <w:tcPr>
            <w:tcW w:w="0" w:type="auto"/>
            <w:tcMar>
              <w:top w:w="150" w:type="dxa"/>
              <w:left w:w="150" w:type="dxa"/>
              <w:bottom w:w="150" w:type="dxa"/>
              <w:right w:w="150" w:type="dxa"/>
            </w:tcMar>
            <w:vAlign w:val="bottom"/>
            <w:hideMark/>
          </w:tcPr>
          <w:p w14:paraId="46B12D0A" w14:textId="77777777" w:rsidR="00C96C88" w:rsidRPr="00C96C88" w:rsidRDefault="00C96C88" w:rsidP="00C96C88">
            <w:pPr>
              <w:jc w:val="left"/>
              <w:rPr>
                <w:szCs w:val="21"/>
              </w:rPr>
            </w:pPr>
            <w:r w:rsidRPr="00C96C88">
              <w:rPr>
                <w:szCs w:val="21"/>
              </w:rPr>
              <w:t>视觉效果</w:t>
            </w:r>
          </w:p>
        </w:tc>
      </w:tr>
      <w:tr w:rsidR="00C96C88" w:rsidRPr="00C96C88" w14:paraId="41AAC2B7" w14:textId="77777777" w:rsidTr="00C61F26">
        <w:tc>
          <w:tcPr>
            <w:tcW w:w="0" w:type="auto"/>
            <w:tcMar>
              <w:top w:w="150" w:type="dxa"/>
              <w:left w:w="150" w:type="dxa"/>
              <w:bottom w:w="150" w:type="dxa"/>
              <w:right w:w="150" w:type="dxa"/>
            </w:tcMar>
            <w:vAlign w:val="bottom"/>
            <w:hideMark/>
          </w:tcPr>
          <w:p w14:paraId="71BB6AD1" w14:textId="77777777" w:rsidR="00C96C88" w:rsidRPr="00C96C88" w:rsidRDefault="00C96C88" w:rsidP="00C96C88">
            <w:pPr>
              <w:jc w:val="left"/>
              <w:rPr>
                <w:szCs w:val="21"/>
              </w:rPr>
            </w:pPr>
            <w:r w:rsidRPr="00C96C88">
              <w:rPr>
                <w:szCs w:val="21"/>
              </w:rPr>
              <w:t>早晨（6:00-9:00）</w:t>
            </w:r>
          </w:p>
        </w:tc>
        <w:tc>
          <w:tcPr>
            <w:tcW w:w="0" w:type="auto"/>
            <w:tcMar>
              <w:top w:w="150" w:type="dxa"/>
              <w:left w:w="150" w:type="dxa"/>
              <w:bottom w:w="150" w:type="dxa"/>
              <w:right w:w="150" w:type="dxa"/>
            </w:tcMar>
            <w:vAlign w:val="bottom"/>
            <w:hideMark/>
          </w:tcPr>
          <w:p w14:paraId="3DFDD208" w14:textId="77777777" w:rsidR="00C96C88" w:rsidRPr="00C96C88" w:rsidRDefault="00C96C88" w:rsidP="00C96C88">
            <w:pPr>
              <w:jc w:val="left"/>
              <w:rPr>
                <w:szCs w:val="21"/>
              </w:rPr>
            </w:pPr>
            <w:r w:rsidRPr="00C96C88">
              <w:rPr>
                <w:szCs w:val="21"/>
              </w:rPr>
              <w:t>东侧单元仰起30°，</w:t>
            </w:r>
            <w:proofErr w:type="gramStart"/>
            <w:r w:rsidRPr="00C96C88">
              <w:rPr>
                <w:szCs w:val="21"/>
              </w:rPr>
              <w:t>西侧平</w:t>
            </w:r>
            <w:proofErr w:type="gramEnd"/>
            <w:r w:rsidRPr="00C96C88">
              <w:rPr>
                <w:szCs w:val="21"/>
              </w:rPr>
              <w:t>置</w:t>
            </w:r>
          </w:p>
        </w:tc>
        <w:tc>
          <w:tcPr>
            <w:tcW w:w="0" w:type="auto"/>
            <w:tcMar>
              <w:top w:w="150" w:type="dxa"/>
              <w:left w:w="150" w:type="dxa"/>
              <w:bottom w:w="150" w:type="dxa"/>
              <w:right w:w="150" w:type="dxa"/>
            </w:tcMar>
            <w:vAlign w:val="bottom"/>
            <w:hideMark/>
          </w:tcPr>
          <w:p w14:paraId="4D6F4B5B" w14:textId="77777777" w:rsidR="00C96C88" w:rsidRPr="00C96C88" w:rsidRDefault="00C96C88" w:rsidP="00C96C88">
            <w:pPr>
              <w:jc w:val="left"/>
              <w:rPr>
                <w:szCs w:val="21"/>
              </w:rPr>
            </w:pPr>
            <w:r w:rsidRPr="00C96C88">
              <w:rPr>
                <w:szCs w:val="21"/>
              </w:rPr>
              <w:t>形成波浪起伏的"晨曦"肌理</w:t>
            </w:r>
          </w:p>
        </w:tc>
      </w:tr>
      <w:tr w:rsidR="00C96C88" w:rsidRPr="00C96C88" w14:paraId="493DCE0D" w14:textId="77777777" w:rsidTr="00C61F26">
        <w:tc>
          <w:tcPr>
            <w:tcW w:w="0" w:type="auto"/>
            <w:tcMar>
              <w:top w:w="150" w:type="dxa"/>
              <w:left w:w="150" w:type="dxa"/>
              <w:bottom w:w="150" w:type="dxa"/>
              <w:right w:w="150" w:type="dxa"/>
            </w:tcMar>
            <w:vAlign w:val="bottom"/>
            <w:hideMark/>
          </w:tcPr>
          <w:p w14:paraId="4EFCCC75" w14:textId="77777777" w:rsidR="00C96C88" w:rsidRPr="00C96C88" w:rsidRDefault="00C96C88" w:rsidP="00C96C88">
            <w:pPr>
              <w:jc w:val="left"/>
              <w:rPr>
                <w:szCs w:val="21"/>
              </w:rPr>
            </w:pPr>
            <w:r w:rsidRPr="00C96C88">
              <w:rPr>
                <w:szCs w:val="21"/>
              </w:rPr>
              <w:t>正午（11:00-13:00）</w:t>
            </w:r>
          </w:p>
        </w:tc>
        <w:tc>
          <w:tcPr>
            <w:tcW w:w="0" w:type="auto"/>
            <w:tcMar>
              <w:top w:w="150" w:type="dxa"/>
              <w:left w:w="150" w:type="dxa"/>
              <w:bottom w:w="150" w:type="dxa"/>
              <w:right w:w="150" w:type="dxa"/>
            </w:tcMar>
            <w:vAlign w:val="bottom"/>
            <w:hideMark/>
          </w:tcPr>
          <w:p w14:paraId="533C8682" w14:textId="77777777" w:rsidR="00C96C88" w:rsidRPr="00C96C88" w:rsidRDefault="00C96C88" w:rsidP="00C96C88">
            <w:pPr>
              <w:jc w:val="left"/>
              <w:rPr>
                <w:szCs w:val="21"/>
              </w:rPr>
            </w:pPr>
            <w:r w:rsidRPr="00C96C88">
              <w:rPr>
                <w:szCs w:val="21"/>
              </w:rPr>
              <w:t>全部单元统一倾斜（纬度角决定）</w:t>
            </w:r>
          </w:p>
        </w:tc>
        <w:tc>
          <w:tcPr>
            <w:tcW w:w="0" w:type="auto"/>
            <w:tcMar>
              <w:top w:w="150" w:type="dxa"/>
              <w:left w:w="150" w:type="dxa"/>
              <w:bottom w:w="150" w:type="dxa"/>
              <w:right w:w="150" w:type="dxa"/>
            </w:tcMar>
            <w:vAlign w:val="bottom"/>
            <w:hideMark/>
          </w:tcPr>
          <w:p w14:paraId="5401198B" w14:textId="77777777" w:rsidR="00C96C88" w:rsidRPr="00C96C88" w:rsidRDefault="00C96C88" w:rsidP="00C96C88">
            <w:pPr>
              <w:jc w:val="left"/>
              <w:rPr>
                <w:szCs w:val="21"/>
              </w:rPr>
            </w:pPr>
            <w:r w:rsidRPr="00C96C88">
              <w:rPr>
                <w:szCs w:val="21"/>
              </w:rPr>
              <w:t>规整的几何阵列，强调秩序感</w:t>
            </w:r>
          </w:p>
        </w:tc>
      </w:tr>
      <w:tr w:rsidR="00C96C88" w:rsidRPr="00C96C88" w14:paraId="1EF0AFC1" w14:textId="77777777" w:rsidTr="00C61F26">
        <w:tc>
          <w:tcPr>
            <w:tcW w:w="0" w:type="auto"/>
            <w:tcMar>
              <w:top w:w="150" w:type="dxa"/>
              <w:left w:w="150" w:type="dxa"/>
              <w:bottom w:w="150" w:type="dxa"/>
              <w:right w:w="150" w:type="dxa"/>
            </w:tcMar>
            <w:vAlign w:val="bottom"/>
            <w:hideMark/>
          </w:tcPr>
          <w:p w14:paraId="6316996B" w14:textId="77777777" w:rsidR="00C96C88" w:rsidRPr="00C96C88" w:rsidRDefault="00C96C88" w:rsidP="00C96C88">
            <w:pPr>
              <w:jc w:val="left"/>
              <w:rPr>
                <w:szCs w:val="21"/>
              </w:rPr>
            </w:pPr>
            <w:r w:rsidRPr="00C96C88">
              <w:rPr>
                <w:szCs w:val="21"/>
              </w:rPr>
              <w:lastRenderedPageBreak/>
              <w:t>傍晚（16:00-19:00）</w:t>
            </w:r>
          </w:p>
        </w:tc>
        <w:tc>
          <w:tcPr>
            <w:tcW w:w="0" w:type="auto"/>
            <w:tcMar>
              <w:top w:w="150" w:type="dxa"/>
              <w:left w:w="150" w:type="dxa"/>
              <w:bottom w:w="150" w:type="dxa"/>
              <w:right w:w="150" w:type="dxa"/>
            </w:tcMar>
            <w:vAlign w:val="bottom"/>
            <w:hideMark/>
          </w:tcPr>
          <w:p w14:paraId="75088FC2" w14:textId="77777777" w:rsidR="00C96C88" w:rsidRPr="00C96C88" w:rsidRDefault="00C96C88" w:rsidP="00C96C88">
            <w:pPr>
              <w:jc w:val="left"/>
              <w:rPr>
                <w:szCs w:val="21"/>
              </w:rPr>
            </w:pPr>
            <w:r w:rsidRPr="00C96C88">
              <w:rPr>
                <w:szCs w:val="21"/>
              </w:rPr>
              <w:t>西侧单元仰起，</w:t>
            </w:r>
            <w:proofErr w:type="gramStart"/>
            <w:r w:rsidRPr="00C96C88">
              <w:rPr>
                <w:szCs w:val="21"/>
              </w:rPr>
              <w:t>东侧平</w:t>
            </w:r>
            <w:proofErr w:type="gramEnd"/>
            <w:r w:rsidRPr="00C96C88">
              <w:rPr>
                <w:szCs w:val="21"/>
              </w:rPr>
              <w:t>置</w:t>
            </w:r>
          </w:p>
        </w:tc>
        <w:tc>
          <w:tcPr>
            <w:tcW w:w="0" w:type="auto"/>
            <w:tcMar>
              <w:top w:w="150" w:type="dxa"/>
              <w:left w:w="150" w:type="dxa"/>
              <w:bottom w:w="150" w:type="dxa"/>
              <w:right w:w="150" w:type="dxa"/>
            </w:tcMar>
            <w:vAlign w:val="bottom"/>
            <w:hideMark/>
          </w:tcPr>
          <w:p w14:paraId="64800946" w14:textId="77777777" w:rsidR="00C96C88" w:rsidRPr="00C96C88" w:rsidRDefault="00C96C88" w:rsidP="00C96C88">
            <w:pPr>
              <w:jc w:val="left"/>
              <w:rPr>
                <w:szCs w:val="21"/>
              </w:rPr>
            </w:pPr>
            <w:r w:rsidRPr="00C96C88">
              <w:rPr>
                <w:szCs w:val="21"/>
              </w:rPr>
              <w:t>反向波浪，"</w:t>
            </w:r>
            <w:proofErr w:type="gramStart"/>
            <w:r w:rsidRPr="00C96C88">
              <w:rPr>
                <w:szCs w:val="21"/>
              </w:rPr>
              <w:t>暮</w:t>
            </w:r>
            <w:proofErr w:type="gramEnd"/>
            <w:r w:rsidRPr="00C96C88">
              <w:rPr>
                <w:szCs w:val="21"/>
              </w:rPr>
              <w:t>光"渐变效果</w:t>
            </w:r>
          </w:p>
        </w:tc>
      </w:tr>
      <w:tr w:rsidR="00C96C88" w:rsidRPr="00C96C88" w14:paraId="101E61F9" w14:textId="77777777" w:rsidTr="00C61F26">
        <w:tc>
          <w:tcPr>
            <w:tcW w:w="0" w:type="auto"/>
            <w:tcMar>
              <w:top w:w="150" w:type="dxa"/>
              <w:left w:w="150" w:type="dxa"/>
              <w:bottom w:w="150" w:type="dxa"/>
              <w:right w:w="150" w:type="dxa"/>
            </w:tcMar>
            <w:vAlign w:val="bottom"/>
            <w:hideMark/>
          </w:tcPr>
          <w:p w14:paraId="1293331E" w14:textId="77777777" w:rsidR="00C96C88" w:rsidRPr="00C96C88" w:rsidRDefault="00C96C88" w:rsidP="00C96C88">
            <w:pPr>
              <w:jc w:val="left"/>
              <w:rPr>
                <w:szCs w:val="21"/>
              </w:rPr>
            </w:pPr>
            <w:r w:rsidRPr="00C96C88">
              <w:rPr>
                <w:szCs w:val="21"/>
              </w:rPr>
              <w:t>阴天/夜间</w:t>
            </w:r>
          </w:p>
        </w:tc>
        <w:tc>
          <w:tcPr>
            <w:tcW w:w="0" w:type="auto"/>
            <w:tcMar>
              <w:top w:w="150" w:type="dxa"/>
              <w:left w:w="150" w:type="dxa"/>
              <w:bottom w:w="150" w:type="dxa"/>
              <w:right w:w="150" w:type="dxa"/>
            </w:tcMar>
            <w:vAlign w:val="bottom"/>
            <w:hideMark/>
          </w:tcPr>
          <w:p w14:paraId="341CBBA0" w14:textId="77777777" w:rsidR="00C96C88" w:rsidRPr="00C96C88" w:rsidRDefault="00C96C88" w:rsidP="00C96C88">
            <w:pPr>
              <w:jc w:val="left"/>
              <w:rPr>
                <w:szCs w:val="21"/>
              </w:rPr>
            </w:pPr>
            <w:r w:rsidRPr="00C96C88">
              <w:rPr>
                <w:szCs w:val="21"/>
              </w:rPr>
              <w:t>全部复位至默认排水角度（5°）</w:t>
            </w:r>
          </w:p>
        </w:tc>
        <w:tc>
          <w:tcPr>
            <w:tcW w:w="0" w:type="auto"/>
            <w:tcMar>
              <w:top w:w="150" w:type="dxa"/>
              <w:left w:w="150" w:type="dxa"/>
              <w:bottom w:w="150" w:type="dxa"/>
              <w:right w:w="150" w:type="dxa"/>
            </w:tcMar>
            <w:vAlign w:val="bottom"/>
            <w:hideMark/>
          </w:tcPr>
          <w:p w14:paraId="4D56A5AB" w14:textId="77777777" w:rsidR="00C96C88" w:rsidRPr="00C96C88" w:rsidRDefault="00C96C88" w:rsidP="00C96C88">
            <w:pPr>
              <w:jc w:val="left"/>
              <w:rPr>
                <w:szCs w:val="21"/>
              </w:rPr>
            </w:pPr>
            <w:r w:rsidRPr="00C96C88">
              <w:rPr>
                <w:szCs w:val="21"/>
              </w:rPr>
              <w:t>静态鳞片质感，LED轮廓灯激活</w:t>
            </w:r>
          </w:p>
        </w:tc>
      </w:tr>
    </w:tbl>
    <w:p w14:paraId="78A1408E" w14:textId="77777777" w:rsidR="00C96C88" w:rsidRPr="00C96C88" w:rsidRDefault="00C96C88" w:rsidP="00F62A60">
      <w:pPr>
        <w:ind w:firstLineChars="100" w:firstLine="210"/>
        <w:jc w:val="left"/>
        <w:rPr>
          <w:b/>
          <w:bCs/>
          <w:szCs w:val="21"/>
        </w:rPr>
      </w:pPr>
      <w:r w:rsidRPr="00C96C88">
        <w:rPr>
          <w:b/>
          <w:bCs/>
          <w:szCs w:val="21"/>
        </w:rPr>
        <w:t>3.2 多专业协同接口</w:t>
      </w:r>
    </w:p>
    <w:p w14:paraId="5D368324" w14:textId="77777777" w:rsidR="00C96C88" w:rsidRPr="00C96C88" w:rsidRDefault="00C96C88" w:rsidP="00F62A60">
      <w:pPr>
        <w:ind w:firstLineChars="200" w:firstLine="420"/>
        <w:jc w:val="left"/>
        <w:rPr>
          <w:szCs w:val="21"/>
        </w:rPr>
      </w:pPr>
      <w:r w:rsidRPr="00C96C88">
        <w:rPr>
          <w:szCs w:val="21"/>
        </w:rPr>
        <w:t>与结构专业：旋转节点采用球铰连接，释放温度应力，避免对主体钢结构产生次生弯矩</w:t>
      </w:r>
    </w:p>
    <w:p w14:paraId="0F51EA27" w14:textId="77777777" w:rsidR="00C96C88" w:rsidRPr="00C96C88" w:rsidRDefault="00C96C88" w:rsidP="00F62A60">
      <w:pPr>
        <w:ind w:firstLineChars="200" w:firstLine="420"/>
        <w:jc w:val="left"/>
        <w:rPr>
          <w:szCs w:val="21"/>
        </w:rPr>
      </w:pPr>
      <w:r w:rsidRPr="00C96C88">
        <w:rPr>
          <w:szCs w:val="21"/>
        </w:rPr>
        <w:t>与给排水专业：单元间设置导水槽，旋转接缝采用三元乙丙橡胶止水带，确保任何角度下排水畅通</w:t>
      </w:r>
    </w:p>
    <w:p w14:paraId="54908720" w14:textId="77777777" w:rsidR="00C96C88" w:rsidRPr="00C96C88" w:rsidRDefault="00C96C88" w:rsidP="00F62A60">
      <w:pPr>
        <w:ind w:firstLineChars="200" w:firstLine="420"/>
        <w:jc w:val="left"/>
        <w:rPr>
          <w:szCs w:val="21"/>
        </w:rPr>
      </w:pPr>
      <w:r w:rsidRPr="00C96C88">
        <w:rPr>
          <w:szCs w:val="21"/>
        </w:rPr>
        <w:t>与电气专业：滑环导电装置实现360°旋转</w:t>
      </w:r>
      <w:proofErr w:type="gramStart"/>
      <w:r w:rsidRPr="00C96C88">
        <w:rPr>
          <w:szCs w:val="21"/>
        </w:rPr>
        <w:t>不</w:t>
      </w:r>
      <w:proofErr w:type="gramEnd"/>
      <w:r w:rsidRPr="00C96C88">
        <w:rPr>
          <w:szCs w:val="21"/>
        </w:rPr>
        <w:t>断电，发电数据实时汇入BMS系统</w:t>
      </w:r>
    </w:p>
    <w:p w14:paraId="479CAFDD" w14:textId="77777777" w:rsidR="00C96C88" w:rsidRPr="00C96C88" w:rsidRDefault="00C96C88" w:rsidP="00F62A60">
      <w:pPr>
        <w:ind w:firstLineChars="200" w:firstLine="420"/>
        <w:jc w:val="left"/>
        <w:rPr>
          <w:szCs w:val="21"/>
        </w:rPr>
      </w:pPr>
      <w:r w:rsidRPr="00C96C88">
        <w:rPr>
          <w:szCs w:val="21"/>
        </w:rPr>
        <w:t>与景观专业：屋面形态作为第五立面，与周边环境形成对话</w:t>
      </w:r>
    </w:p>
    <w:p w14:paraId="611397EF" w14:textId="64AC9174" w:rsidR="00C96C88" w:rsidRPr="00C96C88" w:rsidRDefault="00C96C88" w:rsidP="00C96C88">
      <w:pPr>
        <w:jc w:val="left"/>
        <w:rPr>
          <w:szCs w:val="21"/>
        </w:rPr>
      </w:pPr>
    </w:p>
    <w:p w14:paraId="47B8A62F" w14:textId="06EB5356" w:rsidR="00C96C88" w:rsidRPr="00C96C88" w:rsidRDefault="00C96C88" w:rsidP="00C96C88">
      <w:pPr>
        <w:jc w:val="left"/>
        <w:rPr>
          <w:rFonts w:hint="eastAsia"/>
          <w:b/>
          <w:bCs/>
          <w:szCs w:val="21"/>
        </w:rPr>
      </w:pPr>
      <w:r w:rsidRPr="00C96C88">
        <w:rPr>
          <w:b/>
          <w:bCs/>
          <w:szCs w:val="21"/>
        </w:rPr>
        <w:t>四、关键节点详</w:t>
      </w:r>
      <w:r w:rsidR="00595DD9" w:rsidRPr="00F62A60">
        <w:rPr>
          <w:rFonts w:hint="eastAsia"/>
          <w:b/>
          <w:bCs/>
          <w:szCs w:val="21"/>
        </w:rPr>
        <w:t>情</w:t>
      </w:r>
    </w:p>
    <w:p w14:paraId="3D6E2393" w14:textId="77777777" w:rsidR="00595DD9" w:rsidRPr="00595DD9" w:rsidRDefault="00595DD9" w:rsidP="00F62A60">
      <w:pPr>
        <w:ind w:firstLineChars="100" w:firstLine="210"/>
        <w:jc w:val="left"/>
        <w:rPr>
          <w:b/>
          <w:bCs/>
          <w:szCs w:val="21"/>
        </w:rPr>
      </w:pPr>
      <w:r w:rsidRPr="00595DD9">
        <w:rPr>
          <w:b/>
          <w:bCs/>
          <w:szCs w:val="21"/>
        </w:rPr>
        <w:t>4.1 节点位置选取</w:t>
      </w:r>
    </w:p>
    <w:p w14:paraId="45578F2D" w14:textId="77777777" w:rsidR="00595DD9" w:rsidRPr="00595DD9" w:rsidRDefault="00595DD9" w:rsidP="00F62A60">
      <w:pPr>
        <w:ind w:firstLineChars="200" w:firstLine="420"/>
        <w:jc w:val="left"/>
        <w:rPr>
          <w:szCs w:val="21"/>
        </w:rPr>
      </w:pPr>
      <w:r w:rsidRPr="00595DD9">
        <w:rPr>
          <w:szCs w:val="21"/>
        </w:rPr>
        <w:t>选取位置：屋面标准单元与主龙骨连接节点（编号N-01）</w:t>
      </w:r>
    </w:p>
    <w:p w14:paraId="4B1C917B" w14:textId="77777777" w:rsidR="00595DD9" w:rsidRPr="00595DD9" w:rsidRDefault="00595DD9" w:rsidP="00F62A60">
      <w:pPr>
        <w:ind w:firstLineChars="200" w:firstLine="420"/>
        <w:jc w:val="left"/>
        <w:rPr>
          <w:szCs w:val="21"/>
        </w:rPr>
      </w:pPr>
      <w:r w:rsidRPr="00595DD9">
        <w:rPr>
          <w:szCs w:val="21"/>
        </w:rPr>
        <w:t>选取理由：该节点位于自适应太阳能屋面系统的力学传递路径核心位置，同时承担四项关键功能：一是为上部光伏组件和旋转机构提供结构支撑；二是通过内置的驱动系统实现双轴角度调整；三是在动态旋转状态下维持屋面防水密封性能；四是通过滑环装置实现旋转状态下的持续电气连接。该节点的可靠性直接决定整个系统的运行寿命和维护成本，因此作为本次技术说明的重点阐述对象。</w:t>
      </w:r>
    </w:p>
    <w:p w14:paraId="2205F740" w14:textId="77777777" w:rsidR="00595DD9" w:rsidRPr="00595DD9" w:rsidRDefault="00595DD9" w:rsidP="00F62A60">
      <w:pPr>
        <w:ind w:firstLineChars="100" w:firstLine="210"/>
        <w:jc w:val="left"/>
        <w:rPr>
          <w:b/>
          <w:bCs/>
          <w:szCs w:val="21"/>
        </w:rPr>
      </w:pPr>
      <w:r w:rsidRPr="00595DD9">
        <w:rPr>
          <w:b/>
          <w:bCs/>
          <w:szCs w:val="21"/>
        </w:rPr>
        <w:t>4.2 节点构造层次分解</w:t>
      </w:r>
    </w:p>
    <w:p w14:paraId="59EB0460" w14:textId="77777777" w:rsidR="00595DD9" w:rsidRPr="00595DD9" w:rsidRDefault="00595DD9" w:rsidP="00F62A60">
      <w:pPr>
        <w:ind w:firstLineChars="200" w:firstLine="420"/>
        <w:jc w:val="left"/>
        <w:rPr>
          <w:szCs w:val="21"/>
        </w:rPr>
      </w:pPr>
      <w:r w:rsidRPr="00595DD9">
        <w:rPr>
          <w:szCs w:val="21"/>
        </w:rPr>
        <w:t>节点N-01采用垂直分层构造，从建筑完成面向下至结构基层共包含八个构造层次，各层次之间通过机械连接和材料粘结形成整体。</w:t>
      </w:r>
    </w:p>
    <w:p w14:paraId="2813C492" w14:textId="77777777" w:rsidR="00595DD9" w:rsidRPr="00595DD9" w:rsidRDefault="00595DD9" w:rsidP="00F62A60">
      <w:pPr>
        <w:ind w:firstLineChars="200" w:firstLine="420"/>
        <w:jc w:val="left"/>
        <w:rPr>
          <w:szCs w:val="21"/>
        </w:rPr>
      </w:pPr>
      <w:r w:rsidRPr="00595DD9">
        <w:rPr>
          <w:szCs w:val="21"/>
        </w:rPr>
        <w:t>第一层次：光伏组件封装体</w:t>
      </w:r>
    </w:p>
    <w:p w14:paraId="1968EBE2" w14:textId="77777777" w:rsidR="00595DD9" w:rsidRPr="00595DD9" w:rsidRDefault="00595DD9" w:rsidP="00595DD9">
      <w:pPr>
        <w:jc w:val="left"/>
        <w:rPr>
          <w:szCs w:val="21"/>
        </w:rPr>
      </w:pPr>
      <w:r w:rsidRPr="00595DD9">
        <w:rPr>
          <w:szCs w:val="21"/>
        </w:rPr>
        <w:t>位于节点</w:t>
      </w:r>
      <w:proofErr w:type="gramStart"/>
      <w:r w:rsidRPr="00595DD9">
        <w:rPr>
          <w:szCs w:val="21"/>
        </w:rPr>
        <w:t>最</w:t>
      </w:r>
      <w:proofErr w:type="gramEnd"/>
      <w:r w:rsidRPr="00595DD9">
        <w:rPr>
          <w:szCs w:val="21"/>
        </w:rPr>
        <w:t>顶端，是直接暴露于室外环境的界面层。采用碲化镉薄膜光伏技术，由四层材料复合而成：最上层为</w:t>
      </w:r>
      <w:proofErr w:type="gramStart"/>
      <w:r w:rsidRPr="00595DD9">
        <w:rPr>
          <w:szCs w:val="21"/>
        </w:rPr>
        <w:t>4毫米厚超白</w:t>
      </w:r>
      <w:proofErr w:type="gramEnd"/>
      <w:r w:rsidRPr="00595DD9">
        <w:rPr>
          <w:szCs w:val="21"/>
        </w:rPr>
        <w:t>钢化玻璃，透光率不低于91%，</w:t>
      </w:r>
      <w:proofErr w:type="gramStart"/>
      <w:r w:rsidRPr="00595DD9">
        <w:rPr>
          <w:szCs w:val="21"/>
        </w:rPr>
        <w:t>表面经减反射</w:t>
      </w:r>
      <w:proofErr w:type="gramEnd"/>
      <w:r w:rsidRPr="00595DD9">
        <w:rPr>
          <w:szCs w:val="21"/>
        </w:rPr>
        <w:t>镀膜处理；第二层为0.5毫米厚乙烯-醋酸乙烯共聚物胶膜，作为粘结和缓冲层；第三层为3微米厚的碲化镉半导体发电层，是光电转换的核心功能层；最底层为4毫米厚背板钢化玻璃，提供结构支撑和防潮保护。整体封装后的组件尺寸为2006毫米乘1002毫米，每两个组件并列嵌入一个铝合金边框单元，形成3000毫米乘1500毫米的标准模块。</w:t>
      </w:r>
    </w:p>
    <w:p w14:paraId="692E0495" w14:textId="77777777" w:rsidR="00595DD9" w:rsidRPr="00595DD9" w:rsidRDefault="00595DD9" w:rsidP="00F62A60">
      <w:pPr>
        <w:ind w:firstLineChars="200" w:firstLine="420"/>
        <w:jc w:val="left"/>
        <w:rPr>
          <w:szCs w:val="21"/>
        </w:rPr>
      </w:pPr>
      <w:r w:rsidRPr="00595DD9">
        <w:rPr>
          <w:szCs w:val="21"/>
        </w:rPr>
        <w:t>第二层次：铝合金旋转边框</w:t>
      </w:r>
    </w:p>
    <w:p w14:paraId="2572ACE9" w14:textId="77777777" w:rsidR="00595DD9" w:rsidRPr="00595DD9" w:rsidRDefault="00595DD9" w:rsidP="00595DD9">
      <w:pPr>
        <w:jc w:val="left"/>
        <w:rPr>
          <w:szCs w:val="21"/>
        </w:rPr>
      </w:pPr>
      <w:r w:rsidRPr="00595DD9">
        <w:rPr>
          <w:szCs w:val="21"/>
        </w:rPr>
        <w:t>作为连接光伏组件与下部旋转机构的中介层，采用6063-T5铝合金挤压型材，壁厚3毫米，截面呈闭合腔体结构。型材上翼缘设置卡槽用于</w:t>
      </w:r>
      <w:proofErr w:type="gramStart"/>
      <w:r w:rsidRPr="00595DD9">
        <w:rPr>
          <w:szCs w:val="21"/>
        </w:rPr>
        <w:t>固定光</w:t>
      </w:r>
      <w:proofErr w:type="gramEnd"/>
      <w:r w:rsidRPr="00595DD9">
        <w:rPr>
          <w:szCs w:val="21"/>
        </w:rPr>
        <w:t>伏组件，下翼缘中央预留直径50毫米的圆形轴孔，</w:t>
      </w:r>
      <w:proofErr w:type="gramStart"/>
      <w:r w:rsidRPr="00595DD9">
        <w:rPr>
          <w:szCs w:val="21"/>
        </w:rPr>
        <w:t>孔壁经精密</w:t>
      </w:r>
      <w:proofErr w:type="gramEnd"/>
      <w:r w:rsidRPr="00595DD9">
        <w:rPr>
          <w:szCs w:val="21"/>
        </w:rPr>
        <w:t>加工达到H7级公差。边框内部空腔作为电缆隐蔽通道，截面净尺寸30毫米乘20毫米，可容纳4根2.5平方毫米电缆和1根信号屏蔽线。型材外表面阳极氧化处理，氧化膜厚度10至15微米，颜色可选银白、香槟或深灰，以配合建筑整体色调。</w:t>
      </w:r>
    </w:p>
    <w:p w14:paraId="3B6025E2" w14:textId="77777777" w:rsidR="00595DD9" w:rsidRPr="00595DD9" w:rsidRDefault="00595DD9" w:rsidP="00F62A60">
      <w:pPr>
        <w:ind w:firstLineChars="200" w:firstLine="420"/>
        <w:jc w:val="left"/>
        <w:rPr>
          <w:szCs w:val="21"/>
        </w:rPr>
      </w:pPr>
      <w:r w:rsidRPr="00595DD9">
        <w:rPr>
          <w:szCs w:val="21"/>
        </w:rPr>
        <w:t>第三层次：不锈钢旋转轴</w:t>
      </w:r>
    </w:p>
    <w:p w14:paraId="729A34A0" w14:textId="77777777" w:rsidR="00595DD9" w:rsidRPr="00595DD9" w:rsidRDefault="00595DD9" w:rsidP="00595DD9">
      <w:pPr>
        <w:jc w:val="left"/>
        <w:rPr>
          <w:szCs w:val="21"/>
        </w:rPr>
      </w:pPr>
      <w:r w:rsidRPr="00595DD9">
        <w:rPr>
          <w:szCs w:val="21"/>
        </w:rPr>
        <w:t>节点的</w:t>
      </w:r>
      <w:proofErr w:type="gramStart"/>
      <w:r w:rsidRPr="00595DD9">
        <w:rPr>
          <w:szCs w:val="21"/>
        </w:rPr>
        <w:t>核心传力构件</w:t>
      </w:r>
      <w:proofErr w:type="gramEnd"/>
      <w:r w:rsidRPr="00595DD9">
        <w:rPr>
          <w:szCs w:val="21"/>
        </w:rPr>
        <w:t>，采用316L奥氏体不锈钢棒材车削加工而成，直径50毫米，有效长度300毫米。轴体中段设置轴肩定位，两端加工M12螺纹用于锁紧螺母固定。轴表面粗糙</w:t>
      </w:r>
      <w:r w:rsidRPr="00595DD9">
        <w:rPr>
          <w:szCs w:val="21"/>
        </w:rPr>
        <w:lastRenderedPageBreak/>
        <w:t>度Ra1.6，圆柱度公差0.01毫米，确保与轴承内圈的精密配合。316L材质含</w:t>
      </w:r>
      <w:proofErr w:type="gramStart"/>
      <w:r w:rsidRPr="00595DD9">
        <w:rPr>
          <w:szCs w:val="21"/>
        </w:rPr>
        <w:t>钼</w:t>
      </w:r>
      <w:proofErr w:type="gramEnd"/>
      <w:r w:rsidRPr="00595DD9">
        <w:rPr>
          <w:szCs w:val="21"/>
        </w:rPr>
        <w:t>量2%至3%，在沿海高盐雾环境下仍具备优异的耐点蚀性能，设计使用寿命25年以上。</w:t>
      </w:r>
    </w:p>
    <w:p w14:paraId="20E1E30D" w14:textId="77777777" w:rsidR="00595DD9" w:rsidRPr="00595DD9" w:rsidRDefault="00595DD9" w:rsidP="00595DD9">
      <w:pPr>
        <w:jc w:val="left"/>
        <w:rPr>
          <w:szCs w:val="21"/>
        </w:rPr>
      </w:pPr>
      <w:r w:rsidRPr="00595DD9">
        <w:rPr>
          <w:szCs w:val="21"/>
        </w:rPr>
        <w:t>第四层次：深沟球轴承组</w:t>
      </w:r>
    </w:p>
    <w:p w14:paraId="14D02631" w14:textId="77777777" w:rsidR="00595DD9" w:rsidRPr="00595DD9" w:rsidRDefault="00595DD9" w:rsidP="00F62A60">
      <w:pPr>
        <w:ind w:firstLineChars="200" w:firstLine="420"/>
        <w:jc w:val="left"/>
        <w:rPr>
          <w:szCs w:val="21"/>
        </w:rPr>
      </w:pPr>
      <w:r w:rsidRPr="00595DD9">
        <w:rPr>
          <w:szCs w:val="21"/>
        </w:rPr>
        <w:t>旋转运动的减摩支撑系统，采用SKF 6208-2RS型深沟球轴承，内径40毫米，外径80毫米，厚度18毫米，两侧带接触式橡胶密封盖。轴承额定动载荷32.5千牛，额定静载荷19千牛，完全满足屋面单元在12级风荷载下的承载需求。每个旋转轴配置两套轴承，间距120毫米，形成简支梁受力模式，有效控制轴挠度。轴承外圈与轴承座采用过盈配合，内圈与轴采用间隙配合便于更换。</w:t>
      </w:r>
    </w:p>
    <w:p w14:paraId="1055EFAF" w14:textId="77777777" w:rsidR="00595DD9" w:rsidRPr="00595DD9" w:rsidRDefault="00595DD9" w:rsidP="00F62A60">
      <w:pPr>
        <w:ind w:firstLineChars="200" w:firstLine="420"/>
        <w:jc w:val="left"/>
        <w:rPr>
          <w:szCs w:val="21"/>
        </w:rPr>
      </w:pPr>
      <w:r w:rsidRPr="00595DD9">
        <w:rPr>
          <w:szCs w:val="21"/>
        </w:rPr>
        <w:t>第五层次：万向节传动机构</w:t>
      </w:r>
    </w:p>
    <w:p w14:paraId="4BD8C3CC" w14:textId="77777777" w:rsidR="00595DD9" w:rsidRPr="00595DD9" w:rsidRDefault="00595DD9" w:rsidP="00595DD9">
      <w:pPr>
        <w:jc w:val="left"/>
        <w:rPr>
          <w:szCs w:val="21"/>
        </w:rPr>
      </w:pPr>
      <w:r w:rsidRPr="00595DD9">
        <w:rPr>
          <w:szCs w:val="21"/>
        </w:rPr>
        <w:t>实现双轴自由度的关键部件，采用精密十字轴式万向节，输入端与旋转轴下端法兰连接，输出端与电机减速器连接。万向节允许的最大偏转角为正负30度，扭矩容量120牛米，十字轴表面经渗碳淬火处理，硬度达到HRC58至62，确保在高频次变向运动下的耐磨性能。万向节外套采用铝合金压铸壳体，内部填充二硫化钼锂基润滑脂，维护周期5年。</w:t>
      </w:r>
    </w:p>
    <w:p w14:paraId="55DC3DED" w14:textId="77777777" w:rsidR="00595DD9" w:rsidRPr="00595DD9" w:rsidRDefault="00595DD9" w:rsidP="00F62A60">
      <w:pPr>
        <w:ind w:firstLineChars="200" w:firstLine="420"/>
        <w:jc w:val="left"/>
        <w:rPr>
          <w:szCs w:val="21"/>
        </w:rPr>
      </w:pPr>
      <w:r w:rsidRPr="00595DD9">
        <w:rPr>
          <w:szCs w:val="21"/>
        </w:rPr>
        <w:t>第六层次：伺服电机与减速器</w:t>
      </w:r>
    </w:p>
    <w:p w14:paraId="7D409E9C" w14:textId="77777777" w:rsidR="00595DD9" w:rsidRPr="00595DD9" w:rsidRDefault="00595DD9" w:rsidP="00595DD9">
      <w:pPr>
        <w:jc w:val="left"/>
        <w:rPr>
          <w:szCs w:val="21"/>
        </w:rPr>
      </w:pPr>
      <w:r w:rsidRPr="00595DD9">
        <w:rPr>
          <w:szCs w:val="21"/>
        </w:rPr>
        <w:t>驱动执行单元，采用57型混合式步进电机，额定扭矩8牛米，步距角1.8度，额定电流3安培。电机输出端连接1比10减速比的蜗轮蜗杆减速器，输出扭矩提升至80牛米，同时实现反向自锁功能，防止风荷载反向驱动电机。电机尾部集成1000线光电编码器，实时反馈转子位置，与驱动器构成半闭环控制系统。电机支架采用Q235钢板折弯成型，表面热镀锌处理，通过M10螺栓与下部龙骨连接，安装位置可在正负20毫米范围内调节，以补偿施工误差。</w:t>
      </w:r>
    </w:p>
    <w:p w14:paraId="3311CDFE" w14:textId="77777777" w:rsidR="00595DD9" w:rsidRPr="00595DD9" w:rsidRDefault="00595DD9" w:rsidP="00F62A60">
      <w:pPr>
        <w:ind w:firstLineChars="200" w:firstLine="420"/>
        <w:jc w:val="left"/>
        <w:rPr>
          <w:szCs w:val="21"/>
        </w:rPr>
      </w:pPr>
      <w:r w:rsidRPr="00595DD9">
        <w:rPr>
          <w:szCs w:val="21"/>
        </w:rPr>
        <w:t>第七层次：防水过渡层</w:t>
      </w:r>
    </w:p>
    <w:p w14:paraId="4D1864E9" w14:textId="77777777" w:rsidR="00595DD9" w:rsidRPr="00595DD9" w:rsidRDefault="00595DD9" w:rsidP="00595DD9">
      <w:pPr>
        <w:jc w:val="left"/>
        <w:rPr>
          <w:szCs w:val="21"/>
        </w:rPr>
      </w:pPr>
      <w:r w:rsidRPr="00595DD9">
        <w:rPr>
          <w:szCs w:val="21"/>
        </w:rPr>
        <w:t>连接动态旋转部分与静态基层的防水屏障，采用TPO热塑性聚烯烃防水卷材，厚度1.5毫米，宽度300毫米，环绕旋转轴根部热焊接成环形泛水。卷材上</w:t>
      </w:r>
      <w:proofErr w:type="gramStart"/>
      <w:r w:rsidRPr="00595DD9">
        <w:rPr>
          <w:szCs w:val="21"/>
        </w:rPr>
        <w:t>翻高度</w:t>
      </w:r>
      <w:proofErr w:type="gramEnd"/>
      <w:r w:rsidRPr="00595DD9">
        <w:rPr>
          <w:szCs w:val="21"/>
        </w:rPr>
        <w:t>150毫米，与铝合金边框下翼缘通过不锈钢压条机械固定，固定间距300毫米。压条下方设置三元乙丙橡胶垫片，补偿金属与卷材之间的变形差异。卷材下部与基层TPO卷材热焊接，形成连续的防水体系。</w:t>
      </w:r>
    </w:p>
    <w:p w14:paraId="3BE41E1B" w14:textId="77777777" w:rsidR="00595DD9" w:rsidRPr="00595DD9" w:rsidRDefault="00595DD9" w:rsidP="00F62A60">
      <w:pPr>
        <w:ind w:firstLineChars="200" w:firstLine="420"/>
        <w:jc w:val="left"/>
        <w:rPr>
          <w:szCs w:val="21"/>
        </w:rPr>
      </w:pPr>
      <w:r w:rsidRPr="00595DD9">
        <w:rPr>
          <w:szCs w:val="21"/>
        </w:rPr>
        <w:t>第八层次：主龙骨连接基座</w:t>
      </w:r>
    </w:p>
    <w:p w14:paraId="3963B505" w14:textId="77777777" w:rsidR="00595DD9" w:rsidRDefault="00595DD9" w:rsidP="00595DD9">
      <w:pPr>
        <w:jc w:val="left"/>
        <w:rPr>
          <w:szCs w:val="21"/>
        </w:rPr>
      </w:pPr>
      <w:r w:rsidRPr="00595DD9">
        <w:rPr>
          <w:szCs w:val="21"/>
        </w:rPr>
        <w:t>节点的最终锚固层，采用</w:t>
      </w:r>
      <w:proofErr w:type="gramStart"/>
      <w:r w:rsidRPr="00595DD9">
        <w:rPr>
          <w:szCs w:val="21"/>
        </w:rPr>
        <w:t>100毫米乘100毫米乘</w:t>
      </w:r>
      <w:proofErr w:type="gramEnd"/>
      <w:r w:rsidRPr="00595DD9">
        <w:rPr>
          <w:szCs w:val="21"/>
        </w:rPr>
        <w:t>6毫米热镀锌钢方管作为主龙骨，壁厚6毫米，截面惯性矩满足跨度4米时的挠度控制要求。龙骨顶面焊接10毫米厚钢板作为电机支架的安装基板，基板平面度公差0.5毫米，确保电机轴与旋转轴的同轴度。龙骨两侧设置TPO防水卷材覆盖的翼缘，宽度80毫米，作为防水过渡层的支撑面。</w:t>
      </w:r>
    </w:p>
    <w:p w14:paraId="14CB07BA" w14:textId="77777777" w:rsidR="00F62A60" w:rsidRPr="00595DD9" w:rsidRDefault="00F62A60" w:rsidP="00595DD9">
      <w:pPr>
        <w:jc w:val="left"/>
        <w:rPr>
          <w:rFonts w:hint="eastAsia"/>
          <w:szCs w:val="21"/>
        </w:rPr>
      </w:pPr>
    </w:p>
    <w:p w14:paraId="41245808" w14:textId="77777777" w:rsidR="00595DD9" w:rsidRPr="00595DD9" w:rsidRDefault="00595DD9" w:rsidP="00595DD9">
      <w:pPr>
        <w:jc w:val="left"/>
        <w:rPr>
          <w:b/>
          <w:bCs/>
          <w:szCs w:val="21"/>
        </w:rPr>
      </w:pPr>
      <w:r w:rsidRPr="00595DD9">
        <w:rPr>
          <w:b/>
          <w:bCs/>
          <w:szCs w:val="21"/>
        </w:rPr>
        <w:t>4.3 节点大样详述</w:t>
      </w:r>
    </w:p>
    <w:p w14:paraId="2A52153B" w14:textId="77777777" w:rsidR="00595DD9" w:rsidRPr="00595DD9" w:rsidRDefault="00595DD9" w:rsidP="00F62A60">
      <w:pPr>
        <w:ind w:firstLineChars="200" w:firstLine="420"/>
        <w:jc w:val="left"/>
        <w:rPr>
          <w:szCs w:val="21"/>
        </w:rPr>
      </w:pPr>
      <w:r w:rsidRPr="00595DD9">
        <w:rPr>
          <w:szCs w:val="21"/>
        </w:rPr>
        <w:t>正剖面构造（沿单元宽度方向，比例1比5）</w:t>
      </w:r>
    </w:p>
    <w:p w14:paraId="2A05489C" w14:textId="77777777" w:rsidR="00595DD9" w:rsidRPr="00595DD9" w:rsidRDefault="00595DD9" w:rsidP="00F62A60">
      <w:pPr>
        <w:ind w:firstLineChars="200" w:firstLine="420"/>
        <w:jc w:val="left"/>
        <w:rPr>
          <w:szCs w:val="21"/>
        </w:rPr>
      </w:pPr>
      <w:r w:rsidRPr="00595DD9">
        <w:rPr>
          <w:szCs w:val="21"/>
        </w:rPr>
        <w:t>正剖面展示节点在3000毫米单元宽度方向的构造关系和尺寸控制。</w:t>
      </w:r>
      <w:proofErr w:type="gramStart"/>
      <w:r w:rsidRPr="00595DD9">
        <w:rPr>
          <w:szCs w:val="21"/>
        </w:rPr>
        <w:t>剖切位置</w:t>
      </w:r>
      <w:proofErr w:type="gramEnd"/>
      <w:r w:rsidRPr="00595DD9">
        <w:rPr>
          <w:szCs w:val="21"/>
        </w:rPr>
        <w:t>通过旋转轴中心线，垂直于屋面坡度方向。</w:t>
      </w:r>
    </w:p>
    <w:p w14:paraId="27BF49C9" w14:textId="77777777" w:rsidR="00595DD9" w:rsidRPr="00595DD9" w:rsidRDefault="00595DD9" w:rsidP="00595DD9">
      <w:pPr>
        <w:jc w:val="left"/>
        <w:rPr>
          <w:szCs w:val="21"/>
        </w:rPr>
      </w:pPr>
      <w:r w:rsidRPr="00595DD9">
        <w:rPr>
          <w:szCs w:val="21"/>
        </w:rPr>
        <w:t>从建筑完成面起算，光伏组件上表面标高为屋面完成面，组件厚度15毫米。组件嵌入铝合金边框上翼缘的卡槽内，卡槽深度20毫米，与组件间隙填充硅酮结构胶。边框总高度80毫米，其中上翼缘厚度15毫米，腹板高度50毫米，下翼缘厚度15毫米。下翼缘中央开孔，直径50毫米，旋转轴由此穿过，轴肩与下翼缘底面接触定位，</w:t>
      </w:r>
      <w:proofErr w:type="gramStart"/>
      <w:r w:rsidRPr="00595DD9">
        <w:rPr>
          <w:szCs w:val="21"/>
        </w:rPr>
        <w:t>轴端用</w:t>
      </w:r>
      <w:proofErr w:type="gramEnd"/>
      <w:r w:rsidRPr="00595DD9">
        <w:rPr>
          <w:szCs w:val="21"/>
        </w:rPr>
        <w:t>M12螺母锁紧，螺母下方设置碟形弹簧垫片，预紧力控制在50至70牛米，既保证连接刚度又避免铝合金边框局部压溃。</w:t>
      </w:r>
    </w:p>
    <w:p w14:paraId="707E77F0" w14:textId="77777777" w:rsidR="00595DD9" w:rsidRPr="00595DD9" w:rsidRDefault="00595DD9" w:rsidP="00F62A60">
      <w:pPr>
        <w:ind w:firstLineChars="200" w:firstLine="420"/>
        <w:jc w:val="left"/>
        <w:rPr>
          <w:szCs w:val="21"/>
        </w:rPr>
      </w:pPr>
      <w:r w:rsidRPr="00595DD9">
        <w:rPr>
          <w:szCs w:val="21"/>
        </w:rPr>
        <w:t>旋转轴向下延伸120毫米至轴承组中心，两套轴承外圈安装于钢制轴承座内，轴承座通过4个M8螺栓固定于电机支架顶板。轴承座与支架之间设置2毫米厚聚四氟乙烯垫</w:t>
      </w:r>
      <w:r w:rsidRPr="00595DD9">
        <w:rPr>
          <w:szCs w:val="21"/>
        </w:rPr>
        <w:lastRenderedPageBreak/>
        <w:t>片，隔离振动传递。电机支架为箱形截面，高度200毫米，内部容纳万向节和减速器。支架底板通过6个M10螺栓与主龙骨顶板连接，螺栓呈两列布置，间距150毫米。</w:t>
      </w:r>
    </w:p>
    <w:p w14:paraId="3ECC1CD0" w14:textId="77777777" w:rsidR="00595DD9" w:rsidRPr="00595DD9" w:rsidRDefault="00595DD9" w:rsidP="00F62A60">
      <w:pPr>
        <w:ind w:firstLineChars="200" w:firstLine="420"/>
        <w:jc w:val="left"/>
        <w:rPr>
          <w:szCs w:val="21"/>
        </w:rPr>
      </w:pPr>
      <w:r w:rsidRPr="00595DD9">
        <w:rPr>
          <w:szCs w:val="21"/>
        </w:rPr>
        <w:t>主龙骨顶板下方为防水过渡层，TPO卷材从龙骨两侧上翻，与支架底板边缘热焊接，形成连续的防水屏障。主龙骨截面100毫米乘100毫米，壁厚6毫米，顶面与底面均设置TPO卷材覆盖，确保钢结构在屋面环境中的耐久性。</w:t>
      </w:r>
    </w:p>
    <w:p w14:paraId="377A1D52" w14:textId="77777777" w:rsidR="00595DD9" w:rsidRPr="00595DD9" w:rsidRDefault="00595DD9" w:rsidP="00F62A60">
      <w:pPr>
        <w:ind w:firstLineChars="200" w:firstLine="420"/>
        <w:jc w:val="left"/>
        <w:rPr>
          <w:szCs w:val="21"/>
        </w:rPr>
      </w:pPr>
      <w:r w:rsidRPr="00595DD9">
        <w:rPr>
          <w:szCs w:val="21"/>
        </w:rPr>
        <w:t>侧剖面构造（沿单元进深方向，比例1比5）</w:t>
      </w:r>
    </w:p>
    <w:p w14:paraId="62C3B0BF" w14:textId="77777777" w:rsidR="00595DD9" w:rsidRPr="00595DD9" w:rsidRDefault="00595DD9" w:rsidP="00F62A60">
      <w:pPr>
        <w:ind w:firstLineChars="200" w:firstLine="420"/>
        <w:jc w:val="left"/>
        <w:rPr>
          <w:szCs w:val="21"/>
        </w:rPr>
      </w:pPr>
      <w:r w:rsidRPr="00595DD9">
        <w:rPr>
          <w:szCs w:val="21"/>
        </w:rPr>
        <w:t>侧剖面展示节点在1500毫米单元进深方向的构造特征，</w:t>
      </w:r>
      <w:proofErr w:type="gramStart"/>
      <w:r w:rsidRPr="00595DD9">
        <w:rPr>
          <w:szCs w:val="21"/>
        </w:rPr>
        <w:t>剖切位置</w:t>
      </w:r>
      <w:proofErr w:type="gramEnd"/>
      <w:r w:rsidRPr="00595DD9">
        <w:rPr>
          <w:szCs w:val="21"/>
        </w:rPr>
        <w:t>同样通过旋转轴中心线，平行于屋面坡度方向。</w:t>
      </w:r>
    </w:p>
    <w:p w14:paraId="0860870D" w14:textId="77777777" w:rsidR="00595DD9" w:rsidRPr="00595DD9" w:rsidRDefault="00595DD9" w:rsidP="00F62A60">
      <w:pPr>
        <w:ind w:firstLineChars="200" w:firstLine="420"/>
        <w:jc w:val="left"/>
        <w:rPr>
          <w:szCs w:val="21"/>
        </w:rPr>
      </w:pPr>
      <w:r w:rsidRPr="00595DD9">
        <w:rPr>
          <w:szCs w:val="21"/>
        </w:rPr>
        <w:t>光伏组件沿进深方向并列布置两块，总宽度2006毫米，与单元总宽度3000毫米之间的差值由铝合金边框的侧翼覆盖。边框侧翼宽度497毫米，与组件边缘通过结构胶粘结，侧翼厚度3毫米，设置加强</w:t>
      </w:r>
      <w:proofErr w:type="gramStart"/>
      <w:r w:rsidRPr="00595DD9">
        <w:rPr>
          <w:szCs w:val="21"/>
        </w:rPr>
        <w:t>肋</w:t>
      </w:r>
      <w:proofErr w:type="gramEnd"/>
      <w:r w:rsidRPr="00595DD9">
        <w:rPr>
          <w:szCs w:val="21"/>
        </w:rPr>
        <w:t>防止翘曲。</w:t>
      </w:r>
    </w:p>
    <w:p w14:paraId="7A29B444" w14:textId="77777777" w:rsidR="00595DD9" w:rsidRPr="00595DD9" w:rsidRDefault="00595DD9" w:rsidP="00F62A60">
      <w:pPr>
        <w:ind w:firstLineChars="200" w:firstLine="420"/>
        <w:jc w:val="left"/>
        <w:rPr>
          <w:szCs w:val="21"/>
        </w:rPr>
      </w:pPr>
      <w:r w:rsidRPr="00595DD9">
        <w:rPr>
          <w:szCs w:val="21"/>
        </w:rPr>
        <w:t>旋转轴在侧剖面中显示为圆形截面，直径50毫米，轴心与组件下表面距离65毫米。</w:t>
      </w:r>
      <w:proofErr w:type="gramStart"/>
      <w:r w:rsidRPr="00595DD9">
        <w:rPr>
          <w:szCs w:val="21"/>
        </w:rPr>
        <w:t>轴端万向节</w:t>
      </w:r>
      <w:proofErr w:type="gramEnd"/>
      <w:r w:rsidRPr="00595DD9">
        <w:rPr>
          <w:szCs w:val="21"/>
        </w:rPr>
        <w:t>在侧视图中呈倾斜状态，展示其正负30度的活动能力。万向节输出轴与减速器输入轴通过</w:t>
      </w:r>
      <w:proofErr w:type="gramStart"/>
      <w:r w:rsidRPr="00595DD9">
        <w:rPr>
          <w:szCs w:val="21"/>
        </w:rPr>
        <w:t>胀</w:t>
      </w:r>
      <w:proofErr w:type="gramEnd"/>
      <w:r w:rsidRPr="00595DD9">
        <w:rPr>
          <w:szCs w:val="21"/>
        </w:rPr>
        <w:t>紧套连接，同轴度要求0.05毫米。</w:t>
      </w:r>
    </w:p>
    <w:p w14:paraId="2CF59DE6" w14:textId="77777777" w:rsidR="00595DD9" w:rsidRPr="00595DD9" w:rsidRDefault="00595DD9" w:rsidP="00F62A60">
      <w:pPr>
        <w:ind w:firstLineChars="200" w:firstLine="420"/>
        <w:jc w:val="left"/>
        <w:rPr>
          <w:szCs w:val="21"/>
        </w:rPr>
      </w:pPr>
      <w:r w:rsidRPr="00595DD9">
        <w:rPr>
          <w:szCs w:val="21"/>
        </w:rPr>
        <w:t>电机在侧剖面中显示为圆柱形轮廓，直径57毫米，长度76毫米，安装于支架箱体的侧面开口内。电机接线从尾部引出，穿入支架内部线槽，最终汇入旋转轴中心的空心孔洞，向上延伸至光伏组件的接线盒。</w:t>
      </w:r>
    </w:p>
    <w:p w14:paraId="65B74A82" w14:textId="77777777" w:rsidR="00595DD9" w:rsidRDefault="00595DD9" w:rsidP="00F62A60">
      <w:pPr>
        <w:ind w:firstLineChars="200" w:firstLine="420"/>
        <w:jc w:val="left"/>
        <w:rPr>
          <w:szCs w:val="21"/>
        </w:rPr>
      </w:pPr>
      <w:r w:rsidRPr="00595DD9">
        <w:rPr>
          <w:szCs w:val="21"/>
        </w:rPr>
        <w:t>节点底部设置铝合金导水槽，宽度300毫米，深度50毫米，纵向坡度2%，坡向</w:t>
      </w:r>
      <w:proofErr w:type="gramStart"/>
      <w:r w:rsidRPr="00595DD9">
        <w:rPr>
          <w:szCs w:val="21"/>
        </w:rPr>
        <w:t>单元低侧的</w:t>
      </w:r>
      <w:proofErr w:type="gramEnd"/>
      <w:r w:rsidRPr="00595DD9">
        <w:rPr>
          <w:szCs w:val="21"/>
        </w:rPr>
        <w:t>排水孔。导水槽与主龙骨侧面</w:t>
      </w:r>
      <w:proofErr w:type="gramStart"/>
      <w:r w:rsidRPr="00595DD9">
        <w:rPr>
          <w:szCs w:val="21"/>
        </w:rPr>
        <w:t>通过角铝连接</w:t>
      </w:r>
      <w:proofErr w:type="gramEnd"/>
      <w:r w:rsidRPr="00595DD9">
        <w:rPr>
          <w:szCs w:val="21"/>
        </w:rPr>
        <w:t>，接缝</w:t>
      </w:r>
      <w:proofErr w:type="gramStart"/>
      <w:r w:rsidRPr="00595DD9">
        <w:rPr>
          <w:szCs w:val="21"/>
        </w:rPr>
        <w:t>处打胶密封</w:t>
      </w:r>
      <w:proofErr w:type="gramEnd"/>
      <w:r w:rsidRPr="00595DD9">
        <w:rPr>
          <w:szCs w:val="21"/>
        </w:rPr>
        <w:t>。排水孔直径32毫米，间距1500毫米，对应每个标准单元的边界，确保任何旋转角度下雨水均可及时排除。</w:t>
      </w:r>
    </w:p>
    <w:p w14:paraId="719B8839" w14:textId="77777777" w:rsidR="00F62A60" w:rsidRPr="00595DD9" w:rsidRDefault="00F62A60" w:rsidP="00F62A60">
      <w:pPr>
        <w:ind w:firstLineChars="200" w:firstLine="420"/>
        <w:jc w:val="left"/>
        <w:rPr>
          <w:rFonts w:hint="eastAsia"/>
          <w:szCs w:val="21"/>
        </w:rPr>
      </w:pPr>
    </w:p>
    <w:p w14:paraId="73B3E0C5" w14:textId="22668D6E" w:rsidR="00C96C88" w:rsidRPr="00C96C88" w:rsidRDefault="00C96C88" w:rsidP="00F62A60">
      <w:pPr>
        <w:ind w:firstLineChars="100" w:firstLine="210"/>
        <w:jc w:val="left"/>
        <w:rPr>
          <w:rFonts w:hint="eastAsia"/>
          <w:b/>
          <w:bCs/>
          <w:szCs w:val="21"/>
        </w:rPr>
      </w:pPr>
      <w:r w:rsidRPr="00C96C88">
        <w:rPr>
          <w:b/>
          <w:bCs/>
          <w:szCs w:val="21"/>
        </w:rPr>
        <w:t>4.4 材料参数表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1043"/>
        <w:gridCol w:w="1654"/>
        <w:gridCol w:w="3026"/>
        <w:gridCol w:w="951"/>
        <w:gridCol w:w="1042"/>
      </w:tblGrid>
      <w:tr w:rsidR="00C96C88" w:rsidRPr="00C96C88" w14:paraId="51B31ADD" w14:textId="77777777" w:rsidTr="00474803">
        <w:trPr>
          <w:tblHeader/>
        </w:trPr>
        <w:tc>
          <w:tcPr>
            <w:tcW w:w="0" w:type="auto"/>
            <w:tcMar>
              <w:top w:w="150" w:type="dxa"/>
              <w:left w:w="150" w:type="dxa"/>
              <w:bottom w:w="150" w:type="dxa"/>
              <w:right w:w="150" w:type="dxa"/>
            </w:tcMar>
            <w:vAlign w:val="bottom"/>
            <w:hideMark/>
          </w:tcPr>
          <w:p w14:paraId="56C2CCD1" w14:textId="77777777" w:rsidR="00C96C88" w:rsidRPr="00C96C88" w:rsidRDefault="00C96C88" w:rsidP="00C96C88">
            <w:pPr>
              <w:jc w:val="left"/>
              <w:rPr>
                <w:szCs w:val="21"/>
              </w:rPr>
            </w:pPr>
            <w:r w:rsidRPr="00C96C88">
              <w:rPr>
                <w:szCs w:val="21"/>
              </w:rPr>
              <w:t>序号</w:t>
            </w:r>
          </w:p>
        </w:tc>
        <w:tc>
          <w:tcPr>
            <w:tcW w:w="0" w:type="auto"/>
            <w:tcMar>
              <w:top w:w="150" w:type="dxa"/>
              <w:left w:w="150" w:type="dxa"/>
              <w:bottom w:w="150" w:type="dxa"/>
              <w:right w:w="150" w:type="dxa"/>
            </w:tcMar>
            <w:vAlign w:val="bottom"/>
            <w:hideMark/>
          </w:tcPr>
          <w:p w14:paraId="0A385375" w14:textId="77777777" w:rsidR="00C96C88" w:rsidRPr="00C96C88" w:rsidRDefault="00C96C88" w:rsidP="00C96C88">
            <w:pPr>
              <w:jc w:val="left"/>
              <w:rPr>
                <w:szCs w:val="21"/>
              </w:rPr>
            </w:pPr>
            <w:r w:rsidRPr="00C96C88">
              <w:rPr>
                <w:szCs w:val="21"/>
              </w:rPr>
              <w:t>材料名称</w:t>
            </w:r>
          </w:p>
        </w:tc>
        <w:tc>
          <w:tcPr>
            <w:tcW w:w="0" w:type="auto"/>
            <w:tcMar>
              <w:top w:w="150" w:type="dxa"/>
              <w:left w:w="150" w:type="dxa"/>
              <w:bottom w:w="150" w:type="dxa"/>
              <w:right w:w="150" w:type="dxa"/>
            </w:tcMar>
            <w:vAlign w:val="bottom"/>
            <w:hideMark/>
          </w:tcPr>
          <w:p w14:paraId="2DE667B4" w14:textId="77777777" w:rsidR="00C96C88" w:rsidRPr="00C96C88" w:rsidRDefault="00C96C88" w:rsidP="00C96C88">
            <w:pPr>
              <w:jc w:val="left"/>
              <w:rPr>
                <w:szCs w:val="21"/>
              </w:rPr>
            </w:pPr>
            <w:r w:rsidRPr="00C96C88">
              <w:rPr>
                <w:szCs w:val="21"/>
              </w:rPr>
              <w:t>规格型号</w:t>
            </w:r>
          </w:p>
        </w:tc>
        <w:tc>
          <w:tcPr>
            <w:tcW w:w="0" w:type="auto"/>
            <w:tcMar>
              <w:top w:w="150" w:type="dxa"/>
              <w:left w:w="150" w:type="dxa"/>
              <w:bottom w:w="150" w:type="dxa"/>
              <w:right w:w="150" w:type="dxa"/>
            </w:tcMar>
            <w:vAlign w:val="bottom"/>
            <w:hideMark/>
          </w:tcPr>
          <w:p w14:paraId="7B2520B4" w14:textId="77777777" w:rsidR="00C96C88" w:rsidRPr="00C96C88" w:rsidRDefault="00C96C88" w:rsidP="00C96C88">
            <w:pPr>
              <w:jc w:val="left"/>
              <w:rPr>
                <w:szCs w:val="21"/>
              </w:rPr>
            </w:pPr>
            <w:r w:rsidRPr="00C96C88">
              <w:rPr>
                <w:szCs w:val="21"/>
              </w:rPr>
              <w:t>技术参数</w:t>
            </w:r>
          </w:p>
        </w:tc>
        <w:tc>
          <w:tcPr>
            <w:tcW w:w="0" w:type="auto"/>
            <w:tcMar>
              <w:top w:w="150" w:type="dxa"/>
              <w:left w:w="150" w:type="dxa"/>
              <w:bottom w:w="150" w:type="dxa"/>
              <w:right w:w="150" w:type="dxa"/>
            </w:tcMar>
            <w:vAlign w:val="bottom"/>
            <w:hideMark/>
          </w:tcPr>
          <w:p w14:paraId="5A64A20F" w14:textId="77777777" w:rsidR="00C96C88" w:rsidRPr="00C96C88" w:rsidRDefault="00C96C88" w:rsidP="00C96C88">
            <w:pPr>
              <w:jc w:val="left"/>
              <w:rPr>
                <w:szCs w:val="21"/>
              </w:rPr>
            </w:pPr>
            <w:r w:rsidRPr="00C96C88">
              <w:rPr>
                <w:szCs w:val="21"/>
              </w:rPr>
              <w:t>数量/单元</w:t>
            </w:r>
          </w:p>
        </w:tc>
        <w:tc>
          <w:tcPr>
            <w:tcW w:w="0" w:type="auto"/>
            <w:tcMar>
              <w:top w:w="150" w:type="dxa"/>
              <w:left w:w="150" w:type="dxa"/>
              <w:bottom w:w="150" w:type="dxa"/>
              <w:right w:w="150" w:type="dxa"/>
            </w:tcMar>
            <w:vAlign w:val="bottom"/>
            <w:hideMark/>
          </w:tcPr>
          <w:p w14:paraId="61A9FF46" w14:textId="77777777" w:rsidR="00C96C88" w:rsidRPr="00C96C88" w:rsidRDefault="00C96C88" w:rsidP="00C96C88">
            <w:pPr>
              <w:jc w:val="left"/>
              <w:rPr>
                <w:szCs w:val="21"/>
              </w:rPr>
            </w:pPr>
            <w:r w:rsidRPr="00C96C88">
              <w:rPr>
                <w:szCs w:val="21"/>
              </w:rPr>
              <w:t>功能说明</w:t>
            </w:r>
          </w:p>
        </w:tc>
      </w:tr>
      <w:tr w:rsidR="00C96C88" w:rsidRPr="00C96C88" w14:paraId="03FFB57E" w14:textId="77777777" w:rsidTr="00474803">
        <w:tc>
          <w:tcPr>
            <w:tcW w:w="0" w:type="auto"/>
            <w:tcMar>
              <w:top w:w="150" w:type="dxa"/>
              <w:left w:w="150" w:type="dxa"/>
              <w:bottom w:w="150" w:type="dxa"/>
              <w:right w:w="150" w:type="dxa"/>
            </w:tcMar>
            <w:vAlign w:val="bottom"/>
            <w:hideMark/>
          </w:tcPr>
          <w:p w14:paraId="5F1A627B" w14:textId="77777777" w:rsidR="00C96C88" w:rsidRPr="00C96C88" w:rsidRDefault="00C96C88" w:rsidP="00C96C88">
            <w:pPr>
              <w:jc w:val="left"/>
              <w:rPr>
                <w:szCs w:val="21"/>
              </w:rPr>
            </w:pPr>
            <w:r w:rsidRPr="00C96C88">
              <w:rPr>
                <w:szCs w:val="21"/>
              </w:rPr>
              <w:t>1</w:t>
            </w:r>
          </w:p>
        </w:tc>
        <w:tc>
          <w:tcPr>
            <w:tcW w:w="0" w:type="auto"/>
            <w:tcMar>
              <w:top w:w="150" w:type="dxa"/>
              <w:left w:w="150" w:type="dxa"/>
              <w:bottom w:w="150" w:type="dxa"/>
              <w:right w:w="150" w:type="dxa"/>
            </w:tcMar>
            <w:vAlign w:val="bottom"/>
            <w:hideMark/>
          </w:tcPr>
          <w:p w14:paraId="1240EC7E" w14:textId="77777777" w:rsidR="00C96C88" w:rsidRPr="00C96C88" w:rsidRDefault="00C96C88" w:rsidP="00C96C88">
            <w:pPr>
              <w:jc w:val="left"/>
              <w:rPr>
                <w:szCs w:val="21"/>
              </w:rPr>
            </w:pPr>
            <w:r w:rsidRPr="00C96C88">
              <w:rPr>
                <w:szCs w:val="21"/>
              </w:rPr>
              <w:t>碲化镉光伏组件</w:t>
            </w:r>
          </w:p>
        </w:tc>
        <w:tc>
          <w:tcPr>
            <w:tcW w:w="0" w:type="auto"/>
            <w:tcMar>
              <w:top w:w="150" w:type="dxa"/>
              <w:left w:w="150" w:type="dxa"/>
              <w:bottom w:w="150" w:type="dxa"/>
              <w:right w:w="150" w:type="dxa"/>
            </w:tcMar>
            <w:vAlign w:val="bottom"/>
            <w:hideMark/>
          </w:tcPr>
          <w:p w14:paraId="5FBD4F26" w14:textId="77777777" w:rsidR="00C96C88" w:rsidRPr="00C96C88" w:rsidRDefault="00C96C88" w:rsidP="00C96C88">
            <w:pPr>
              <w:jc w:val="left"/>
              <w:rPr>
                <w:szCs w:val="21"/>
              </w:rPr>
            </w:pPr>
            <w:r w:rsidRPr="00C96C88">
              <w:rPr>
                <w:szCs w:val="21"/>
              </w:rPr>
              <w:t>First Solar Series 6</w:t>
            </w:r>
          </w:p>
        </w:tc>
        <w:tc>
          <w:tcPr>
            <w:tcW w:w="0" w:type="auto"/>
            <w:tcMar>
              <w:top w:w="150" w:type="dxa"/>
              <w:left w:w="150" w:type="dxa"/>
              <w:bottom w:w="150" w:type="dxa"/>
              <w:right w:w="150" w:type="dxa"/>
            </w:tcMar>
            <w:vAlign w:val="bottom"/>
            <w:hideMark/>
          </w:tcPr>
          <w:p w14:paraId="7C92598A" w14:textId="77777777" w:rsidR="00C96C88" w:rsidRPr="00C96C88" w:rsidRDefault="00C96C88" w:rsidP="00C96C88">
            <w:pPr>
              <w:jc w:val="left"/>
              <w:rPr>
                <w:szCs w:val="21"/>
              </w:rPr>
            </w:pPr>
            <w:r w:rsidRPr="00C96C88">
              <w:rPr>
                <w:szCs w:val="21"/>
              </w:rPr>
              <w:t>功率445W，效率19.3%，尺寸2006×1002×6.9mm</w:t>
            </w:r>
          </w:p>
        </w:tc>
        <w:tc>
          <w:tcPr>
            <w:tcW w:w="0" w:type="auto"/>
            <w:tcMar>
              <w:top w:w="150" w:type="dxa"/>
              <w:left w:w="150" w:type="dxa"/>
              <w:bottom w:w="150" w:type="dxa"/>
              <w:right w:w="150" w:type="dxa"/>
            </w:tcMar>
            <w:vAlign w:val="bottom"/>
            <w:hideMark/>
          </w:tcPr>
          <w:p w14:paraId="15820330" w14:textId="77777777" w:rsidR="00C96C88" w:rsidRPr="00C96C88" w:rsidRDefault="00C96C88" w:rsidP="00C96C88">
            <w:pPr>
              <w:jc w:val="left"/>
              <w:rPr>
                <w:szCs w:val="21"/>
              </w:rPr>
            </w:pPr>
            <w:r w:rsidRPr="00C96C88">
              <w:rPr>
                <w:szCs w:val="21"/>
              </w:rPr>
              <w:t>2块</w:t>
            </w:r>
          </w:p>
        </w:tc>
        <w:tc>
          <w:tcPr>
            <w:tcW w:w="0" w:type="auto"/>
            <w:tcMar>
              <w:top w:w="150" w:type="dxa"/>
              <w:left w:w="150" w:type="dxa"/>
              <w:bottom w:w="150" w:type="dxa"/>
              <w:right w:w="150" w:type="dxa"/>
            </w:tcMar>
            <w:vAlign w:val="bottom"/>
            <w:hideMark/>
          </w:tcPr>
          <w:p w14:paraId="37C10C40" w14:textId="77777777" w:rsidR="00C96C88" w:rsidRPr="00C96C88" w:rsidRDefault="00C96C88" w:rsidP="00C96C88">
            <w:pPr>
              <w:jc w:val="left"/>
              <w:rPr>
                <w:szCs w:val="21"/>
              </w:rPr>
            </w:pPr>
            <w:r w:rsidRPr="00C96C88">
              <w:rPr>
                <w:szCs w:val="21"/>
              </w:rPr>
              <w:t>发电核心</w:t>
            </w:r>
          </w:p>
        </w:tc>
      </w:tr>
      <w:tr w:rsidR="00C96C88" w:rsidRPr="00C96C88" w14:paraId="7C6F3262" w14:textId="77777777" w:rsidTr="00474803">
        <w:tc>
          <w:tcPr>
            <w:tcW w:w="0" w:type="auto"/>
            <w:tcMar>
              <w:top w:w="150" w:type="dxa"/>
              <w:left w:w="150" w:type="dxa"/>
              <w:bottom w:w="150" w:type="dxa"/>
              <w:right w:w="150" w:type="dxa"/>
            </w:tcMar>
            <w:vAlign w:val="bottom"/>
            <w:hideMark/>
          </w:tcPr>
          <w:p w14:paraId="03E245C5" w14:textId="77777777" w:rsidR="00C96C88" w:rsidRPr="00C96C88" w:rsidRDefault="00C96C88" w:rsidP="00C96C88">
            <w:pPr>
              <w:jc w:val="left"/>
              <w:rPr>
                <w:szCs w:val="21"/>
              </w:rPr>
            </w:pPr>
            <w:r w:rsidRPr="00C96C88">
              <w:rPr>
                <w:szCs w:val="21"/>
              </w:rPr>
              <w:t>2</w:t>
            </w:r>
          </w:p>
        </w:tc>
        <w:tc>
          <w:tcPr>
            <w:tcW w:w="0" w:type="auto"/>
            <w:tcMar>
              <w:top w:w="150" w:type="dxa"/>
              <w:left w:w="150" w:type="dxa"/>
              <w:bottom w:w="150" w:type="dxa"/>
              <w:right w:w="150" w:type="dxa"/>
            </w:tcMar>
            <w:vAlign w:val="bottom"/>
            <w:hideMark/>
          </w:tcPr>
          <w:p w14:paraId="1A9B4360" w14:textId="77777777" w:rsidR="00C96C88" w:rsidRPr="00C96C88" w:rsidRDefault="00C96C88" w:rsidP="00C96C88">
            <w:pPr>
              <w:jc w:val="left"/>
              <w:rPr>
                <w:szCs w:val="21"/>
              </w:rPr>
            </w:pPr>
            <w:r w:rsidRPr="00C96C88">
              <w:rPr>
                <w:szCs w:val="21"/>
              </w:rPr>
              <w:t>铝合金边框</w:t>
            </w:r>
          </w:p>
        </w:tc>
        <w:tc>
          <w:tcPr>
            <w:tcW w:w="0" w:type="auto"/>
            <w:tcMar>
              <w:top w:w="150" w:type="dxa"/>
              <w:left w:w="150" w:type="dxa"/>
              <w:bottom w:w="150" w:type="dxa"/>
              <w:right w:w="150" w:type="dxa"/>
            </w:tcMar>
            <w:vAlign w:val="bottom"/>
            <w:hideMark/>
          </w:tcPr>
          <w:p w14:paraId="5174852D" w14:textId="77777777" w:rsidR="00C96C88" w:rsidRPr="00C96C88" w:rsidRDefault="00C96C88" w:rsidP="00C96C88">
            <w:pPr>
              <w:jc w:val="left"/>
              <w:rPr>
                <w:szCs w:val="21"/>
              </w:rPr>
            </w:pPr>
            <w:r w:rsidRPr="00C96C88">
              <w:rPr>
                <w:szCs w:val="21"/>
              </w:rPr>
              <w:t>6063-T5 阳极氧化</w:t>
            </w:r>
          </w:p>
        </w:tc>
        <w:tc>
          <w:tcPr>
            <w:tcW w:w="0" w:type="auto"/>
            <w:tcMar>
              <w:top w:w="150" w:type="dxa"/>
              <w:left w:w="150" w:type="dxa"/>
              <w:bottom w:w="150" w:type="dxa"/>
              <w:right w:w="150" w:type="dxa"/>
            </w:tcMar>
            <w:vAlign w:val="bottom"/>
            <w:hideMark/>
          </w:tcPr>
          <w:p w14:paraId="7E25FE3D" w14:textId="77777777" w:rsidR="00C96C88" w:rsidRPr="00C96C88" w:rsidRDefault="00C96C88" w:rsidP="00C96C88">
            <w:pPr>
              <w:jc w:val="left"/>
              <w:rPr>
                <w:szCs w:val="21"/>
              </w:rPr>
            </w:pPr>
            <w:r w:rsidRPr="00C96C88">
              <w:rPr>
                <w:szCs w:val="21"/>
              </w:rPr>
              <w:t>壁厚3mm，氧化膜厚≥10μm</w:t>
            </w:r>
          </w:p>
        </w:tc>
        <w:tc>
          <w:tcPr>
            <w:tcW w:w="0" w:type="auto"/>
            <w:tcMar>
              <w:top w:w="150" w:type="dxa"/>
              <w:left w:w="150" w:type="dxa"/>
              <w:bottom w:w="150" w:type="dxa"/>
              <w:right w:w="150" w:type="dxa"/>
            </w:tcMar>
            <w:vAlign w:val="bottom"/>
            <w:hideMark/>
          </w:tcPr>
          <w:p w14:paraId="129763C6" w14:textId="77777777" w:rsidR="00C96C88" w:rsidRPr="00C96C88" w:rsidRDefault="00C96C88" w:rsidP="00C96C88">
            <w:pPr>
              <w:jc w:val="left"/>
              <w:rPr>
                <w:szCs w:val="21"/>
              </w:rPr>
            </w:pPr>
            <w:r w:rsidRPr="00C96C88">
              <w:rPr>
                <w:szCs w:val="21"/>
              </w:rPr>
              <w:t>1套</w:t>
            </w:r>
          </w:p>
        </w:tc>
        <w:tc>
          <w:tcPr>
            <w:tcW w:w="0" w:type="auto"/>
            <w:tcMar>
              <w:top w:w="150" w:type="dxa"/>
              <w:left w:w="150" w:type="dxa"/>
              <w:bottom w:w="150" w:type="dxa"/>
              <w:right w:w="150" w:type="dxa"/>
            </w:tcMar>
            <w:vAlign w:val="bottom"/>
            <w:hideMark/>
          </w:tcPr>
          <w:p w14:paraId="54DB4EE9" w14:textId="77777777" w:rsidR="00C96C88" w:rsidRPr="00C96C88" w:rsidRDefault="00C96C88" w:rsidP="00C96C88">
            <w:pPr>
              <w:jc w:val="left"/>
              <w:rPr>
                <w:szCs w:val="21"/>
              </w:rPr>
            </w:pPr>
            <w:r w:rsidRPr="00C96C88">
              <w:rPr>
                <w:szCs w:val="21"/>
              </w:rPr>
              <w:t>结构支撑+旋转框架</w:t>
            </w:r>
          </w:p>
        </w:tc>
      </w:tr>
      <w:tr w:rsidR="00C96C88" w:rsidRPr="00C96C88" w14:paraId="43285AF4" w14:textId="77777777" w:rsidTr="00474803">
        <w:tc>
          <w:tcPr>
            <w:tcW w:w="0" w:type="auto"/>
            <w:tcMar>
              <w:top w:w="150" w:type="dxa"/>
              <w:left w:w="150" w:type="dxa"/>
              <w:bottom w:w="150" w:type="dxa"/>
              <w:right w:w="150" w:type="dxa"/>
            </w:tcMar>
            <w:vAlign w:val="bottom"/>
            <w:hideMark/>
          </w:tcPr>
          <w:p w14:paraId="50ECCF77" w14:textId="77777777" w:rsidR="00C96C88" w:rsidRPr="00C96C88" w:rsidRDefault="00C96C88" w:rsidP="00C96C88">
            <w:pPr>
              <w:jc w:val="left"/>
              <w:rPr>
                <w:szCs w:val="21"/>
              </w:rPr>
            </w:pPr>
            <w:r w:rsidRPr="00C96C88">
              <w:rPr>
                <w:szCs w:val="21"/>
              </w:rPr>
              <w:t>3</w:t>
            </w:r>
          </w:p>
        </w:tc>
        <w:tc>
          <w:tcPr>
            <w:tcW w:w="0" w:type="auto"/>
            <w:tcMar>
              <w:top w:w="150" w:type="dxa"/>
              <w:left w:w="150" w:type="dxa"/>
              <w:bottom w:w="150" w:type="dxa"/>
              <w:right w:w="150" w:type="dxa"/>
            </w:tcMar>
            <w:vAlign w:val="bottom"/>
            <w:hideMark/>
          </w:tcPr>
          <w:p w14:paraId="27DFD76E" w14:textId="77777777" w:rsidR="00C96C88" w:rsidRPr="00C96C88" w:rsidRDefault="00C96C88" w:rsidP="00C96C88">
            <w:pPr>
              <w:jc w:val="left"/>
              <w:rPr>
                <w:szCs w:val="21"/>
              </w:rPr>
            </w:pPr>
            <w:r w:rsidRPr="00C96C88">
              <w:rPr>
                <w:szCs w:val="21"/>
              </w:rPr>
              <w:t>不锈钢旋转轴</w:t>
            </w:r>
          </w:p>
        </w:tc>
        <w:tc>
          <w:tcPr>
            <w:tcW w:w="0" w:type="auto"/>
            <w:tcMar>
              <w:top w:w="150" w:type="dxa"/>
              <w:left w:w="150" w:type="dxa"/>
              <w:bottom w:w="150" w:type="dxa"/>
              <w:right w:w="150" w:type="dxa"/>
            </w:tcMar>
            <w:vAlign w:val="bottom"/>
            <w:hideMark/>
          </w:tcPr>
          <w:p w14:paraId="51587093" w14:textId="77777777" w:rsidR="00C96C88" w:rsidRPr="00C96C88" w:rsidRDefault="00C96C88" w:rsidP="00C96C88">
            <w:pPr>
              <w:jc w:val="left"/>
              <w:rPr>
                <w:szCs w:val="21"/>
              </w:rPr>
            </w:pPr>
            <w:r w:rsidRPr="00C96C88">
              <w:rPr>
                <w:szCs w:val="21"/>
              </w:rPr>
              <w:t>316L 冷拔</w:t>
            </w:r>
          </w:p>
        </w:tc>
        <w:tc>
          <w:tcPr>
            <w:tcW w:w="0" w:type="auto"/>
            <w:tcMar>
              <w:top w:w="150" w:type="dxa"/>
              <w:left w:w="150" w:type="dxa"/>
              <w:bottom w:w="150" w:type="dxa"/>
              <w:right w:w="150" w:type="dxa"/>
            </w:tcMar>
            <w:vAlign w:val="bottom"/>
            <w:hideMark/>
          </w:tcPr>
          <w:p w14:paraId="48E39A88" w14:textId="77777777" w:rsidR="00C96C88" w:rsidRPr="00C96C88" w:rsidRDefault="00C96C88" w:rsidP="00C96C88">
            <w:pPr>
              <w:jc w:val="left"/>
              <w:rPr>
                <w:szCs w:val="21"/>
              </w:rPr>
            </w:pPr>
            <w:r w:rsidRPr="00C96C88">
              <w:rPr>
                <w:szCs w:val="21"/>
              </w:rPr>
              <w:t>φ50×300mm，粗糙度Ra 1.6</w:t>
            </w:r>
          </w:p>
        </w:tc>
        <w:tc>
          <w:tcPr>
            <w:tcW w:w="0" w:type="auto"/>
            <w:tcMar>
              <w:top w:w="150" w:type="dxa"/>
              <w:left w:w="150" w:type="dxa"/>
              <w:bottom w:w="150" w:type="dxa"/>
              <w:right w:w="150" w:type="dxa"/>
            </w:tcMar>
            <w:vAlign w:val="bottom"/>
            <w:hideMark/>
          </w:tcPr>
          <w:p w14:paraId="5EAC3928" w14:textId="77777777" w:rsidR="00C96C88" w:rsidRPr="00C96C88" w:rsidRDefault="00C96C88" w:rsidP="00C96C88">
            <w:pPr>
              <w:jc w:val="left"/>
              <w:rPr>
                <w:szCs w:val="21"/>
              </w:rPr>
            </w:pPr>
            <w:r w:rsidRPr="00C96C88">
              <w:rPr>
                <w:szCs w:val="21"/>
              </w:rPr>
              <w:t>2根</w:t>
            </w:r>
          </w:p>
        </w:tc>
        <w:tc>
          <w:tcPr>
            <w:tcW w:w="0" w:type="auto"/>
            <w:tcMar>
              <w:top w:w="150" w:type="dxa"/>
              <w:left w:w="150" w:type="dxa"/>
              <w:bottom w:w="150" w:type="dxa"/>
              <w:right w:w="150" w:type="dxa"/>
            </w:tcMar>
            <w:vAlign w:val="bottom"/>
            <w:hideMark/>
          </w:tcPr>
          <w:p w14:paraId="1019A700" w14:textId="77777777" w:rsidR="00C96C88" w:rsidRPr="00C96C88" w:rsidRDefault="00C96C88" w:rsidP="00C96C88">
            <w:pPr>
              <w:jc w:val="left"/>
              <w:rPr>
                <w:szCs w:val="21"/>
              </w:rPr>
            </w:pPr>
            <w:r w:rsidRPr="00C96C88">
              <w:rPr>
                <w:szCs w:val="21"/>
              </w:rPr>
              <w:t>旋转枢纽</w:t>
            </w:r>
          </w:p>
        </w:tc>
      </w:tr>
      <w:tr w:rsidR="00C96C88" w:rsidRPr="00C96C88" w14:paraId="611A92C8" w14:textId="77777777" w:rsidTr="00474803">
        <w:tc>
          <w:tcPr>
            <w:tcW w:w="0" w:type="auto"/>
            <w:tcMar>
              <w:top w:w="150" w:type="dxa"/>
              <w:left w:w="150" w:type="dxa"/>
              <w:bottom w:w="150" w:type="dxa"/>
              <w:right w:w="150" w:type="dxa"/>
            </w:tcMar>
            <w:vAlign w:val="bottom"/>
            <w:hideMark/>
          </w:tcPr>
          <w:p w14:paraId="7E362611" w14:textId="77777777" w:rsidR="00C96C88" w:rsidRPr="00C96C88" w:rsidRDefault="00C96C88" w:rsidP="00C96C88">
            <w:pPr>
              <w:jc w:val="left"/>
              <w:rPr>
                <w:szCs w:val="21"/>
              </w:rPr>
            </w:pPr>
            <w:r w:rsidRPr="00C96C88">
              <w:rPr>
                <w:szCs w:val="21"/>
              </w:rPr>
              <w:t>4</w:t>
            </w:r>
          </w:p>
        </w:tc>
        <w:tc>
          <w:tcPr>
            <w:tcW w:w="0" w:type="auto"/>
            <w:tcMar>
              <w:top w:w="150" w:type="dxa"/>
              <w:left w:w="150" w:type="dxa"/>
              <w:bottom w:w="150" w:type="dxa"/>
              <w:right w:w="150" w:type="dxa"/>
            </w:tcMar>
            <w:vAlign w:val="bottom"/>
            <w:hideMark/>
          </w:tcPr>
          <w:p w14:paraId="7E5F5BCC" w14:textId="77777777" w:rsidR="00C96C88" w:rsidRPr="00C96C88" w:rsidRDefault="00C96C88" w:rsidP="00C96C88">
            <w:pPr>
              <w:jc w:val="left"/>
              <w:rPr>
                <w:szCs w:val="21"/>
              </w:rPr>
            </w:pPr>
            <w:r w:rsidRPr="00C96C88">
              <w:rPr>
                <w:szCs w:val="21"/>
              </w:rPr>
              <w:t>深沟球轴承</w:t>
            </w:r>
          </w:p>
        </w:tc>
        <w:tc>
          <w:tcPr>
            <w:tcW w:w="0" w:type="auto"/>
            <w:tcMar>
              <w:top w:w="150" w:type="dxa"/>
              <w:left w:w="150" w:type="dxa"/>
              <w:bottom w:w="150" w:type="dxa"/>
              <w:right w:w="150" w:type="dxa"/>
            </w:tcMar>
            <w:vAlign w:val="bottom"/>
            <w:hideMark/>
          </w:tcPr>
          <w:p w14:paraId="2B51AA9B" w14:textId="77777777" w:rsidR="00C96C88" w:rsidRPr="00C96C88" w:rsidRDefault="00C96C88" w:rsidP="00C96C88">
            <w:pPr>
              <w:jc w:val="left"/>
              <w:rPr>
                <w:szCs w:val="21"/>
              </w:rPr>
            </w:pPr>
            <w:r w:rsidRPr="00C96C88">
              <w:rPr>
                <w:szCs w:val="21"/>
              </w:rPr>
              <w:t>SKF 6208-2RS</w:t>
            </w:r>
          </w:p>
        </w:tc>
        <w:tc>
          <w:tcPr>
            <w:tcW w:w="0" w:type="auto"/>
            <w:tcMar>
              <w:top w:w="150" w:type="dxa"/>
              <w:left w:w="150" w:type="dxa"/>
              <w:bottom w:w="150" w:type="dxa"/>
              <w:right w:w="150" w:type="dxa"/>
            </w:tcMar>
            <w:vAlign w:val="bottom"/>
            <w:hideMark/>
          </w:tcPr>
          <w:p w14:paraId="770ABBC5" w14:textId="77777777" w:rsidR="00C96C88" w:rsidRPr="00C96C88" w:rsidRDefault="00C96C88" w:rsidP="00C96C88">
            <w:pPr>
              <w:jc w:val="left"/>
              <w:rPr>
                <w:szCs w:val="21"/>
              </w:rPr>
            </w:pPr>
            <w:r w:rsidRPr="00C96C88">
              <w:rPr>
                <w:szCs w:val="21"/>
              </w:rPr>
              <w:t>内径40mm，动载荷32.5kN</w:t>
            </w:r>
          </w:p>
        </w:tc>
        <w:tc>
          <w:tcPr>
            <w:tcW w:w="0" w:type="auto"/>
            <w:tcMar>
              <w:top w:w="150" w:type="dxa"/>
              <w:left w:w="150" w:type="dxa"/>
              <w:bottom w:w="150" w:type="dxa"/>
              <w:right w:w="150" w:type="dxa"/>
            </w:tcMar>
            <w:vAlign w:val="bottom"/>
            <w:hideMark/>
          </w:tcPr>
          <w:p w14:paraId="71D26EFF" w14:textId="77777777" w:rsidR="00C96C88" w:rsidRPr="00C96C88" w:rsidRDefault="00C96C88" w:rsidP="00C96C88">
            <w:pPr>
              <w:jc w:val="left"/>
              <w:rPr>
                <w:szCs w:val="21"/>
              </w:rPr>
            </w:pPr>
            <w:r w:rsidRPr="00C96C88">
              <w:rPr>
                <w:szCs w:val="21"/>
              </w:rPr>
              <w:t>4套</w:t>
            </w:r>
          </w:p>
        </w:tc>
        <w:tc>
          <w:tcPr>
            <w:tcW w:w="0" w:type="auto"/>
            <w:tcMar>
              <w:top w:w="150" w:type="dxa"/>
              <w:left w:w="150" w:type="dxa"/>
              <w:bottom w:w="150" w:type="dxa"/>
              <w:right w:w="150" w:type="dxa"/>
            </w:tcMar>
            <w:vAlign w:val="bottom"/>
            <w:hideMark/>
          </w:tcPr>
          <w:p w14:paraId="30F92559" w14:textId="77777777" w:rsidR="00C96C88" w:rsidRPr="00C96C88" w:rsidRDefault="00C96C88" w:rsidP="00C96C88">
            <w:pPr>
              <w:jc w:val="left"/>
              <w:rPr>
                <w:szCs w:val="21"/>
              </w:rPr>
            </w:pPr>
            <w:r w:rsidRPr="00C96C88">
              <w:rPr>
                <w:szCs w:val="21"/>
              </w:rPr>
              <w:t>减摩支撑</w:t>
            </w:r>
          </w:p>
        </w:tc>
      </w:tr>
      <w:tr w:rsidR="00C96C88" w:rsidRPr="00C96C88" w14:paraId="4D60BE22" w14:textId="77777777" w:rsidTr="00474803">
        <w:tc>
          <w:tcPr>
            <w:tcW w:w="0" w:type="auto"/>
            <w:tcMar>
              <w:top w:w="150" w:type="dxa"/>
              <w:left w:w="150" w:type="dxa"/>
              <w:bottom w:w="150" w:type="dxa"/>
              <w:right w:w="150" w:type="dxa"/>
            </w:tcMar>
            <w:vAlign w:val="bottom"/>
            <w:hideMark/>
          </w:tcPr>
          <w:p w14:paraId="537DFF7C" w14:textId="77777777" w:rsidR="00C96C88" w:rsidRPr="00C96C88" w:rsidRDefault="00C96C88" w:rsidP="00C96C88">
            <w:pPr>
              <w:jc w:val="left"/>
              <w:rPr>
                <w:szCs w:val="21"/>
              </w:rPr>
            </w:pPr>
            <w:r w:rsidRPr="00C96C88">
              <w:rPr>
                <w:szCs w:val="21"/>
              </w:rPr>
              <w:t>5</w:t>
            </w:r>
          </w:p>
        </w:tc>
        <w:tc>
          <w:tcPr>
            <w:tcW w:w="0" w:type="auto"/>
            <w:tcMar>
              <w:top w:w="150" w:type="dxa"/>
              <w:left w:w="150" w:type="dxa"/>
              <w:bottom w:w="150" w:type="dxa"/>
              <w:right w:w="150" w:type="dxa"/>
            </w:tcMar>
            <w:vAlign w:val="bottom"/>
            <w:hideMark/>
          </w:tcPr>
          <w:p w14:paraId="23BF296A" w14:textId="77777777" w:rsidR="00C96C88" w:rsidRPr="00C96C88" w:rsidRDefault="00C96C88" w:rsidP="00C96C88">
            <w:pPr>
              <w:jc w:val="left"/>
              <w:rPr>
                <w:szCs w:val="21"/>
              </w:rPr>
            </w:pPr>
            <w:r w:rsidRPr="00C96C88">
              <w:rPr>
                <w:szCs w:val="21"/>
              </w:rPr>
              <w:t>万向节</w:t>
            </w:r>
          </w:p>
        </w:tc>
        <w:tc>
          <w:tcPr>
            <w:tcW w:w="0" w:type="auto"/>
            <w:tcMar>
              <w:top w:w="150" w:type="dxa"/>
              <w:left w:w="150" w:type="dxa"/>
              <w:bottom w:w="150" w:type="dxa"/>
              <w:right w:w="150" w:type="dxa"/>
            </w:tcMar>
            <w:vAlign w:val="bottom"/>
            <w:hideMark/>
          </w:tcPr>
          <w:p w14:paraId="77A49A86" w14:textId="77777777" w:rsidR="00C96C88" w:rsidRPr="00C96C88" w:rsidRDefault="00C96C88" w:rsidP="00C96C88">
            <w:pPr>
              <w:jc w:val="left"/>
              <w:rPr>
                <w:szCs w:val="21"/>
              </w:rPr>
            </w:pPr>
            <w:r w:rsidRPr="00C96C88">
              <w:rPr>
                <w:szCs w:val="21"/>
              </w:rPr>
              <w:t>精密十字轴式</w:t>
            </w:r>
          </w:p>
        </w:tc>
        <w:tc>
          <w:tcPr>
            <w:tcW w:w="0" w:type="auto"/>
            <w:tcMar>
              <w:top w:w="150" w:type="dxa"/>
              <w:left w:w="150" w:type="dxa"/>
              <w:bottom w:w="150" w:type="dxa"/>
              <w:right w:w="150" w:type="dxa"/>
            </w:tcMar>
            <w:vAlign w:val="bottom"/>
            <w:hideMark/>
          </w:tcPr>
          <w:p w14:paraId="00C910C7" w14:textId="77777777" w:rsidR="00C96C88" w:rsidRPr="00C96C88" w:rsidRDefault="00C96C88" w:rsidP="00C96C88">
            <w:pPr>
              <w:jc w:val="left"/>
              <w:rPr>
                <w:szCs w:val="21"/>
              </w:rPr>
            </w:pPr>
            <w:r w:rsidRPr="00C96C88">
              <w:rPr>
                <w:szCs w:val="21"/>
              </w:rPr>
              <w:t>扭矩容量120Nm，角度±30°</w:t>
            </w:r>
          </w:p>
        </w:tc>
        <w:tc>
          <w:tcPr>
            <w:tcW w:w="0" w:type="auto"/>
            <w:tcMar>
              <w:top w:w="150" w:type="dxa"/>
              <w:left w:w="150" w:type="dxa"/>
              <w:bottom w:w="150" w:type="dxa"/>
              <w:right w:w="150" w:type="dxa"/>
            </w:tcMar>
            <w:vAlign w:val="bottom"/>
            <w:hideMark/>
          </w:tcPr>
          <w:p w14:paraId="3C954CC7" w14:textId="77777777" w:rsidR="00C96C88" w:rsidRPr="00C96C88" w:rsidRDefault="00C96C88" w:rsidP="00C96C88">
            <w:pPr>
              <w:jc w:val="left"/>
              <w:rPr>
                <w:szCs w:val="21"/>
              </w:rPr>
            </w:pPr>
            <w:r w:rsidRPr="00C96C88">
              <w:rPr>
                <w:szCs w:val="21"/>
              </w:rPr>
              <w:t>2套</w:t>
            </w:r>
          </w:p>
        </w:tc>
        <w:tc>
          <w:tcPr>
            <w:tcW w:w="0" w:type="auto"/>
            <w:tcMar>
              <w:top w:w="150" w:type="dxa"/>
              <w:left w:w="150" w:type="dxa"/>
              <w:bottom w:w="150" w:type="dxa"/>
              <w:right w:w="150" w:type="dxa"/>
            </w:tcMar>
            <w:vAlign w:val="bottom"/>
            <w:hideMark/>
          </w:tcPr>
          <w:p w14:paraId="46AF47C2" w14:textId="77777777" w:rsidR="00C96C88" w:rsidRPr="00C96C88" w:rsidRDefault="00C96C88" w:rsidP="00C96C88">
            <w:pPr>
              <w:jc w:val="left"/>
              <w:rPr>
                <w:szCs w:val="21"/>
              </w:rPr>
            </w:pPr>
            <w:r w:rsidRPr="00C96C88">
              <w:rPr>
                <w:szCs w:val="21"/>
              </w:rPr>
              <w:t>双轴自由度</w:t>
            </w:r>
          </w:p>
        </w:tc>
      </w:tr>
      <w:tr w:rsidR="00C96C88" w:rsidRPr="00C96C88" w14:paraId="381081FC" w14:textId="77777777" w:rsidTr="00474803">
        <w:tc>
          <w:tcPr>
            <w:tcW w:w="0" w:type="auto"/>
            <w:tcMar>
              <w:top w:w="150" w:type="dxa"/>
              <w:left w:w="150" w:type="dxa"/>
              <w:bottom w:w="150" w:type="dxa"/>
              <w:right w:w="150" w:type="dxa"/>
            </w:tcMar>
            <w:vAlign w:val="bottom"/>
            <w:hideMark/>
          </w:tcPr>
          <w:p w14:paraId="136B0455" w14:textId="77777777" w:rsidR="00C96C88" w:rsidRPr="00C96C88" w:rsidRDefault="00C96C88" w:rsidP="00C96C88">
            <w:pPr>
              <w:jc w:val="left"/>
              <w:rPr>
                <w:szCs w:val="21"/>
              </w:rPr>
            </w:pPr>
            <w:r w:rsidRPr="00C96C88">
              <w:rPr>
                <w:szCs w:val="21"/>
              </w:rPr>
              <w:lastRenderedPageBreak/>
              <w:t>6</w:t>
            </w:r>
          </w:p>
        </w:tc>
        <w:tc>
          <w:tcPr>
            <w:tcW w:w="0" w:type="auto"/>
            <w:tcMar>
              <w:top w:w="150" w:type="dxa"/>
              <w:left w:w="150" w:type="dxa"/>
              <w:bottom w:w="150" w:type="dxa"/>
              <w:right w:w="150" w:type="dxa"/>
            </w:tcMar>
            <w:vAlign w:val="bottom"/>
            <w:hideMark/>
          </w:tcPr>
          <w:p w14:paraId="0B91EC86" w14:textId="77777777" w:rsidR="00C96C88" w:rsidRPr="00C96C88" w:rsidRDefault="00C96C88" w:rsidP="00C96C88">
            <w:pPr>
              <w:jc w:val="left"/>
              <w:rPr>
                <w:szCs w:val="21"/>
              </w:rPr>
            </w:pPr>
            <w:r w:rsidRPr="00C96C88">
              <w:rPr>
                <w:szCs w:val="21"/>
              </w:rPr>
              <w:t>步进电机</w:t>
            </w:r>
          </w:p>
        </w:tc>
        <w:tc>
          <w:tcPr>
            <w:tcW w:w="0" w:type="auto"/>
            <w:tcMar>
              <w:top w:w="150" w:type="dxa"/>
              <w:left w:w="150" w:type="dxa"/>
              <w:bottom w:w="150" w:type="dxa"/>
              <w:right w:w="150" w:type="dxa"/>
            </w:tcMar>
            <w:vAlign w:val="bottom"/>
            <w:hideMark/>
          </w:tcPr>
          <w:p w14:paraId="782B9AA1" w14:textId="77777777" w:rsidR="00C96C88" w:rsidRPr="00C96C88" w:rsidRDefault="00C96C88" w:rsidP="00C96C88">
            <w:pPr>
              <w:jc w:val="left"/>
              <w:rPr>
                <w:szCs w:val="21"/>
              </w:rPr>
            </w:pPr>
            <w:r w:rsidRPr="00C96C88">
              <w:rPr>
                <w:szCs w:val="21"/>
              </w:rPr>
              <w:t>57BYGH310-01</w:t>
            </w:r>
          </w:p>
        </w:tc>
        <w:tc>
          <w:tcPr>
            <w:tcW w:w="0" w:type="auto"/>
            <w:tcMar>
              <w:top w:w="150" w:type="dxa"/>
              <w:left w:w="150" w:type="dxa"/>
              <w:bottom w:w="150" w:type="dxa"/>
              <w:right w:w="150" w:type="dxa"/>
            </w:tcMar>
            <w:vAlign w:val="bottom"/>
            <w:hideMark/>
          </w:tcPr>
          <w:p w14:paraId="3BD81D68" w14:textId="77777777" w:rsidR="00C96C88" w:rsidRPr="00C96C88" w:rsidRDefault="00C96C88" w:rsidP="00C96C88">
            <w:pPr>
              <w:jc w:val="left"/>
              <w:rPr>
                <w:szCs w:val="21"/>
              </w:rPr>
            </w:pPr>
            <w:r w:rsidRPr="00C96C88">
              <w:rPr>
                <w:szCs w:val="21"/>
              </w:rPr>
              <w:t>扭矩8Nm，步距角1.8°</w:t>
            </w:r>
          </w:p>
        </w:tc>
        <w:tc>
          <w:tcPr>
            <w:tcW w:w="0" w:type="auto"/>
            <w:tcMar>
              <w:top w:w="150" w:type="dxa"/>
              <w:left w:w="150" w:type="dxa"/>
              <w:bottom w:w="150" w:type="dxa"/>
              <w:right w:w="150" w:type="dxa"/>
            </w:tcMar>
            <w:vAlign w:val="bottom"/>
            <w:hideMark/>
          </w:tcPr>
          <w:p w14:paraId="6CECEFA0" w14:textId="77777777" w:rsidR="00C96C88" w:rsidRPr="00C96C88" w:rsidRDefault="00C96C88" w:rsidP="00C96C88">
            <w:pPr>
              <w:jc w:val="left"/>
              <w:rPr>
                <w:szCs w:val="21"/>
              </w:rPr>
            </w:pPr>
            <w:r w:rsidRPr="00C96C88">
              <w:rPr>
                <w:szCs w:val="21"/>
              </w:rPr>
              <w:t>2台</w:t>
            </w:r>
          </w:p>
        </w:tc>
        <w:tc>
          <w:tcPr>
            <w:tcW w:w="0" w:type="auto"/>
            <w:tcMar>
              <w:top w:w="150" w:type="dxa"/>
              <w:left w:w="150" w:type="dxa"/>
              <w:bottom w:w="150" w:type="dxa"/>
              <w:right w:w="150" w:type="dxa"/>
            </w:tcMar>
            <w:vAlign w:val="bottom"/>
            <w:hideMark/>
          </w:tcPr>
          <w:p w14:paraId="58B1CCF4" w14:textId="77777777" w:rsidR="00C96C88" w:rsidRPr="00C96C88" w:rsidRDefault="00C96C88" w:rsidP="00C96C88">
            <w:pPr>
              <w:jc w:val="left"/>
              <w:rPr>
                <w:szCs w:val="21"/>
              </w:rPr>
            </w:pPr>
            <w:r w:rsidRPr="00C96C88">
              <w:rPr>
                <w:szCs w:val="21"/>
              </w:rPr>
              <w:t>驱动执行</w:t>
            </w:r>
          </w:p>
        </w:tc>
      </w:tr>
      <w:tr w:rsidR="00C96C88" w:rsidRPr="00C96C88" w14:paraId="6F8BCAAE" w14:textId="77777777" w:rsidTr="00474803">
        <w:tc>
          <w:tcPr>
            <w:tcW w:w="0" w:type="auto"/>
            <w:tcMar>
              <w:top w:w="150" w:type="dxa"/>
              <w:left w:w="150" w:type="dxa"/>
              <w:bottom w:w="150" w:type="dxa"/>
              <w:right w:w="150" w:type="dxa"/>
            </w:tcMar>
            <w:vAlign w:val="bottom"/>
            <w:hideMark/>
          </w:tcPr>
          <w:p w14:paraId="6C57761D" w14:textId="77777777" w:rsidR="00C96C88" w:rsidRPr="00C96C88" w:rsidRDefault="00C96C88" w:rsidP="00C96C88">
            <w:pPr>
              <w:jc w:val="left"/>
              <w:rPr>
                <w:szCs w:val="21"/>
              </w:rPr>
            </w:pPr>
            <w:r w:rsidRPr="00C96C88">
              <w:rPr>
                <w:szCs w:val="21"/>
              </w:rPr>
              <w:t>7</w:t>
            </w:r>
          </w:p>
        </w:tc>
        <w:tc>
          <w:tcPr>
            <w:tcW w:w="0" w:type="auto"/>
            <w:tcMar>
              <w:top w:w="150" w:type="dxa"/>
              <w:left w:w="150" w:type="dxa"/>
              <w:bottom w:w="150" w:type="dxa"/>
              <w:right w:w="150" w:type="dxa"/>
            </w:tcMar>
            <w:vAlign w:val="bottom"/>
            <w:hideMark/>
          </w:tcPr>
          <w:p w14:paraId="725B2101" w14:textId="77777777" w:rsidR="00C96C88" w:rsidRPr="00C96C88" w:rsidRDefault="00C96C88" w:rsidP="00C96C88">
            <w:pPr>
              <w:jc w:val="left"/>
              <w:rPr>
                <w:szCs w:val="21"/>
              </w:rPr>
            </w:pPr>
            <w:r w:rsidRPr="00C96C88">
              <w:rPr>
                <w:szCs w:val="21"/>
              </w:rPr>
              <w:t>防水密封条</w:t>
            </w:r>
          </w:p>
        </w:tc>
        <w:tc>
          <w:tcPr>
            <w:tcW w:w="0" w:type="auto"/>
            <w:tcMar>
              <w:top w:w="150" w:type="dxa"/>
              <w:left w:w="150" w:type="dxa"/>
              <w:bottom w:w="150" w:type="dxa"/>
              <w:right w:w="150" w:type="dxa"/>
            </w:tcMar>
            <w:vAlign w:val="bottom"/>
            <w:hideMark/>
          </w:tcPr>
          <w:p w14:paraId="2D0E27EA" w14:textId="77777777" w:rsidR="00C96C88" w:rsidRPr="00C96C88" w:rsidRDefault="00C96C88" w:rsidP="00C96C88">
            <w:pPr>
              <w:jc w:val="left"/>
              <w:rPr>
                <w:szCs w:val="21"/>
              </w:rPr>
            </w:pPr>
            <w:r w:rsidRPr="00C96C88">
              <w:rPr>
                <w:szCs w:val="21"/>
              </w:rPr>
              <w:t>三元乙丙橡胶</w:t>
            </w:r>
          </w:p>
        </w:tc>
        <w:tc>
          <w:tcPr>
            <w:tcW w:w="0" w:type="auto"/>
            <w:tcMar>
              <w:top w:w="150" w:type="dxa"/>
              <w:left w:w="150" w:type="dxa"/>
              <w:bottom w:w="150" w:type="dxa"/>
              <w:right w:w="150" w:type="dxa"/>
            </w:tcMar>
            <w:vAlign w:val="bottom"/>
            <w:hideMark/>
          </w:tcPr>
          <w:p w14:paraId="131DFBED" w14:textId="77777777" w:rsidR="00C96C88" w:rsidRPr="00C96C88" w:rsidRDefault="00C96C88" w:rsidP="00C96C88">
            <w:pPr>
              <w:jc w:val="left"/>
              <w:rPr>
                <w:szCs w:val="21"/>
              </w:rPr>
            </w:pPr>
            <w:r w:rsidRPr="00C96C88">
              <w:rPr>
                <w:szCs w:val="21"/>
              </w:rPr>
              <w:t>邵氏硬度65A，拉伸强度≥9MPa</w:t>
            </w:r>
          </w:p>
        </w:tc>
        <w:tc>
          <w:tcPr>
            <w:tcW w:w="0" w:type="auto"/>
            <w:tcMar>
              <w:top w:w="150" w:type="dxa"/>
              <w:left w:w="150" w:type="dxa"/>
              <w:bottom w:w="150" w:type="dxa"/>
              <w:right w:w="150" w:type="dxa"/>
            </w:tcMar>
            <w:vAlign w:val="bottom"/>
            <w:hideMark/>
          </w:tcPr>
          <w:p w14:paraId="00566441" w14:textId="77777777" w:rsidR="00C96C88" w:rsidRPr="00C96C88" w:rsidRDefault="00C96C88" w:rsidP="00C96C88">
            <w:pPr>
              <w:jc w:val="left"/>
              <w:rPr>
                <w:szCs w:val="21"/>
              </w:rPr>
            </w:pPr>
            <w:r w:rsidRPr="00C96C88">
              <w:rPr>
                <w:szCs w:val="21"/>
              </w:rPr>
              <w:t>4m</w:t>
            </w:r>
          </w:p>
        </w:tc>
        <w:tc>
          <w:tcPr>
            <w:tcW w:w="0" w:type="auto"/>
            <w:tcMar>
              <w:top w:w="150" w:type="dxa"/>
              <w:left w:w="150" w:type="dxa"/>
              <w:bottom w:w="150" w:type="dxa"/>
              <w:right w:w="150" w:type="dxa"/>
            </w:tcMar>
            <w:vAlign w:val="bottom"/>
            <w:hideMark/>
          </w:tcPr>
          <w:p w14:paraId="0D50CB16" w14:textId="77777777" w:rsidR="00C96C88" w:rsidRPr="00C96C88" w:rsidRDefault="00C96C88" w:rsidP="00C96C88">
            <w:pPr>
              <w:jc w:val="left"/>
              <w:rPr>
                <w:szCs w:val="21"/>
              </w:rPr>
            </w:pPr>
            <w:r w:rsidRPr="00C96C88">
              <w:rPr>
                <w:szCs w:val="21"/>
              </w:rPr>
              <w:t>动态密封</w:t>
            </w:r>
          </w:p>
        </w:tc>
      </w:tr>
      <w:tr w:rsidR="00C96C88" w:rsidRPr="00C96C88" w14:paraId="2C965F3F" w14:textId="77777777" w:rsidTr="00474803">
        <w:tc>
          <w:tcPr>
            <w:tcW w:w="0" w:type="auto"/>
            <w:tcMar>
              <w:top w:w="150" w:type="dxa"/>
              <w:left w:w="150" w:type="dxa"/>
              <w:bottom w:w="150" w:type="dxa"/>
              <w:right w:w="150" w:type="dxa"/>
            </w:tcMar>
            <w:vAlign w:val="bottom"/>
            <w:hideMark/>
          </w:tcPr>
          <w:p w14:paraId="60EB6C90" w14:textId="77777777" w:rsidR="00C96C88" w:rsidRPr="00C96C88" w:rsidRDefault="00C96C88" w:rsidP="00C96C88">
            <w:pPr>
              <w:jc w:val="left"/>
              <w:rPr>
                <w:szCs w:val="21"/>
              </w:rPr>
            </w:pPr>
            <w:r w:rsidRPr="00C96C88">
              <w:rPr>
                <w:szCs w:val="21"/>
              </w:rPr>
              <w:t>8</w:t>
            </w:r>
          </w:p>
        </w:tc>
        <w:tc>
          <w:tcPr>
            <w:tcW w:w="0" w:type="auto"/>
            <w:tcMar>
              <w:top w:w="150" w:type="dxa"/>
              <w:left w:w="150" w:type="dxa"/>
              <w:bottom w:w="150" w:type="dxa"/>
              <w:right w:w="150" w:type="dxa"/>
            </w:tcMar>
            <w:vAlign w:val="bottom"/>
            <w:hideMark/>
          </w:tcPr>
          <w:p w14:paraId="42B0A881" w14:textId="77777777" w:rsidR="00C96C88" w:rsidRPr="00C96C88" w:rsidRDefault="00C96C88" w:rsidP="00C96C88">
            <w:pPr>
              <w:jc w:val="left"/>
              <w:rPr>
                <w:szCs w:val="21"/>
              </w:rPr>
            </w:pPr>
            <w:r w:rsidRPr="00C96C88">
              <w:rPr>
                <w:szCs w:val="21"/>
              </w:rPr>
              <w:t>TPO防水卷材</w:t>
            </w:r>
          </w:p>
        </w:tc>
        <w:tc>
          <w:tcPr>
            <w:tcW w:w="0" w:type="auto"/>
            <w:tcMar>
              <w:top w:w="150" w:type="dxa"/>
              <w:left w:w="150" w:type="dxa"/>
              <w:bottom w:w="150" w:type="dxa"/>
              <w:right w:w="150" w:type="dxa"/>
            </w:tcMar>
            <w:vAlign w:val="bottom"/>
            <w:hideMark/>
          </w:tcPr>
          <w:p w14:paraId="0E3D2EB0" w14:textId="77777777" w:rsidR="00C96C88" w:rsidRPr="00C96C88" w:rsidRDefault="00C96C88" w:rsidP="00C96C88">
            <w:pPr>
              <w:jc w:val="left"/>
              <w:rPr>
                <w:szCs w:val="21"/>
              </w:rPr>
            </w:pPr>
            <w:r w:rsidRPr="00C96C88">
              <w:rPr>
                <w:szCs w:val="21"/>
              </w:rPr>
              <w:t>1.5mm厚</w:t>
            </w:r>
          </w:p>
        </w:tc>
        <w:tc>
          <w:tcPr>
            <w:tcW w:w="0" w:type="auto"/>
            <w:tcMar>
              <w:top w:w="150" w:type="dxa"/>
              <w:left w:w="150" w:type="dxa"/>
              <w:bottom w:w="150" w:type="dxa"/>
              <w:right w:w="150" w:type="dxa"/>
            </w:tcMar>
            <w:vAlign w:val="bottom"/>
            <w:hideMark/>
          </w:tcPr>
          <w:p w14:paraId="5C34D6E6" w14:textId="77777777" w:rsidR="00C96C88" w:rsidRPr="00C96C88" w:rsidRDefault="00C96C88" w:rsidP="00C96C88">
            <w:pPr>
              <w:jc w:val="left"/>
              <w:rPr>
                <w:szCs w:val="21"/>
              </w:rPr>
            </w:pPr>
            <w:r w:rsidRPr="00C96C88">
              <w:rPr>
                <w:szCs w:val="21"/>
              </w:rPr>
              <w:t>拉伸强度≥12MPa，</w:t>
            </w:r>
            <w:proofErr w:type="gramStart"/>
            <w:r w:rsidRPr="00C96C88">
              <w:rPr>
                <w:szCs w:val="21"/>
              </w:rPr>
              <w:t>耐根穿刺</w:t>
            </w:r>
            <w:proofErr w:type="gramEnd"/>
          </w:p>
        </w:tc>
        <w:tc>
          <w:tcPr>
            <w:tcW w:w="0" w:type="auto"/>
            <w:tcMar>
              <w:top w:w="150" w:type="dxa"/>
              <w:left w:w="150" w:type="dxa"/>
              <w:bottom w:w="150" w:type="dxa"/>
              <w:right w:w="150" w:type="dxa"/>
            </w:tcMar>
            <w:vAlign w:val="bottom"/>
            <w:hideMark/>
          </w:tcPr>
          <w:p w14:paraId="722521E6" w14:textId="77777777" w:rsidR="00C96C88" w:rsidRPr="00C96C88" w:rsidRDefault="00C96C88" w:rsidP="00C96C88">
            <w:pPr>
              <w:jc w:val="left"/>
              <w:rPr>
                <w:szCs w:val="21"/>
              </w:rPr>
            </w:pPr>
            <w:r w:rsidRPr="00C96C88">
              <w:rPr>
                <w:szCs w:val="21"/>
              </w:rPr>
              <w:t>3.5m²</w:t>
            </w:r>
          </w:p>
        </w:tc>
        <w:tc>
          <w:tcPr>
            <w:tcW w:w="0" w:type="auto"/>
            <w:tcMar>
              <w:top w:w="150" w:type="dxa"/>
              <w:left w:w="150" w:type="dxa"/>
              <w:bottom w:w="150" w:type="dxa"/>
              <w:right w:w="150" w:type="dxa"/>
            </w:tcMar>
            <w:vAlign w:val="bottom"/>
            <w:hideMark/>
          </w:tcPr>
          <w:p w14:paraId="1592676C" w14:textId="77777777" w:rsidR="00C96C88" w:rsidRPr="00C96C88" w:rsidRDefault="00C96C88" w:rsidP="00C96C88">
            <w:pPr>
              <w:jc w:val="left"/>
              <w:rPr>
                <w:szCs w:val="21"/>
              </w:rPr>
            </w:pPr>
            <w:r w:rsidRPr="00C96C88">
              <w:rPr>
                <w:szCs w:val="21"/>
              </w:rPr>
              <w:t>基层防水</w:t>
            </w:r>
          </w:p>
        </w:tc>
      </w:tr>
    </w:tbl>
    <w:p w14:paraId="1FD0B287" w14:textId="35F93EBA" w:rsidR="00C96C88" w:rsidRPr="00C96C88" w:rsidRDefault="00C96C88" w:rsidP="00C96C88">
      <w:pPr>
        <w:jc w:val="left"/>
        <w:rPr>
          <w:szCs w:val="21"/>
        </w:rPr>
      </w:pPr>
    </w:p>
    <w:p w14:paraId="30CBCE9C" w14:textId="77777777" w:rsidR="00E719E0" w:rsidRPr="00E719E0" w:rsidRDefault="00E719E0" w:rsidP="00E719E0">
      <w:pPr>
        <w:jc w:val="left"/>
        <w:rPr>
          <w:b/>
          <w:bCs/>
          <w:szCs w:val="21"/>
        </w:rPr>
      </w:pPr>
      <w:r w:rsidRPr="00E719E0">
        <w:rPr>
          <w:b/>
          <w:bCs/>
          <w:szCs w:val="21"/>
        </w:rPr>
        <w:t>五、性能仿真验证</w:t>
      </w:r>
    </w:p>
    <w:p w14:paraId="15C1F278" w14:textId="77777777" w:rsidR="00E719E0" w:rsidRPr="00E719E0" w:rsidRDefault="00E719E0" w:rsidP="00F62A60">
      <w:pPr>
        <w:ind w:firstLineChars="100" w:firstLine="210"/>
        <w:jc w:val="left"/>
        <w:rPr>
          <w:b/>
          <w:bCs/>
          <w:szCs w:val="21"/>
        </w:rPr>
      </w:pPr>
      <w:r w:rsidRPr="00E719E0">
        <w:rPr>
          <w:b/>
          <w:bCs/>
          <w:szCs w:val="21"/>
        </w:rPr>
        <w:t>5.1 热工性能模拟（</w:t>
      </w:r>
      <w:proofErr w:type="spellStart"/>
      <w:r w:rsidRPr="00E719E0">
        <w:rPr>
          <w:b/>
          <w:bCs/>
          <w:szCs w:val="21"/>
        </w:rPr>
        <w:t>EnergyPlus</w:t>
      </w:r>
      <w:proofErr w:type="spellEnd"/>
      <w:r w:rsidRPr="00E719E0">
        <w:rPr>
          <w:b/>
          <w:bCs/>
          <w:szCs w:val="21"/>
        </w:rPr>
        <w:t>）</w:t>
      </w:r>
    </w:p>
    <w:p w14:paraId="4C7F971F" w14:textId="77777777" w:rsidR="00E719E0" w:rsidRPr="00E719E0" w:rsidRDefault="00E719E0" w:rsidP="00F62A60">
      <w:pPr>
        <w:ind w:firstLineChars="200" w:firstLine="420"/>
        <w:jc w:val="left"/>
        <w:rPr>
          <w:szCs w:val="21"/>
        </w:rPr>
      </w:pPr>
      <w:r w:rsidRPr="00E719E0">
        <w:rPr>
          <w:szCs w:val="21"/>
        </w:rPr>
        <w:t>模拟条件设定</w:t>
      </w:r>
    </w:p>
    <w:p w14:paraId="55D55C93" w14:textId="77777777" w:rsidR="00E719E0" w:rsidRPr="00E719E0" w:rsidRDefault="00E719E0" w:rsidP="00F62A60">
      <w:pPr>
        <w:ind w:firstLineChars="200" w:firstLine="420"/>
        <w:jc w:val="left"/>
        <w:rPr>
          <w:szCs w:val="21"/>
        </w:rPr>
      </w:pPr>
      <w:r w:rsidRPr="00E719E0">
        <w:rPr>
          <w:szCs w:val="21"/>
        </w:rPr>
        <w:t>本次热工性能模拟选取海南省海口市作为代表地点，地理坐标为北纬20.0度，东经110.3度，属于夏热冬暖气候区。模拟采用CSWD中国标准气象数据中的海口典型气象年数据，涵盖全年8760小时的逐时气象参数，包括干球温度、湿球温度、太阳辐射量、风速风向等关键变量。</w:t>
      </w:r>
    </w:p>
    <w:p w14:paraId="754D44D9" w14:textId="77777777" w:rsidR="00E719E0" w:rsidRPr="00E719E0" w:rsidRDefault="00E719E0" w:rsidP="00E719E0">
      <w:pPr>
        <w:jc w:val="left"/>
        <w:rPr>
          <w:szCs w:val="21"/>
        </w:rPr>
      </w:pPr>
      <w:r w:rsidRPr="00E719E0">
        <w:rPr>
          <w:szCs w:val="21"/>
        </w:rPr>
        <w:t>屋面系统模型参数设定如下：屋面总面积1200平方米，划分为400个标准单元，每个单元尺寸3米乘1.5米。对比方案包括传统固定倾角屋面（倾角固定为20度，对应海口地区纬度近似值）与本自适应追踪屋面系统。室内空调设定温度为26摄氏度，围护结构传热系数依据《公共建筑节能设计标准》GB50189-2015取值，屋面传热系数限值为0.5瓦每平方米每开尔文。</w:t>
      </w:r>
    </w:p>
    <w:p w14:paraId="305723AE" w14:textId="77777777" w:rsidR="00E719E0" w:rsidRPr="00E719E0" w:rsidRDefault="00E719E0" w:rsidP="00F62A60">
      <w:pPr>
        <w:ind w:firstLineChars="200" w:firstLine="420"/>
        <w:jc w:val="left"/>
        <w:rPr>
          <w:szCs w:val="21"/>
        </w:rPr>
      </w:pPr>
      <w:r w:rsidRPr="00E719E0">
        <w:rPr>
          <w:szCs w:val="21"/>
        </w:rPr>
        <w:t>年发电量模拟结果</w:t>
      </w:r>
    </w:p>
    <w:p w14:paraId="1A00A4F4" w14:textId="77777777" w:rsidR="00E719E0" w:rsidRPr="00E719E0" w:rsidRDefault="00E719E0" w:rsidP="00F62A60">
      <w:pPr>
        <w:ind w:firstLineChars="200" w:firstLine="420"/>
        <w:jc w:val="left"/>
        <w:rPr>
          <w:szCs w:val="21"/>
        </w:rPr>
      </w:pPr>
      <w:r w:rsidRPr="00E719E0">
        <w:rPr>
          <w:szCs w:val="21"/>
        </w:rPr>
        <w:t>固定倾角屋面系统的年发电量模拟结果为198560千瓦时，这一数值基于20度固定倾角下的太阳辐射接收量计算，考虑了海口地区年太阳总辐射量约1500千瓦时每平方米的资源条件，以及碲化镉组件19.3%的转换效率。</w:t>
      </w:r>
    </w:p>
    <w:p w14:paraId="25C4D6D8" w14:textId="77777777" w:rsidR="00E719E0" w:rsidRPr="00E719E0" w:rsidRDefault="00E719E0" w:rsidP="00E719E0">
      <w:pPr>
        <w:jc w:val="left"/>
        <w:rPr>
          <w:szCs w:val="21"/>
        </w:rPr>
      </w:pPr>
      <w:r w:rsidRPr="00E719E0">
        <w:rPr>
          <w:szCs w:val="21"/>
        </w:rPr>
        <w:t>自适应追踪屋面系统的年发电量模拟结果达到278450千瓦时，较固定倾角系统提升79890千瓦时，增幅为40.2%。这一显著提升源于双轴追踪系统使光伏组件表面在绝大多数时段维持接近垂直入射的最佳角度，有效减少了入射角的余弦损失。特别是在上午9时至下午3时的高辐射时段，追踪系统的入射角始终控制在15度以内，而固定系统的入射角随太阳方位变化在20度至90度之间波动。</w:t>
      </w:r>
    </w:p>
    <w:p w14:paraId="0B72EAC6" w14:textId="77777777" w:rsidR="00E719E0" w:rsidRPr="00E719E0" w:rsidRDefault="00E719E0" w:rsidP="00F62A60">
      <w:pPr>
        <w:ind w:firstLineChars="200" w:firstLine="420"/>
        <w:jc w:val="left"/>
        <w:rPr>
          <w:szCs w:val="21"/>
        </w:rPr>
      </w:pPr>
      <w:r w:rsidRPr="00E719E0">
        <w:rPr>
          <w:szCs w:val="21"/>
        </w:rPr>
        <w:t>从季节分布来看，夏季（6月至8月）发电量增益最为显著，达到45.6%，这是因为夏季太阳高度角较高，固定倾角的偏离程度更大；冬季（12月至2月）增益相对较低，为32.8%，但仍保持明显优势。全年等效满发小时数从固定系统的1324小时提升至追踪系统的1856小时，增加532小时。</w:t>
      </w:r>
    </w:p>
    <w:p w14:paraId="52A55A49" w14:textId="77777777" w:rsidR="00E719E0" w:rsidRPr="00E719E0" w:rsidRDefault="00E719E0" w:rsidP="00F62A60">
      <w:pPr>
        <w:ind w:firstLineChars="200" w:firstLine="420"/>
        <w:jc w:val="left"/>
        <w:rPr>
          <w:szCs w:val="21"/>
        </w:rPr>
      </w:pPr>
      <w:r w:rsidRPr="00E719E0">
        <w:rPr>
          <w:szCs w:val="21"/>
        </w:rPr>
        <w:t>夏季屋面热环境模拟结果</w:t>
      </w:r>
    </w:p>
    <w:p w14:paraId="2C8590BE" w14:textId="77777777" w:rsidR="00E719E0" w:rsidRPr="00E719E0" w:rsidRDefault="00E719E0" w:rsidP="00F62A60">
      <w:pPr>
        <w:ind w:firstLineChars="200" w:firstLine="420"/>
        <w:jc w:val="left"/>
        <w:rPr>
          <w:szCs w:val="21"/>
        </w:rPr>
      </w:pPr>
      <w:r w:rsidRPr="00E719E0">
        <w:rPr>
          <w:szCs w:val="21"/>
        </w:rPr>
        <w:t>在夏季典型设计日（7月21日）的14时峰值时刻，固定倾角屋面系统的光伏组件表面温度达到71.5摄氏度，背板温度68.3摄氏度，热量通过辐射和对流向室内传递，导致屋面内表面温度52.4摄氏度。</w:t>
      </w:r>
    </w:p>
    <w:p w14:paraId="1B0E83EB" w14:textId="77777777" w:rsidR="00E719E0" w:rsidRPr="00E719E0" w:rsidRDefault="00E719E0" w:rsidP="00E719E0">
      <w:pPr>
        <w:jc w:val="left"/>
        <w:rPr>
          <w:szCs w:val="21"/>
        </w:rPr>
      </w:pPr>
      <w:r w:rsidRPr="00E719E0">
        <w:rPr>
          <w:szCs w:val="21"/>
        </w:rPr>
        <w:t>自适应追踪屋面系统在相同时刻的表面温度为58.2摄氏度，背板温度54.7摄氏度，屋面内表面温度41.6摄氏度。表面温度降低13.3摄氏度的原因在于：追踪系统维持最佳入射</w:t>
      </w:r>
      <w:r w:rsidRPr="00E719E0">
        <w:rPr>
          <w:szCs w:val="21"/>
        </w:rPr>
        <w:lastRenderedPageBreak/>
        <w:t>角，部分反射辐射被重新导向天空而非屋面表面；同时发电效率提升使得光生载流子更快导出，减少了组件内部的热损耗转化。</w:t>
      </w:r>
    </w:p>
    <w:p w14:paraId="16E79F5F" w14:textId="77777777" w:rsidR="00E719E0" w:rsidRPr="00E719E0" w:rsidRDefault="00E719E0" w:rsidP="00F62A60">
      <w:pPr>
        <w:ind w:firstLineChars="200" w:firstLine="420"/>
        <w:jc w:val="left"/>
        <w:rPr>
          <w:szCs w:val="21"/>
        </w:rPr>
      </w:pPr>
      <w:r w:rsidRPr="00E719E0">
        <w:rPr>
          <w:szCs w:val="21"/>
        </w:rPr>
        <w:t>从热流密度分析，固定屋面在峰值时刻的热流密度分布极不均匀，南侧边缘因接近水平而接收大量辐射，热流密度超过800瓦每平方米，形成明显的热岛集中区域；北侧边缘因倾斜背阴，热流密度低于200瓦每平方米，温差导致屋面结构产生温度应力。</w:t>
      </w:r>
    </w:p>
    <w:p w14:paraId="4ED9C08D" w14:textId="77777777" w:rsidR="00E719E0" w:rsidRPr="00E719E0" w:rsidRDefault="00E719E0" w:rsidP="00E719E0">
      <w:pPr>
        <w:jc w:val="left"/>
        <w:rPr>
          <w:szCs w:val="21"/>
        </w:rPr>
      </w:pPr>
      <w:r w:rsidRPr="00E719E0">
        <w:rPr>
          <w:szCs w:val="21"/>
        </w:rPr>
        <w:t>自适应屋面的热流密度分布相对均匀，各单元因同步追踪而处于相似的辐射接收状态，热流密度控制在350至450瓦每平方米范围内，有效降低了热应力峰值，延长了屋面材料的使用寿命。</w:t>
      </w:r>
    </w:p>
    <w:p w14:paraId="12BCAE2D" w14:textId="77777777" w:rsidR="00E719E0" w:rsidRPr="00E719E0" w:rsidRDefault="00E719E0" w:rsidP="00F62A60">
      <w:pPr>
        <w:ind w:firstLineChars="200" w:firstLine="420"/>
        <w:jc w:val="left"/>
        <w:rPr>
          <w:szCs w:val="21"/>
        </w:rPr>
      </w:pPr>
      <w:r w:rsidRPr="00E719E0">
        <w:rPr>
          <w:szCs w:val="21"/>
        </w:rPr>
        <w:t>室内空调负荷影响分析</w:t>
      </w:r>
    </w:p>
    <w:p w14:paraId="6B72BCBA" w14:textId="77777777" w:rsidR="00E719E0" w:rsidRPr="00E719E0" w:rsidRDefault="00E719E0" w:rsidP="00F62A60">
      <w:pPr>
        <w:ind w:firstLineChars="200" w:firstLine="420"/>
        <w:jc w:val="left"/>
        <w:rPr>
          <w:szCs w:val="21"/>
        </w:rPr>
      </w:pPr>
      <w:r w:rsidRPr="00E719E0">
        <w:rPr>
          <w:szCs w:val="21"/>
        </w:rPr>
        <w:t>屋面得热引起的室内空调负荷在固定系统中为峰值46.8千瓦，占屋面以上空调总负荷的38.5%；在自适应系统中降低至34.2千瓦，降幅26.9%。按夏季空调运行120天、每天10小时、平均负荷系数0.7计算，自适应系统夏季空调节电量约10584千瓦时，折合电费8470元（按商业电价0.8元每千瓦时计）。</w:t>
      </w:r>
    </w:p>
    <w:p w14:paraId="2BBF173E" w14:textId="77777777" w:rsidR="00E719E0" w:rsidRPr="00E719E0" w:rsidRDefault="00E719E0" w:rsidP="00E719E0">
      <w:pPr>
        <w:jc w:val="left"/>
        <w:rPr>
          <w:szCs w:val="21"/>
        </w:rPr>
      </w:pPr>
      <w:r w:rsidRPr="00E719E0">
        <w:rPr>
          <w:szCs w:val="21"/>
        </w:rPr>
        <w:t>全年空调能耗对比显示，固定系统屋面贡献的空调能耗为48560千瓦时，自适应系统为35240千瓦时，节能13320千瓦时，节能率27.4%。这一节能效益与发电增益形成双重收益，体现了该技术在热带地区的显著气候适应性优势。</w:t>
      </w:r>
    </w:p>
    <w:p w14:paraId="5CEB801C" w14:textId="77777777" w:rsidR="00E719E0" w:rsidRPr="00E719E0" w:rsidRDefault="00E719E0" w:rsidP="00E719E0">
      <w:pPr>
        <w:jc w:val="left"/>
        <w:rPr>
          <w:szCs w:val="21"/>
        </w:rPr>
      </w:pPr>
      <w:r w:rsidRPr="00E719E0">
        <w:rPr>
          <w:szCs w:val="21"/>
        </w:rPr>
        <w:t>5.2 光环境模拟（Radiance与</w:t>
      </w:r>
      <w:proofErr w:type="spellStart"/>
      <w:r w:rsidRPr="00E719E0">
        <w:rPr>
          <w:szCs w:val="21"/>
        </w:rPr>
        <w:t>Daysim</w:t>
      </w:r>
      <w:proofErr w:type="spellEnd"/>
      <w:r w:rsidRPr="00E719E0">
        <w:rPr>
          <w:szCs w:val="21"/>
        </w:rPr>
        <w:t>联合仿真）</w:t>
      </w:r>
    </w:p>
    <w:p w14:paraId="519EA32A" w14:textId="77777777" w:rsidR="00E719E0" w:rsidRPr="00E719E0" w:rsidRDefault="00E719E0" w:rsidP="00F62A60">
      <w:pPr>
        <w:ind w:firstLineChars="200" w:firstLine="420"/>
        <w:jc w:val="left"/>
        <w:rPr>
          <w:szCs w:val="21"/>
        </w:rPr>
      </w:pPr>
      <w:r w:rsidRPr="00E719E0">
        <w:rPr>
          <w:szCs w:val="21"/>
        </w:rPr>
        <w:t>模拟场景与评价指标</w:t>
      </w:r>
    </w:p>
    <w:p w14:paraId="4DE658CD" w14:textId="77777777" w:rsidR="00E719E0" w:rsidRPr="00E719E0" w:rsidRDefault="00E719E0" w:rsidP="00F62A60">
      <w:pPr>
        <w:ind w:firstLineChars="200" w:firstLine="420"/>
        <w:jc w:val="left"/>
        <w:rPr>
          <w:szCs w:val="21"/>
        </w:rPr>
      </w:pPr>
      <w:r w:rsidRPr="00E719E0">
        <w:rPr>
          <w:szCs w:val="21"/>
        </w:rPr>
        <w:t>光环境模拟针对屋面下方的主要功能空间进行，空间尺寸为40米乘30米乘6米（</w:t>
      </w:r>
      <w:proofErr w:type="gramStart"/>
      <w:r w:rsidRPr="00E719E0">
        <w:rPr>
          <w:szCs w:val="21"/>
        </w:rPr>
        <w:t>长乘宽乘</w:t>
      </w:r>
      <w:proofErr w:type="gramEnd"/>
      <w:r w:rsidRPr="00E719E0">
        <w:rPr>
          <w:szCs w:val="21"/>
        </w:rPr>
        <w:t>高），屋面400个单元中的透光部分作为采光口。模拟评价依据《建筑采光设计标准》GB50033-2013和《建筑环境通用规范》GB55016-2021，核心指标包括采光系数、统一眩光值、年动态采光满足度以及光伏组件透光率的主动调节效应。</w:t>
      </w:r>
    </w:p>
    <w:p w14:paraId="18E98272" w14:textId="77777777" w:rsidR="00E719E0" w:rsidRPr="00E719E0" w:rsidRDefault="00E719E0" w:rsidP="00E719E0">
      <w:pPr>
        <w:jc w:val="left"/>
        <w:rPr>
          <w:szCs w:val="21"/>
        </w:rPr>
      </w:pPr>
      <w:r w:rsidRPr="00E719E0">
        <w:rPr>
          <w:szCs w:val="21"/>
        </w:rPr>
        <w:t>采光系数模拟结果</w:t>
      </w:r>
    </w:p>
    <w:p w14:paraId="513E1E50" w14:textId="77777777" w:rsidR="00E719E0" w:rsidRPr="00E719E0" w:rsidRDefault="00E719E0" w:rsidP="00F62A60">
      <w:pPr>
        <w:ind w:firstLineChars="200" w:firstLine="420"/>
        <w:jc w:val="left"/>
        <w:rPr>
          <w:szCs w:val="21"/>
        </w:rPr>
      </w:pPr>
      <w:r w:rsidRPr="00E719E0">
        <w:rPr>
          <w:szCs w:val="21"/>
        </w:rPr>
        <w:t>在室外漫射光设计条件下（全阴天模型），固定透光率30%的自适应屋面系统在室内工作面高度（0.75米）的采光系数平均值为4.2%，最小值为2.8%，均高于标准规定的3%限值。采光系数分布呈现从屋面投影区域向周边递减的趋势，中心区域最高达6.5%，靠近侧墙区域降至2.8%，整体均匀度（最小值与平均值之比）为0.67，优于标准建议的0.5限值。</w:t>
      </w:r>
    </w:p>
    <w:p w14:paraId="571DC72A" w14:textId="77777777" w:rsidR="00E719E0" w:rsidRPr="00E719E0" w:rsidRDefault="00E719E0" w:rsidP="00F62A60">
      <w:pPr>
        <w:ind w:firstLineChars="200" w:firstLine="420"/>
        <w:jc w:val="left"/>
        <w:rPr>
          <w:szCs w:val="21"/>
        </w:rPr>
      </w:pPr>
      <w:r w:rsidRPr="00E719E0">
        <w:rPr>
          <w:szCs w:val="21"/>
        </w:rPr>
        <w:t>对比无屋面采光的侧窗采光方案，侧窗方案室内采光系数平均值为3.5%，但分布极不均匀，近</w:t>
      </w:r>
      <w:proofErr w:type="gramStart"/>
      <w:r w:rsidRPr="00E719E0">
        <w:rPr>
          <w:szCs w:val="21"/>
        </w:rPr>
        <w:t>窗区域</w:t>
      </w:r>
      <w:proofErr w:type="gramEnd"/>
      <w:r w:rsidRPr="00E719E0">
        <w:rPr>
          <w:szCs w:val="21"/>
        </w:rPr>
        <w:t>超过8%，</w:t>
      </w:r>
      <w:proofErr w:type="gramStart"/>
      <w:r w:rsidRPr="00E719E0">
        <w:rPr>
          <w:szCs w:val="21"/>
        </w:rPr>
        <w:t>远窗区域</w:t>
      </w:r>
      <w:proofErr w:type="gramEnd"/>
      <w:r w:rsidRPr="00E719E0">
        <w:rPr>
          <w:szCs w:val="21"/>
        </w:rPr>
        <w:t>低于1%。自适应屋面系统通过大面积均匀布光，显著改善了室内光环境的均匀性。</w:t>
      </w:r>
    </w:p>
    <w:p w14:paraId="2C6E89E0" w14:textId="77777777" w:rsidR="00E719E0" w:rsidRPr="00E719E0" w:rsidRDefault="00E719E0" w:rsidP="00E719E0">
      <w:pPr>
        <w:jc w:val="left"/>
        <w:rPr>
          <w:szCs w:val="21"/>
        </w:rPr>
      </w:pPr>
      <w:r w:rsidRPr="00E719E0">
        <w:rPr>
          <w:szCs w:val="21"/>
        </w:rPr>
        <w:t>统一眩光值模拟结果</w:t>
      </w:r>
    </w:p>
    <w:p w14:paraId="27AC1445" w14:textId="77777777" w:rsidR="00E719E0" w:rsidRPr="00E719E0" w:rsidRDefault="00E719E0" w:rsidP="00F62A60">
      <w:pPr>
        <w:ind w:firstLineChars="200" w:firstLine="420"/>
        <w:jc w:val="left"/>
        <w:rPr>
          <w:szCs w:val="21"/>
        </w:rPr>
      </w:pPr>
      <w:r w:rsidRPr="00E719E0">
        <w:rPr>
          <w:szCs w:val="21"/>
        </w:rPr>
        <w:t>眩光模拟选取最不利工况：夏季正午时刻，太阳高度角接近90度，若屋面单元处于高透光率状态，直射阳光可能穿透进入室内。模拟结果显示，在默认30%透光率设定下，室内统一眩光值为16.3，低于标准规定的19限值，处于"轻微眩光，可接受"区间。</w:t>
      </w:r>
    </w:p>
    <w:p w14:paraId="0F924FE5" w14:textId="77777777" w:rsidR="00E719E0" w:rsidRPr="00E719E0" w:rsidRDefault="00E719E0" w:rsidP="00E719E0">
      <w:pPr>
        <w:jc w:val="left"/>
        <w:rPr>
          <w:szCs w:val="21"/>
        </w:rPr>
      </w:pPr>
      <w:r w:rsidRPr="00E719E0">
        <w:rPr>
          <w:szCs w:val="21"/>
        </w:rPr>
        <w:t>当透光率提升至40%时，统一眩光值上升至18.7，仍满足标准要求，但接近限值；</w:t>
      </w:r>
      <w:proofErr w:type="gramStart"/>
      <w:r w:rsidRPr="00E719E0">
        <w:rPr>
          <w:szCs w:val="21"/>
        </w:rPr>
        <w:t>当降低</w:t>
      </w:r>
      <w:proofErr w:type="gramEnd"/>
      <w:r w:rsidRPr="00E719E0">
        <w:rPr>
          <w:szCs w:val="21"/>
        </w:rPr>
        <w:t>至20%时，统一眩光值降至12.4，处于"无眩光感"区间。这一可调节特性使系统能够根据使用场景灵活控制：办公时段维持30%至35%透光率以平衡采光与发电；会议或展示时段降至20%以避免屏幕反光；清洁维护时段可短暂提升至40%以改善作业照明。</w:t>
      </w:r>
    </w:p>
    <w:p w14:paraId="7B0FB9D6" w14:textId="77777777" w:rsidR="00E719E0" w:rsidRPr="00E719E0" w:rsidRDefault="00E719E0" w:rsidP="00E719E0">
      <w:pPr>
        <w:jc w:val="left"/>
        <w:rPr>
          <w:szCs w:val="21"/>
        </w:rPr>
      </w:pPr>
      <w:r w:rsidRPr="00E719E0">
        <w:rPr>
          <w:szCs w:val="21"/>
        </w:rPr>
        <w:t>年动态采光满足度模拟</w:t>
      </w:r>
    </w:p>
    <w:p w14:paraId="2559490B" w14:textId="77777777" w:rsidR="00E719E0" w:rsidRPr="00E719E0" w:rsidRDefault="00E719E0" w:rsidP="00F62A60">
      <w:pPr>
        <w:ind w:firstLineChars="200" w:firstLine="420"/>
        <w:jc w:val="left"/>
        <w:rPr>
          <w:szCs w:val="21"/>
        </w:rPr>
      </w:pPr>
      <w:r w:rsidRPr="00E719E0">
        <w:rPr>
          <w:szCs w:val="21"/>
        </w:rPr>
        <w:t>采用</w:t>
      </w:r>
      <w:proofErr w:type="spellStart"/>
      <w:r w:rsidRPr="00E719E0">
        <w:rPr>
          <w:szCs w:val="21"/>
        </w:rPr>
        <w:t>Daysim</w:t>
      </w:r>
      <w:proofErr w:type="spellEnd"/>
      <w:r w:rsidRPr="00E719E0">
        <w:rPr>
          <w:szCs w:val="21"/>
        </w:rPr>
        <w:t>进行全年逐时采光模拟，评价指标为sDA300/50%，即全年工作时间中至少50%的时间采光系数不低于300勒克斯的地板面积比例。模拟结果显示，自适应屋面系统的sDA300/50%达到68%，显著高于标准建议的50%目标值。</w:t>
      </w:r>
    </w:p>
    <w:p w14:paraId="6D54000A" w14:textId="77777777" w:rsidR="00E719E0" w:rsidRPr="00E719E0" w:rsidRDefault="00E719E0" w:rsidP="00F62A60">
      <w:pPr>
        <w:ind w:firstLineChars="200" w:firstLine="420"/>
        <w:jc w:val="left"/>
        <w:rPr>
          <w:szCs w:val="21"/>
        </w:rPr>
      </w:pPr>
      <w:r w:rsidRPr="00E719E0">
        <w:rPr>
          <w:szCs w:val="21"/>
        </w:rPr>
        <w:t>从时间分布分析，上午8时至10时和下午14时至16时是采光满足度相对较低的时</w:t>
      </w:r>
      <w:r w:rsidRPr="00E719E0">
        <w:rPr>
          <w:szCs w:val="21"/>
        </w:rPr>
        <w:lastRenderedPageBreak/>
        <w:t>段，这是因为太阳高度角较低，屋面单元的追踪角度导致透光路径变长；正午时段满足度最高，达到85%以上。通过调整单元透光率（上午和下午时段提升至35%，正午时段降低至25%），可进一步优化时间分布，使sDA300/50%提升至72%。</w:t>
      </w:r>
    </w:p>
    <w:p w14:paraId="4A925FB1" w14:textId="77777777" w:rsidR="00E719E0" w:rsidRPr="00E719E0" w:rsidRDefault="00E719E0" w:rsidP="00F62A60">
      <w:pPr>
        <w:ind w:firstLineChars="200" w:firstLine="420"/>
        <w:jc w:val="left"/>
        <w:rPr>
          <w:szCs w:val="21"/>
        </w:rPr>
      </w:pPr>
      <w:r w:rsidRPr="00E719E0">
        <w:rPr>
          <w:szCs w:val="21"/>
        </w:rPr>
        <w:t>透光率主动调节策略</w:t>
      </w:r>
    </w:p>
    <w:p w14:paraId="6C6DDE0B" w14:textId="77777777" w:rsidR="00E719E0" w:rsidRPr="00E719E0" w:rsidRDefault="00E719E0" w:rsidP="00F62A60">
      <w:pPr>
        <w:ind w:firstLineChars="200" w:firstLine="420"/>
        <w:jc w:val="left"/>
        <w:rPr>
          <w:szCs w:val="21"/>
        </w:rPr>
      </w:pPr>
      <w:r w:rsidRPr="00E719E0">
        <w:rPr>
          <w:szCs w:val="21"/>
        </w:rPr>
        <w:t>系统的透光率调节范围设计为20%至40%，通过光伏组件的电控调光技术实现（在碲化镉层与背板玻璃之间嵌入聚合物分散液晶层，施加电压改变液晶排列从而调节透光率）。</w:t>
      </w:r>
    </w:p>
    <w:p w14:paraId="4DEC368B" w14:textId="77777777" w:rsidR="00E719E0" w:rsidRPr="00E719E0" w:rsidRDefault="00E719E0" w:rsidP="00E719E0">
      <w:pPr>
        <w:jc w:val="left"/>
        <w:rPr>
          <w:szCs w:val="21"/>
        </w:rPr>
      </w:pPr>
      <w:r w:rsidRPr="00E719E0">
        <w:rPr>
          <w:szCs w:val="21"/>
        </w:rPr>
        <w:t>典型日的调节策略为：6时至8时，透光率35%，优先满足早晨采光需求；8时至10时，透光率逐步从35%降至25%，发电需求上升；10时至14时，透光率维持25%，最大化发电效率；14时至16时，透光率从25%回升至35%，补偿下午采光不足；16时至18时，透光率40%，优先满足傍晚自然采光；夜间，透光率30%，配合室内照明需求。</w:t>
      </w:r>
    </w:p>
    <w:p w14:paraId="79F557B9" w14:textId="77777777" w:rsidR="00E719E0" w:rsidRDefault="00E719E0" w:rsidP="00F62A60">
      <w:pPr>
        <w:ind w:firstLineChars="200" w:firstLine="420"/>
        <w:jc w:val="left"/>
        <w:rPr>
          <w:szCs w:val="21"/>
        </w:rPr>
      </w:pPr>
      <w:r w:rsidRPr="00E719E0">
        <w:rPr>
          <w:szCs w:val="21"/>
        </w:rPr>
        <w:t>这一策略使全年发电损失控制在8%以内（相比始终25%透光率），而采光满足度提升15个百分点，实现了光热平衡优化。</w:t>
      </w:r>
    </w:p>
    <w:p w14:paraId="2DD823ED" w14:textId="77777777" w:rsidR="00F62A60" w:rsidRPr="00E719E0" w:rsidRDefault="00F62A60" w:rsidP="00F62A60">
      <w:pPr>
        <w:ind w:firstLineChars="200" w:firstLine="420"/>
        <w:jc w:val="left"/>
        <w:rPr>
          <w:rFonts w:hint="eastAsia"/>
          <w:szCs w:val="21"/>
        </w:rPr>
      </w:pPr>
    </w:p>
    <w:p w14:paraId="54333D41" w14:textId="77777777" w:rsidR="00E719E0" w:rsidRPr="00E719E0" w:rsidRDefault="00E719E0" w:rsidP="00F62A60">
      <w:pPr>
        <w:ind w:firstLineChars="100" w:firstLine="210"/>
        <w:jc w:val="left"/>
        <w:rPr>
          <w:b/>
          <w:bCs/>
          <w:szCs w:val="21"/>
        </w:rPr>
      </w:pPr>
      <w:r w:rsidRPr="00E719E0">
        <w:rPr>
          <w:b/>
          <w:bCs/>
          <w:szCs w:val="21"/>
        </w:rPr>
        <w:t>5.3 结构响应模拟（SAP2000有限元分析）</w:t>
      </w:r>
    </w:p>
    <w:p w14:paraId="4CC1D9ED" w14:textId="77777777" w:rsidR="00E719E0" w:rsidRPr="00E719E0" w:rsidRDefault="00E719E0" w:rsidP="00F62A60">
      <w:pPr>
        <w:ind w:firstLineChars="200" w:firstLine="420"/>
        <w:jc w:val="left"/>
        <w:rPr>
          <w:szCs w:val="21"/>
        </w:rPr>
      </w:pPr>
      <w:r w:rsidRPr="00E719E0">
        <w:rPr>
          <w:szCs w:val="21"/>
        </w:rPr>
        <w:t>荷载组合与设计依据</w:t>
      </w:r>
    </w:p>
    <w:p w14:paraId="43D247D7" w14:textId="77777777" w:rsidR="00E719E0" w:rsidRPr="00E719E0" w:rsidRDefault="00E719E0" w:rsidP="00F62A60">
      <w:pPr>
        <w:ind w:firstLineChars="200" w:firstLine="420"/>
        <w:jc w:val="left"/>
        <w:rPr>
          <w:szCs w:val="21"/>
        </w:rPr>
      </w:pPr>
      <w:r w:rsidRPr="00E719E0">
        <w:rPr>
          <w:szCs w:val="21"/>
        </w:rPr>
        <w:t>结构分析依据《建筑结构荷载规范》GB50009-2012和《建筑抗震设计规范》GB50011-2010，考虑海南地区特有的风荷载和地震作用。海口地区基本风压为0.</w:t>
      </w:r>
      <w:proofErr w:type="gramStart"/>
      <w:r w:rsidRPr="00E719E0">
        <w:rPr>
          <w:szCs w:val="21"/>
        </w:rPr>
        <w:t>75千牛每平方米</w:t>
      </w:r>
      <w:proofErr w:type="gramEnd"/>
      <w:r w:rsidRPr="00E719E0">
        <w:rPr>
          <w:szCs w:val="21"/>
        </w:rPr>
        <w:t>（50年一遇</w:t>
      </w:r>
      <w:proofErr w:type="gramStart"/>
      <w:r w:rsidRPr="00E719E0">
        <w:rPr>
          <w:szCs w:val="21"/>
        </w:rPr>
        <w:t>），</w:t>
      </w:r>
      <w:proofErr w:type="gramEnd"/>
      <w:r w:rsidRPr="00E719E0">
        <w:rPr>
          <w:szCs w:val="21"/>
        </w:rPr>
        <w:t>高于上海地区的0.</w:t>
      </w:r>
      <w:proofErr w:type="gramStart"/>
      <w:r w:rsidRPr="00E719E0">
        <w:rPr>
          <w:szCs w:val="21"/>
        </w:rPr>
        <w:t>55千牛每平方米</w:t>
      </w:r>
      <w:proofErr w:type="gramEnd"/>
      <w:r w:rsidRPr="00E719E0">
        <w:rPr>
          <w:szCs w:val="21"/>
        </w:rPr>
        <w:t>，这是结构设计的控制因素。</w:t>
      </w:r>
    </w:p>
    <w:p w14:paraId="751AEEC6" w14:textId="77777777" w:rsidR="00E719E0" w:rsidRPr="00E719E0" w:rsidRDefault="00E719E0" w:rsidP="00E719E0">
      <w:pPr>
        <w:jc w:val="left"/>
        <w:rPr>
          <w:szCs w:val="21"/>
        </w:rPr>
      </w:pPr>
      <w:r w:rsidRPr="00E719E0">
        <w:rPr>
          <w:szCs w:val="21"/>
        </w:rPr>
        <w:t>荷载组合包括：恒载标准值0.</w:t>
      </w:r>
      <w:proofErr w:type="gramStart"/>
      <w:r w:rsidRPr="00E719E0">
        <w:rPr>
          <w:szCs w:val="21"/>
        </w:rPr>
        <w:t>35千牛每平方米</w:t>
      </w:r>
      <w:proofErr w:type="gramEnd"/>
      <w:r w:rsidRPr="00E719E0">
        <w:rPr>
          <w:szCs w:val="21"/>
        </w:rPr>
        <w:t>，含光伏组件、边框、旋转机构自重；活载标准值0.</w:t>
      </w:r>
      <w:proofErr w:type="gramStart"/>
      <w:r w:rsidRPr="00E719E0">
        <w:rPr>
          <w:szCs w:val="21"/>
        </w:rPr>
        <w:t>5千牛每平方米</w:t>
      </w:r>
      <w:proofErr w:type="gramEnd"/>
      <w:r w:rsidRPr="00E719E0">
        <w:rPr>
          <w:szCs w:val="21"/>
        </w:rPr>
        <w:t>，考虑检修集中荷载；风荷载按围护结构设计，体型系数取值考虑最不利旋转状态，正压1.3，负压负1.8；地震</w:t>
      </w:r>
      <w:proofErr w:type="gramStart"/>
      <w:r w:rsidRPr="00E719E0">
        <w:rPr>
          <w:szCs w:val="21"/>
        </w:rPr>
        <w:t>作用按</w:t>
      </w:r>
      <w:proofErr w:type="gramEnd"/>
      <w:r w:rsidRPr="00E719E0">
        <w:rPr>
          <w:szCs w:val="21"/>
        </w:rPr>
        <w:t>7度设防，设计基本地震加速度0.10g，设计地震分组第一组，场地类别二类。</w:t>
      </w:r>
    </w:p>
    <w:p w14:paraId="254722CF" w14:textId="77777777" w:rsidR="00E719E0" w:rsidRPr="00E719E0" w:rsidRDefault="00E719E0" w:rsidP="00F62A60">
      <w:pPr>
        <w:ind w:firstLineChars="200" w:firstLine="420"/>
        <w:jc w:val="left"/>
        <w:rPr>
          <w:szCs w:val="21"/>
        </w:rPr>
      </w:pPr>
      <w:r w:rsidRPr="00E719E0">
        <w:rPr>
          <w:szCs w:val="21"/>
        </w:rPr>
        <w:t>静力分析结果</w:t>
      </w:r>
    </w:p>
    <w:p w14:paraId="350F22DC" w14:textId="77777777" w:rsidR="00E719E0" w:rsidRPr="00E719E0" w:rsidRDefault="00E719E0" w:rsidP="00F62A60">
      <w:pPr>
        <w:ind w:firstLineChars="200" w:firstLine="420"/>
        <w:jc w:val="left"/>
        <w:rPr>
          <w:szCs w:val="21"/>
        </w:rPr>
      </w:pPr>
      <w:r w:rsidRPr="00E719E0">
        <w:rPr>
          <w:szCs w:val="21"/>
        </w:rPr>
        <w:t>在1.3倍恒载加1.5倍活载的基本组合下，节点N-01的最大竖向位移为4.8毫米，发生在</w:t>
      </w:r>
      <w:proofErr w:type="gramStart"/>
      <w:r w:rsidRPr="00E719E0">
        <w:rPr>
          <w:szCs w:val="21"/>
        </w:rPr>
        <w:t>单元跨中位置</w:t>
      </w:r>
      <w:proofErr w:type="gramEnd"/>
      <w:r w:rsidRPr="00E719E0">
        <w:rPr>
          <w:szCs w:val="21"/>
        </w:rPr>
        <w:t>，相对于跨度1500毫米的位移比为1比312，满足规范不大于1比200的限值要求。旋转轴根部应力最大，为142兆帕，低于Q235钢材设计强度215兆帕，应力比0.66，安全裕度充足。</w:t>
      </w:r>
    </w:p>
    <w:p w14:paraId="20B92C96" w14:textId="77777777" w:rsidR="00E719E0" w:rsidRPr="00E719E0" w:rsidRDefault="00E719E0" w:rsidP="00F62A60">
      <w:pPr>
        <w:ind w:firstLineChars="200" w:firstLine="420"/>
        <w:jc w:val="left"/>
        <w:rPr>
          <w:szCs w:val="21"/>
        </w:rPr>
      </w:pPr>
      <w:r w:rsidRPr="00E719E0">
        <w:rPr>
          <w:szCs w:val="21"/>
        </w:rPr>
        <w:t>风荷载控制组合分析显示，1.0倍恒载加1.4倍风压（负压）工况最为不利，此时屋面单元处于最大仰角30度状态，迎风面产生显著上拔力。模拟得到的最大位移为15.6毫米，位移比1比96，仍满足规范限值；最大应力为187兆帕，应力比0.87，处于安全范围但接近设计上限，表明风荷载是海南地区应用的关键控制因素。</w:t>
      </w:r>
    </w:p>
    <w:p w14:paraId="7AF04816" w14:textId="77777777" w:rsidR="00E719E0" w:rsidRPr="00E719E0" w:rsidRDefault="00E719E0" w:rsidP="00E719E0">
      <w:pPr>
        <w:jc w:val="left"/>
        <w:rPr>
          <w:szCs w:val="21"/>
        </w:rPr>
      </w:pPr>
      <w:r w:rsidRPr="00E719E0">
        <w:rPr>
          <w:szCs w:val="21"/>
        </w:rPr>
        <w:t>对比分析表明，当风速超过25米每秒（10级风）时，系统应触发保护机制，将单元复位至5度倾角并锁定，此时风荷载体型系数降至0.8，结构响应回归安全区间。</w:t>
      </w:r>
    </w:p>
    <w:p w14:paraId="6F0A6CC6" w14:textId="77777777" w:rsidR="00E719E0" w:rsidRPr="00E719E0" w:rsidRDefault="00E719E0" w:rsidP="00E719E0">
      <w:pPr>
        <w:jc w:val="left"/>
        <w:rPr>
          <w:szCs w:val="21"/>
        </w:rPr>
      </w:pPr>
      <w:r w:rsidRPr="00E719E0">
        <w:rPr>
          <w:szCs w:val="21"/>
        </w:rPr>
        <w:t>动力特性与抗震分析</w:t>
      </w:r>
    </w:p>
    <w:p w14:paraId="7DFBE0A3" w14:textId="77777777" w:rsidR="00E719E0" w:rsidRPr="00E719E0" w:rsidRDefault="00E719E0" w:rsidP="00F62A60">
      <w:pPr>
        <w:ind w:firstLineChars="200" w:firstLine="420"/>
        <w:jc w:val="left"/>
        <w:rPr>
          <w:szCs w:val="21"/>
        </w:rPr>
      </w:pPr>
      <w:r w:rsidRPr="00E719E0">
        <w:rPr>
          <w:szCs w:val="21"/>
        </w:rPr>
        <w:t>模态分析结果显示，屋面系统的</w:t>
      </w:r>
      <w:proofErr w:type="gramStart"/>
      <w:r w:rsidRPr="00E719E0">
        <w:rPr>
          <w:szCs w:val="21"/>
        </w:rPr>
        <w:t>第一阶自振</w:t>
      </w:r>
      <w:proofErr w:type="gramEnd"/>
      <w:r w:rsidRPr="00E719E0">
        <w:rPr>
          <w:szCs w:val="21"/>
        </w:rPr>
        <w:t>频率为2.38赫兹，对应整体竖向振动形态；第二阶为3.15赫兹，对应扭转振动；第三阶为4.62赫兹，对应局部单元振动。这些频率均远离常见的人行激励频率（1.5至2.5赫兹）和设备振动频率，避免共振风险。</w:t>
      </w:r>
    </w:p>
    <w:p w14:paraId="42E5BF08" w14:textId="77777777" w:rsidR="00E719E0" w:rsidRPr="00E719E0" w:rsidRDefault="00E719E0" w:rsidP="00E719E0">
      <w:pPr>
        <w:jc w:val="left"/>
        <w:rPr>
          <w:szCs w:val="21"/>
        </w:rPr>
      </w:pPr>
      <w:r w:rsidRPr="00E719E0">
        <w:rPr>
          <w:szCs w:val="21"/>
        </w:rPr>
        <w:t>旋转机构自身的固有频率为14.6赫兹，由旋转轴、轴承和边框组成的子系统质量刚度特性决定。这一频率远高于风荷载的卓越频率（通常低于1赫兹）和地震动的主要频率成分（通常1至10赫兹），确保在动力荷载下旋转机构保持稳定。</w:t>
      </w:r>
    </w:p>
    <w:p w14:paraId="02DE6C74" w14:textId="77777777" w:rsidR="00E719E0" w:rsidRDefault="00E719E0" w:rsidP="00F62A60">
      <w:pPr>
        <w:ind w:firstLineChars="200" w:firstLine="420"/>
        <w:jc w:val="left"/>
        <w:rPr>
          <w:szCs w:val="21"/>
        </w:rPr>
      </w:pPr>
      <w:proofErr w:type="gramStart"/>
      <w:r w:rsidRPr="00E719E0">
        <w:rPr>
          <w:szCs w:val="21"/>
        </w:rPr>
        <w:t>多遇地震</w:t>
      </w:r>
      <w:proofErr w:type="gramEnd"/>
      <w:r w:rsidRPr="00E719E0">
        <w:rPr>
          <w:szCs w:val="21"/>
        </w:rPr>
        <w:t>弹性分析采用振型分解反应谱法，前12阶振型参与质量累计达到总质量的95%以上。地震作用下的层间位移角为1比1428，远小于规范限值1比250；构件应力比最高为0.52，表明抗震设计由风荷载控制，符合海南地区的荷载特征。</w:t>
      </w:r>
    </w:p>
    <w:p w14:paraId="56DEAF93" w14:textId="77777777" w:rsidR="00F62A60" w:rsidRPr="00E719E0" w:rsidRDefault="00F62A60" w:rsidP="00F62A60">
      <w:pPr>
        <w:ind w:firstLineChars="200" w:firstLine="420"/>
        <w:jc w:val="left"/>
        <w:rPr>
          <w:rFonts w:hint="eastAsia"/>
          <w:szCs w:val="21"/>
        </w:rPr>
      </w:pPr>
    </w:p>
    <w:p w14:paraId="29F349C0" w14:textId="77777777" w:rsidR="00E719E0" w:rsidRPr="00E719E0" w:rsidRDefault="00E719E0" w:rsidP="00F62A60">
      <w:pPr>
        <w:ind w:firstLineChars="200" w:firstLine="420"/>
        <w:jc w:val="left"/>
        <w:rPr>
          <w:szCs w:val="21"/>
        </w:rPr>
      </w:pPr>
      <w:r w:rsidRPr="00E719E0">
        <w:rPr>
          <w:szCs w:val="21"/>
        </w:rPr>
        <w:lastRenderedPageBreak/>
        <w:t>疲劳与耐久性分析</w:t>
      </w:r>
    </w:p>
    <w:p w14:paraId="2921F06A" w14:textId="65BE84CC" w:rsidR="00E719E0" w:rsidRPr="00E719E0" w:rsidRDefault="00E719E0" w:rsidP="00F62A60">
      <w:pPr>
        <w:ind w:firstLineChars="200" w:firstLine="420"/>
        <w:jc w:val="left"/>
        <w:rPr>
          <w:rFonts w:hint="eastAsia"/>
          <w:szCs w:val="21"/>
        </w:rPr>
      </w:pPr>
      <w:r w:rsidRPr="00E719E0">
        <w:rPr>
          <w:szCs w:val="21"/>
        </w:rPr>
        <w:t>考虑到旋转机构在25年设计寿命内预计完成约18万次角度调整（按日均20次计算），对关键部件进行了疲劳寿命评估。旋转轴的应力幅控制在50兆帕以内，316L不锈钢的疲劳极限为220兆帕，安全系数4.4，理论无限寿命。轴承的额定寿命L10为50000小时，折算调整次数超过50万次，满足设计需求。密封条的压缩永久变形在10万次循环后预计为15%，仍在可接受范围内。</w:t>
      </w:r>
    </w:p>
    <w:p w14:paraId="1610D6C5" w14:textId="77777777" w:rsidR="00E719E0" w:rsidRPr="00E719E0" w:rsidRDefault="00E719E0" w:rsidP="00F62A60">
      <w:pPr>
        <w:ind w:firstLineChars="200" w:firstLine="420"/>
        <w:jc w:val="left"/>
        <w:rPr>
          <w:b/>
          <w:bCs/>
          <w:szCs w:val="21"/>
        </w:rPr>
      </w:pPr>
      <w:r w:rsidRPr="00E719E0">
        <w:rPr>
          <w:b/>
          <w:bCs/>
          <w:szCs w:val="21"/>
        </w:rPr>
        <w:t>仿真验证结论</w:t>
      </w:r>
    </w:p>
    <w:p w14:paraId="1F0C0941" w14:textId="77777777" w:rsidR="00E719E0" w:rsidRDefault="00E719E0" w:rsidP="00F62A60">
      <w:pPr>
        <w:ind w:firstLineChars="200" w:firstLine="420"/>
        <w:jc w:val="left"/>
        <w:rPr>
          <w:szCs w:val="21"/>
        </w:rPr>
      </w:pPr>
      <w:r w:rsidRPr="00E719E0">
        <w:rPr>
          <w:szCs w:val="21"/>
        </w:rPr>
        <w:t>基于海南地区气候条件的综合仿真表明，光</w:t>
      </w:r>
      <w:proofErr w:type="gramStart"/>
      <w:r w:rsidRPr="00E719E0">
        <w:rPr>
          <w:szCs w:val="21"/>
        </w:rPr>
        <w:t>追踪自</w:t>
      </w:r>
      <w:proofErr w:type="gramEnd"/>
      <w:r w:rsidRPr="00E719E0">
        <w:rPr>
          <w:szCs w:val="21"/>
        </w:rPr>
        <w:t>适应角度太阳能屋面系统在该地区具有显著的技术优势：年发电量较固定系统提升40.2%，夏季屋面表面温度降低13.3摄氏度，室内空调负荷减少26.9%，采光满足度达到68%且可调节控制，结构安全储备充足。这些性能指标验证了该技术方案在热带海洋性气候区的技术逻辑合理性和工程落地可行性。</w:t>
      </w:r>
    </w:p>
    <w:p w14:paraId="52999007" w14:textId="77777777" w:rsidR="00F62A60" w:rsidRPr="00E719E0" w:rsidRDefault="00F62A60" w:rsidP="00F62A60">
      <w:pPr>
        <w:ind w:firstLineChars="200" w:firstLine="420"/>
        <w:jc w:val="left"/>
        <w:rPr>
          <w:rFonts w:hint="eastAsia"/>
          <w:szCs w:val="21"/>
        </w:rPr>
      </w:pPr>
    </w:p>
    <w:p w14:paraId="5457138E" w14:textId="77777777" w:rsidR="00C96C88" w:rsidRPr="00C96C88" w:rsidRDefault="00C96C88" w:rsidP="00C96C88">
      <w:pPr>
        <w:jc w:val="left"/>
        <w:rPr>
          <w:b/>
          <w:bCs/>
          <w:szCs w:val="21"/>
        </w:rPr>
      </w:pPr>
      <w:r w:rsidRPr="00C96C88">
        <w:rPr>
          <w:b/>
          <w:bCs/>
          <w:szCs w:val="21"/>
        </w:rPr>
        <w:t>六、工作机制详解</w:t>
      </w:r>
    </w:p>
    <w:p w14:paraId="2B96111E" w14:textId="77777777" w:rsidR="00C96C88" w:rsidRPr="00C96C88" w:rsidRDefault="00C96C88" w:rsidP="00F62A60">
      <w:pPr>
        <w:ind w:firstLineChars="100" w:firstLine="210"/>
        <w:jc w:val="left"/>
        <w:rPr>
          <w:b/>
          <w:bCs/>
          <w:szCs w:val="21"/>
        </w:rPr>
      </w:pPr>
      <w:r w:rsidRPr="00C96C88">
        <w:rPr>
          <w:b/>
          <w:bCs/>
          <w:szCs w:val="21"/>
        </w:rPr>
        <w:t>6.1 日间运行模式</w:t>
      </w:r>
    </w:p>
    <w:p w14:paraId="1036A17E" w14:textId="2435ED5A" w:rsidR="00C96C88" w:rsidRPr="00C96C88" w:rsidRDefault="00C96C88" w:rsidP="00C96C88">
      <w:pPr>
        <w:jc w:val="left"/>
        <w:rPr>
          <w:rFonts w:hint="eastAsia"/>
          <w:szCs w:val="21"/>
        </w:rPr>
      </w:pPr>
      <w:r w:rsidRPr="00C96C88">
        <w:rPr>
          <w:szCs w:val="21"/>
        </w:rPr>
        <w:t>06:00 系统唤醒自检</w:t>
      </w:r>
    </w:p>
    <w:p w14:paraId="565D5CAD" w14:textId="7F0D6903" w:rsidR="00C96C88" w:rsidRPr="00C96C88" w:rsidRDefault="00C96C88" w:rsidP="00C96C88">
      <w:pPr>
        <w:jc w:val="left"/>
        <w:rPr>
          <w:szCs w:val="21"/>
        </w:rPr>
      </w:pPr>
      <w:r w:rsidRPr="00C96C88">
        <w:rPr>
          <w:szCs w:val="21"/>
        </w:rPr>
        <w:t>06:30 东侧单元开始仰起（追踪日出）每15分钟调整一次，每次调整耗时30秒</w:t>
      </w:r>
    </w:p>
    <w:p w14:paraId="56B94651" w14:textId="77777777" w:rsidR="00C96C88" w:rsidRPr="00C96C88" w:rsidRDefault="00C96C88" w:rsidP="00C96C88">
      <w:pPr>
        <w:jc w:val="left"/>
        <w:rPr>
          <w:szCs w:val="21"/>
        </w:rPr>
      </w:pPr>
      <w:r w:rsidRPr="00C96C88">
        <w:rPr>
          <w:szCs w:val="21"/>
        </w:rPr>
        <w:t>12:00 正午模式，全部单元统一南向倾斜（当地纬度角）</w:t>
      </w:r>
    </w:p>
    <w:p w14:paraId="4509A86A" w14:textId="77777777" w:rsidR="00C96C88" w:rsidRPr="00C96C88" w:rsidRDefault="00C96C88" w:rsidP="00C96C88">
      <w:pPr>
        <w:jc w:val="left"/>
        <w:rPr>
          <w:szCs w:val="21"/>
        </w:rPr>
      </w:pPr>
      <w:r w:rsidRPr="00C96C88">
        <w:rPr>
          <w:szCs w:val="21"/>
        </w:rPr>
        <w:t>18:00 西侧单元仰起，东侧复位</w:t>
      </w:r>
    </w:p>
    <w:p w14:paraId="6787EB0F" w14:textId="77777777" w:rsidR="00C96C88" w:rsidRPr="00C96C88" w:rsidRDefault="00C96C88" w:rsidP="00C96C88">
      <w:pPr>
        <w:jc w:val="left"/>
        <w:rPr>
          <w:szCs w:val="21"/>
        </w:rPr>
      </w:pPr>
      <w:r w:rsidRPr="00C96C88">
        <w:rPr>
          <w:szCs w:val="21"/>
        </w:rPr>
        <w:t>19:30 夜间模式，全部复位至5°排水角，LED氛围灯激活</w:t>
      </w:r>
    </w:p>
    <w:p w14:paraId="29C4A3E7" w14:textId="2C671A29" w:rsidR="00C96C88" w:rsidRPr="00C96C88" w:rsidRDefault="00C96C88" w:rsidP="00F62A60">
      <w:pPr>
        <w:ind w:firstLineChars="100" w:firstLine="210"/>
        <w:jc w:val="left"/>
        <w:rPr>
          <w:rFonts w:hint="eastAsia"/>
          <w:b/>
          <w:bCs/>
          <w:szCs w:val="21"/>
        </w:rPr>
      </w:pPr>
      <w:r w:rsidRPr="00C96C88">
        <w:rPr>
          <w:b/>
          <w:bCs/>
          <w:szCs w:val="21"/>
        </w:rPr>
        <w:t>6.2 极端天气保护机制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6"/>
        <w:gridCol w:w="4277"/>
        <w:gridCol w:w="1140"/>
      </w:tblGrid>
      <w:tr w:rsidR="00C96C88" w:rsidRPr="00C96C88" w14:paraId="40C61C81" w14:textId="77777777" w:rsidTr="00474803">
        <w:trPr>
          <w:tblHeader/>
        </w:trPr>
        <w:tc>
          <w:tcPr>
            <w:tcW w:w="0" w:type="auto"/>
            <w:tcMar>
              <w:top w:w="150" w:type="dxa"/>
              <w:left w:w="150" w:type="dxa"/>
              <w:bottom w:w="150" w:type="dxa"/>
              <w:right w:w="150" w:type="dxa"/>
            </w:tcMar>
            <w:vAlign w:val="bottom"/>
            <w:hideMark/>
          </w:tcPr>
          <w:p w14:paraId="77D09FB1" w14:textId="77777777" w:rsidR="00C96C88" w:rsidRPr="00C96C88" w:rsidRDefault="00C96C88" w:rsidP="00C96C88">
            <w:pPr>
              <w:jc w:val="left"/>
              <w:rPr>
                <w:szCs w:val="21"/>
              </w:rPr>
            </w:pPr>
            <w:r w:rsidRPr="00C96C88">
              <w:rPr>
                <w:szCs w:val="21"/>
              </w:rPr>
              <w:t>触发条件</w:t>
            </w:r>
          </w:p>
        </w:tc>
        <w:tc>
          <w:tcPr>
            <w:tcW w:w="0" w:type="auto"/>
            <w:tcMar>
              <w:top w:w="150" w:type="dxa"/>
              <w:left w:w="150" w:type="dxa"/>
              <w:bottom w:w="150" w:type="dxa"/>
              <w:right w:w="150" w:type="dxa"/>
            </w:tcMar>
            <w:vAlign w:val="bottom"/>
            <w:hideMark/>
          </w:tcPr>
          <w:p w14:paraId="198B5425" w14:textId="77777777" w:rsidR="00C96C88" w:rsidRPr="00C96C88" w:rsidRDefault="00C96C88" w:rsidP="00C96C88">
            <w:pPr>
              <w:jc w:val="left"/>
              <w:rPr>
                <w:szCs w:val="21"/>
              </w:rPr>
            </w:pPr>
            <w:r w:rsidRPr="00C96C88">
              <w:rPr>
                <w:szCs w:val="21"/>
              </w:rPr>
              <w:t>系统响应</w:t>
            </w:r>
          </w:p>
        </w:tc>
        <w:tc>
          <w:tcPr>
            <w:tcW w:w="0" w:type="auto"/>
            <w:tcMar>
              <w:top w:w="150" w:type="dxa"/>
              <w:left w:w="150" w:type="dxa"/>
              <w:bottom w:w="150" w:type="dxa"/>
              <w:right w:w="150" w:type="dxa"/>
            </w:tcMar>
            <w:vAlign w:val="bottom"/>
            <w:hideMark/>
          </w:tcPr>
          <w:p w14:paraId="1127D940" w14:textId="77777777" w:rsidR="00C96C88" w:rsidRPr="00C96C88" w:rsidRDefault="00C96C88" w:rsidP="00C96C88">
            <w:pPr>
              <w:jc w:val="left"/>
              <w:rPr>
                <w:szCs w:val="21"/>
              </w:rPr>
            </w:pPr>
            <w:r w:rsidRPr="00C96C88">
              <w:rPr>
                <w:szCs w:val="21"/>
              </w:rPr>
              <w:t>响应时间</w:t>
            </w:r>
          </w:p>
        </w:tc>
      </w:tr>
      <w:tr w:rsidR="00C96C88" w:rsidRPr="00C96C88" w14:paraId="6013DEAE" w14:textId="77777777" w:rsidTr="00474803">
        <w:tc>
          <w:tcPr>
            <w:tcW w:w="0" w:type="auto"/>
            <w:tcMar>
              <w:top w:w="150" w:type="dxa"/>
              <w:left w:w="150" w:type="dxa"/>
              <w:bottom w:w="150" w:type="dxa"/>
              <w:right w:w="150" w:type="dxa"/>
            </w:tcMar>
            <w:vAlign w:val="bottom"/>
            <w:hideMark/>
          </w:tcPr>
          <w:p w14:paraId="0B4059CF" w14:textId="77777777" w:rsidR="00C96C88" w:rsidRPr="00C96C88" w:rsidRDefault="00C96C88" w:rsidP="00C96C88">
            <w:pPr>
              <w:jc w:val="left"/>
              <w:rPr>
                <w:szCs w:val="21"/>
              </w:rPr>
            </w:pPr>
            <w:r w:rsidRPr="00C96C88">
              <w:rPr>
                <w:szCs w:val="21"/>
              </w:rPr>
              <w:t>风速&gt;20m/s（6级风）</w:t>
            </w:r>
          </w:p>
        </w:tc>
        <w:tc>
          <w:tcPr>
            <w:tcW w:w="0" w:type="auto"/>
            <w:tcMar>
              <w:top w:w="150" w:type="dxa"/>
              <w:left w:w="150" w:type="dxa"/>
              <w:bottom w:w="150" w:type="dxa"/>
              <w:right w:w="150" w:type="dxa"/>
            </w:tcMar>
            <w:vAlign w:val="bottom"/>
            <w:hideMark/>
          </w:tcPr>
          <w:p w14:paraId="3EC1FE9D" w14:textId="77777777" w:rsidR="00C96C88" w:rsidRPr="00C96C88" w:rsidRDefault="00C96C88" w:rsidP="00C96C88">
            <w:pPr>
              <w:jc w:val="left"/>
              <w:rPr>
                <w:szCs w:val="21"/>
              </w:rPr>
            </w:pPr>
            <w:r w:rsidRPr="00C96C88">
              <w:rPr>
                <w:szCs w:val="21"/>
              </w:rPr>
              <w:t>全部单元复位至5°并锁定</w:t>
            </w:r>
          </w:p>
        </w:tc>
        <w:tc>
          <w:tcPr>
            <w:tcW w:w="0" w:type="auto"/>
            <w:tcMar>
              <w:top w:w="150" w:type="dxa"/>
              <w:left w:w="150" w:type="dxa"/>
              <w:bottom w:w="150" w:type="dxa"/>
              <w:right w:w="150" w:type="dxa"/>
            </w:tcMar>
            <w:vAlign w:val="bottom"/>
            <w:hideMark/>
          </w:tcPr>
          <w:p w14:paraId="3351B184" w14:textId="77777777" w:rsidR="00C96C88" w:rsidRPr="00C96C88" w:rsidRDefault="00C96C88" w:rsidP="00C96C88">
            <w:pPr>
              <w:jc w:val="left"/>
              <w:rPr>
                <w:szCs w:val="21"/>
              </w:rPr>
            </w:pPr>
            <w:r w:rsidRPr="00C96C88">
              <w:rPr>
                <w:szCs w:val="21"/>
              </w:rPr>
              <w:t>&lt;60s</w:t>
            </w:r>
          </w:p>
        </w:tc>
      </w:tr>
      <w:tr w:rsidR="00C96C88" w:rsidRPr="00C96C88" w14:paraId="4B7ECED6" w14:textId="77777777" w:rsidTr="00474803">
        <w:tc>
          <w:tcPr>
            <w:tcW w:w="0" w:type="auto"/>
            <w:tcMar>
              <w:top w:w="150" w:type="dxa"/>
              <w:left w:w="150" w:type="dxa"/>
              <w:bottom w:w="150" w:type="dxa"/>
              <w:right w:w="150" w:type="dxa"/>
            </w:tcMar>
            <w:vAlign w:val="bottom"/>
            <w:hideMark/>
          </w:tcPr>
          <w:p w14:paraId="7552AF38" w14:textId="77777777" w:rsidR="00C96C88" w:rsidRPr="00C96C88" w:rsidRDefault="00C96C88" w:rsidP="00C96C88">
            <w:pPr>
              <w:jc w:val="left"/>
              <w:rPr>
                <w:szCs w:val="21"/>
              </w:rPr>
            </w:pPr>
            <w:r w:rsidRPr="00C96C88">
              <w:rPr>
                <w:szCs w:val="21"/>
              </w:rPr>
              <w:t>冰雹预警</w:t>
            </w:r>
          </w:p>
        </w:tc>
        <w:tc>
          <w:tcPr>
            <w:tcW w:w="0" w:type="auto"/>
            <w:tcMar>
              <w:top w:w="150" w:type="dxa"/>
              <w:left w:w="150" w:type="dxa"/>
              <w:bottom w:w="150" w:type="dxa"/>
              <w:right w:w="150" w:type="dxa"/>
            </w:tcMar>
            <w:vAlign w:val="bottom"/>
            <w:hideMark/>
          </w:tcPr>
          <w:p w14:paraId="0018FAC6" w14:textId="77777777" w:rsidR="00C96C88" w:rsidRPr="00C96C88" w:rsidRDefault="00C96C88" w:rsidP="00C96C88">
            <w:pPr>
              <w:jc w:val="left"/>
              <w:rPr>
                <w:szCs w:val="21"/>
              </w:rPr>
            </w:pPr>
            <w:r w:rsidRPr="00C96C88">
              <w:rPr>
                <w:szCs w:val="21"/>
              </w:rPr>
              <w:t>单元仰起至最大角度（30°），减少正面冲击</w:t>
            </w:r>
          </w:p>
        </w:tc>
        <w:tc>
          <w:tcPr>
            <w:tcW w:w="0" w:type="auto"/>
            <w:tcMar>
              <w:top w:w="150" w:type="dxa"/>
              <w:left w:w="150" w:type="dxa"/>
              <w:bottom w:w="150" w:type="dxa"/>
              <w:right w:w="150" w:type="dxa"/>
            </w:tcMar>
            <w:vAlign w:val="bottom"/>
            <w:hideMark/>
          </w:tcPr>
          <w:p w14:paraId="5959221E" w14:textId="77777777" w:rsidR="00C96C88" w:rsidRPr="00C96C88" w:rsidRDefault="00C96C88" w:rsidP="00C96C88">
            <w:pPr>
              <w:jc w:val="left"/>
              <w:rPr>
                <w:szCs w:val="21"/>
              </w:rPr>
            </w:pPr>
            <w:r w:rsidRPr="00C96C88">
              <w:rPr>
                <w:szCs w:val="21"/>
              </w:rPr>
              <w:t>&lt;120s</w:t>
            </w:r>
          </w:p>
        </w:tc>
      </w:tr>
      <w:tr w:rsidR="00C96C88" w:rsidRPr="00C96C88" w14:paraId="38AAC647" w14:textId="77777777" w:rsidTr="00474803">
        <w:tc>
          <w:tcPr>
            <w:tcW w:w="0" w:type="auto"/>
            <w:tcMar>
              <w:top w:w="150" w:type="dxa"/>
              <w:left w:w="150" w:type="dxa"/>
              <w:bottom w:w="150" w:type="dxa"/>
              <w:right w:w="150" w:type="dxa"/>
            </w:tcMar>
            <w:vAlign w:val="bottom"/>
            <w:hideMark/>
          </w:tcPr>
          <w:p w14:paraId="5AD1CB78" w14:textId="77777777" w:rsidR="00C96C88" w:rsidRPr="00C96C88" w:rsidRDefault="00C96C88" w:rsidP="00C96C88">
            <w:pPr>
              <w:jc w:val="left"/>
              <w:rPr>
                <w:szCs w:val="21"/>
              </w:rPr>
            </w:pPr>
            <w:r w:rsidRPr="00C96C88">
              <w:rPr>
                <w:szCs w:val="21"/>
              </w:rPr>
              <w:t>积雪荷载&gt;0.5kN/m²</w:t>
            </w:r>
          </w:p>
        </w:tc>
        <w:tc>
          <w:tcPr>
            <w:tcW w:w="0" w:type="auto"/>
            <w:tcMar>
              <w:top w:w="150" w:type="dxa"/>
              <w:left w:w="150" w:type="dxa"/>
              <w:bottom w:w="150" w:type="dxa"/>
              <w:right w:w="150" w:type="dxa"/>
            </w:tcMar>
            <w:vAlign w:val="bottom"/>
            <w:hideMark/>
          </w:tcPr>
          <w:p w14:paraId="3D77B1BB" w14:textId="77777777" w:rsidR="00C96C88" w:rsidRPr="00C96C88" w:rsidRDefault="00C96C88" w:rsidP="00C96C88">
            <w:pPr>
              <w:jc w:val="left"/>
              <w:rPr>
                <w:szCs w:val="21"/>
              </w:rPr>
            </w:pPr>
            <w:r w:rsidRPr="00C96C88">
              <w:rPr>
                <w:szCs w:val="21"/>
              </w:rPr>
              <w:t>高频振动除雪模式（振幅±2°，频率2Hz）</w:t>
            </w:r>
          </w:p>
        </w:tc>
        <w:tc>
          <w:tcPr>
            <w:tcW w:w="0" w:type="auto"/>
            <w:tcMar>
              <w:top w:w="150" w:type="dxa"/>
              <w:left w:w="150" w:type="dxa"/>
              <w:bottom w:w="150" w:type="dxa"/>
              <w:right w:w="150" w:type="dxa"/>
            </w:tcMar>
            <w:vAlign w:val="bottom"/>
            <w:hideMark/>
          </w:tcPr>
          <w:p w14:paraId="33EA256E" w14:textId="77777777" w:rsidR="00C96C88" w:rsidRPr="00C96C88" w:rsidRDefault="00C96C88" w:rsidP="00C96C88">
            <w:pPr>
              <w:jc w:val="left"/>
              <w:rPr>
                <w:szCs w:val="21"/>
              </w:rPr>
            </w:pPr>
            <w:r w:rsidRPr="00C96C88">
              <w:rPr>
                <w:szCs w:val="21"/>
              </w:rPr>
              <w:t>持续运行</w:t>
            </w:r>
          </w:p>
        </w:tc>
      </w:tr>
      <w:tr w:rsidR="00C96C88" w:rsidRPr="00C96C88" w14:paraId="6377337A" w14:textId="77777777" w:rsidTr="00474803">
        <w:tc>
          <w:tcPr>
            <w:tcW w:w="0" w:type="auto"/>
            <w:tcMar>
              <w:top w:w="150" w:type="dxa"/>
              <w:left w:w="150" w:type="dxa"/>
              <w:bottom w:w="150" w:type="dxa"/>
              <w:right w:w="150" w:type="dxa"/>
            </w:tcMar>
            <w:vAlign w:val="bottom"/>
            <w:hideMark/>
          </w:tcPr>
          <w:p w14:paraId="0A85590E" w14:textId="77777777" w:rsidR="00C96C88" w:rsidRPr="00C96C88" w:rsidRDefault="00C96C88" w:rsidP="00C96C88">
            <w:pPr>
              <w:jc w:val="left"/>
              <w:rPr>
                <w:szCs w:val="21"/>
              </w:rPr>
            </w:pPr>
            <w:r w:rsidRPr="00C96C88">
              <w:rPr>
                <w:szCs w:val="21"/>
              </w:rPr>
              <w:t>火灾报警</w:t>
            </w:r>
          </w:p>
        </w:tc>
        <w:tc>
          <w:tcPr>
            <w:tcW w:w="0" w:type="auto"/>
            <w:tcMar>
              <w:top w:w="150" w:type="dxa"/>
              <w:left w:w="150" w:type="dxa"/>
              <w:bottom w:w="150" w:type="dxa"/>
              <w:right w:w="150" w:type="dxa"/>
            </w:tcMar>
            <w:vAlign w:val="bottom"/>
            <w:hideMark/>
          </w:tcPr>
          <w:p w14:paraId="38B61799" w14:textId="77777777" w:rsidR="00C96C88" w:rsidRPr="00C96C88" w:rsidRDefault="00C96C88" w:rsidP="00C96C88">
            <w:pPr>
              <w:jc w:val="left"/>
              <w:rPr>
                <w:szCs w:val="21"/>
              </w:rPr>
            </w:pPr>
            <w:r w:rsidRPr="00C96C88">
              <w:rPr>
                <w:szCs w:val="21"/>
              </w:rPr>
              <w:t>全部单元开启最大透光率，辅助排烟</w:t>
            </w:r>
          </w:p>
        </w:tc>
        <w:tc>
          <w:tcPr>
            <w:tcW w:w="0" w:type="auto"/>
            <w:tcMar>
              <w:top w:w="150" w:type="dxa"/>
              <w:left w:w="150" w:type="dxa"/>
              <w:bottom w:w="150" w:type="dxa"/>
              <w:right w:w="150" w:type="dxa"/>
            </w:tcMar>
            <w:vAlign w:val="bottom"/>
            <w:hideMark/>
          </w:tcPr>
          <w:p w14:paraId="3CB4142F" w14:textId="77777777" w:rsidR="00C96C88" w:rsidRPr="00C96C88" w:rsidRDefault="00C96C88" w:rsidP="00C96C88">
            <w:pPr>
              <w:jc w:val="left"/>
              <w:rPr>
                <w:szCs w:val="21"/>
              </w:rPr>
            </w:pPr>
            <w:r w:rsidRPr="00C96C88">
              <w:rPr>
                <w:szCs w:val="21"/>
              </w:rPr>
              <w:t>&lt;30s</w:t>
            </w:r>
          </w:p>
        </w:tc>
      </w:tr>
    </w:tbl>
    <w:p w14:paraId="6EFEB871" w14:textId="77777777" w:rsidR="00C96C88" w:rsidRPr="00C96C88" w:rsidRDefault="00C96C88" w:rsidP="00F62A60">
      <w:pPr>
        <w:ind w:firstLineChars="100" w:firstLine="210"/>
        <w:jc w:val="left"/>
        <w:rPr>
          <w:b/>
          <w:bCs/>
          <w:szCs w:val="21"/>
        </w:rPr>
      </w:pPr>
      <w:r w:rsidRPr="00C96C88">
        <w:rPr>
          <w:b/>
          <w:bCs/>
          <w:szCs w:val="21"/>
        </w:rPr>
        <w:t>6.3 维护与检修</w:t>
      </w:r>
    </w:p>
    <w:p w14:paraId="3CF6C12F" w14:textId="77777777" w:rsidR="00C96C88" w:rsidRPr="00C96C88" w:rsidRDefault="00C96C88" w:rsidP="00F62A60">
      <w:pPr>
        <w:jc w:val="left"/>
        <w:rPr>
          <w:szCs w:val="21"/>
        </w:rPr>
      </w:pPr>
      <w:r w:rsidRPr="00C96C88">
        <w:rPr>
          <w:szCs w:val="21"/>
        </w:rPr>
        <w:t>日常巡检：远程监控电机电流、轴承温度、发电效率</w:t>
      </w:r>
    </w:p>
    <w:p w14:paraId="615E04E9" w14:textId="77777777" w:rsidR="00C96C88" w:rsidRPr="00C96C88" w:rsidRDefault="00C96C88" w:rsidP="00F62A60">
      <w:pPr>
        <w:jc w:val="left"/>
        <w:rPr>
          <w:szCs w:val="21"/>
        </w:rPr>
      </w:pPr>
      <w:r w:rsidRPr="00C96C88">
        <w:rPr>
          <w:szCs w:val="21"/>
        </w:rPr>
        <w:t>定期维护：每2年更换密封条，每5年检修轴承，每10年评估电机寿命</w:t>
      </w:r>
    </w:p>
    <w:p w14:paraId="6EEF3A81" w14:textId="77777777" w:rsidR="00C96C88" w:rsidRPr="00C96C88" w:rsidRDefault="00C96C88" w:rsidP="00F62A60">
      <w:pPr>
        <w:jc w:val="left"/>
        <w:rPr>
          <w:szCs w:val="21"/>
        </w:rPr>
      </w:pPr>
      <w:r w:rsidRPr="00C96C88">
        <w:rPr>
          <w:szCs w:val="21"/>
        </w:rPr>
        <w:t>单元更换：单单元可在30分钟内独立拆卸，不影响整体系统运行</w:t>
      </w:r>
    </w:p>
    <w:p w14:paraId="6AA45B3A" w14:textId="6FDC647B" w:rsidR="00C96C88" w:rsidRPr="00C96C88" w:rsidRDefault="00C96C88" w:rsidP="00C96C88">
      <w:pPr>
        <w:jc w:val="left"/>
        <w:rPr>
          <w:szCs w:val="21"/>
        </w:rPr>
      </w:pPr>
    </w:p>
    <w:p w14:paraId="1C3D8B5F" w14:textId="1F11C5B6" w:rsidR="00C96C88" w:rsidRPr="00C96C88" w:rsidRDefault="00C96C88" w:rsidP="00C96C88">
      <w:pPr>
        <w:jc w:val="left"/>
        <w:rPr>
          <w:rFonts w:hint="eastAsia"/>
          <w:b/>
          <w:bCs/>
          <w:szCs w:val="21"/>
        </w:rPr>
      </w:pPr>
      <w:r w:rsidRPr="00C96C88">
        <w:rPr>
          <w:b/>
          <w:bCs/>
          <w:szCs w:val="21"/>
        </w:rPr>
        <w:t>七、技术经济性分析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2547"/>
      </w:tblGrid>
      <w:tr w:rsidR="00C96C88" w:rsidRPr="00C96C88" w14:paraId="095167E6" w14:textId="77777777" w:rsidTr="00474803">
        <w:trPr>
          <w:tblHeader/>
        </w:trPr>
        <w:tc>
          <w:tcPr>
            <w:tcW w:w="0" w:type="auto"/>
            <w:tcMar>
              <w:top w:w="150" w:type="dxa"/>
              <w:left w:w="150" w:type="dxa"/>
              <w:bottom w:w="150" w:type="dxa"/>
              <w:right w:w="150" w:type="dxa"/>
            </w:tcMar>
            <w:vAlign w:val="bottom"/>
            <w:hideMark/>
          </w:tcPr>
          <w:p w14:paraId="001870CA" w14:textId="77777777" w:rsidR="00C96C88" w:rsidRPr="00C96C88" w:rsidRDefault="00C96C88" w:rsidP="00C96C88">
            <w:pPr>
              <w:jc w:val="left"/>
              <w:rPr>
                <w:szCs w:val="21"/>
              </w:rPr>
            </w:pPr>
            <w:r w:rsidRPr="00C96C88">
              <w:rPr>
                <w:szCs w:val="21"/>
              </w:rPr>
              <w:t>项目</w:t>
            </w:r>
          </w:p>
        </w:tc>
        <w:tc>
          <w:tcPr>
            <w:tcW w:w="0" w:type="auto"/>
            <w:tcMar>
              <w:top w:w="150" w:type="dxa"/>
              <w:left w:w="150" w:type="dxa"/>
              <w:bottom w:w="150" w:type="dxa"/>
              <w:right w:w="150" w:type="dxa"/>
            </w:tcMar>
            <w:vAlign w:val="bottom"/>
            <w:hideMark/>
          </w:tcPr>
          <w:p w14:paraId="44ABAE7A" w14:textId="77777777" w:rsidR="00C96C88" w:rsidRPr="00C96C88" w:rsidRDefault="00C96C88" w:rsidP="00C96C88">
            <w:pPr>
              <w:jc w:val="left"/>
              <w:rPr>
                <w:szCs w:val="21"/>
              </w:rPr>
            </w:pPr>
            <w:r w:rsidRPr="00C96C88">
              <w:rPr>
                <w:szCs w:val="21"/>
              </w:rPr>
              <w:t>数值</w:t>
            </w:r>
          </w:p>
        </w:tc>
      </w:tr>
      <w:tr w:rsidR="00C96C88" w:rsidRPr="00C96C88" w14:paraId="42180F15" w14:textId="77777777" w:rsidTr="00474803">
        <w:tc>
          <w:tcPr>
            <w:tcW w:w="0" w:type="auto"/>
            <w:tcMar>
              <w:top w:w="150" w:type="dxa"/>
              <w:left w:w="150" w:type="dxa"/>
              <w:bottom w:w="150" w:type="dxa"/>
              <w:right w:w="150" w:type="dxa"/>
            </w:tcMar>
            <w:vAlign w:val="bottom"/>
            <w:hideMark/>
          </w:tcPr>
          <w:p w14:paraId="130BA10C" w14:textId="77777777" w:rsidR="00C96C88" w:rsidRPr="00C96C88" w:rsidRDefault="00C96C88" w:rsidP="00C96C88">
            <w:pPr>
              <w:jc w:val="left"/>
              <w:rPr>
                <w:szCs w:val="21"/>
              </w:rPr>
            </w:pPr>
            <w:r w:rsidRPr="00C96C88">
              <w:rPr>
                <w:szCs w:val="21"/>
              </w:rPr>
              <w:t>初始投资增量（相比固定式）</w:t>
            </w:r>
          </w:p>
        </w:tc>
        <w:tc>
          <w:tcPr>
            <w:tcW w:w="0" w:type="auto"/>
            <w:tcMar>
              <w:top w:w="150" w:type="dxa"/>
              <w:left w:w="150" w:type="dxa"/>
              <w:bottom w:w="150" w:type="dxa"/>
              <w:right w:w="150" w:type="dxa"/>
            </w:tcMar>
            <w:vAlign w:val="bottom"/>
            <w:hideMark/>
          </w:tcPr>
          <w:p w14:paraId="402E0F91" w14:textId="77777777" w:rsidR="00C96C88" w:rsidRPr="00C96C88" w:rsidRDefault="00C96C88" w:rsidP="00C96C88">
            <w:pPr>
              <w:jc w:val="left"/>
              <w:rPr>
                <w:szCs w:val="21"/>
              </w:rPr>
            </w:pPr>
            <w:r w:rsidRPr="00C96C88">
              <w:rPr>
                <w:szCs w:val="21"/>
              </w:rPr>
              <w:t>+35%（约180万元）</w:t>
            </w:r>
          </w:p>
        </w:tc>
      </w:tr>
      <w:tr w:rsidR="00C96C88" w:rsidRPr="00C96C88" w14:paraId="156C25A9" w14:textId="77777777" w:rsidTr="00474803">
        <w:tc>
          <w:tcPr>
            <w:tcW w:w="0" w:type="auto"/>
            <w:tcMar>
              <w:top w:w="150" w:type="dxa"/>
              <w:left w:w="150" w:type="dxa"/>
              <w:bottom w:w="150" w:type="dxa"/>
              <w:right w:w="150" w:type="dxa"/>
            </w:tcMar>
            <w:vAlign w:val="bottom"/>
            <w:hideMark/>
          </w:tcPr>
          <w:p w14:paraId="30077790" w14:textId="77777777" w:rsidR="00C96C88" w:rsidRPr="00C96C88" w:rsidRDefault="00C96C88" w:rsidP="00C96C88">
            <w:pPr>
              <w:jc w:val="left"/>
              <w:rPr>
                <w:szCs w:val="21"/>
              </w:rPr>
            </w:pPr>
            <w:r w:rsidRPr="00C96C88">
              <w:rPr>
                <w:szCs w:val="21"/>
              </w:rPr>
              <w:t>年发电量增益</w:t>
            </w:r>
          </w:p>
        </w:tc>
        <w:tc>
          <w:tcPr>
            <w:tcW w:w="0" w:type="auto"/>
            <w:tcMar>
              <w:top w:w="150" w:type="dxa"/>
              <w:left w:w="150" w:type="dxa"/>
              <w:bottom w:w="150" w:type="dxa"/>
              <w:right w:w="150" w:type="dxa"/>
            </w:tcMar>
            <w:vAlign w:val="bottom"/>
            <w:hideMark/>
          </w:tcPr>
          <w:p w14:paraId="2982AE79" w14:textId="77777777" w:rsidR="00C96C88" w:rsidRPr="00C96C88" w:rsidRDefault="00C96C88" w:rsidP="00C96C88">
            <w:pPr>
              <w:jc w:val="left"/>
              <w:rPr>
                <w:szCs w:val="21"/>
              </w:rPr>
            </w:pPr>
            <w:r w:rsidRPr="00C96C88">
              <w:rPr>
                <w:szCs w:val="21"/>
              </w:rPr>
              <w:t>+36.6%（+68,310 kWh）</w:t>
            </w:r>
          </w:p>
        </w:tc>
      </w:tr>
      <w:tr w:rsidR="00C96C88" w:rsidRPr="00C96C88" w14:paraId="4D0AD3D0" w14:textId="77777777" w:rsidTr="00474803">
        <w:tc>
          <w:tcPr>
            <w:tcW w:w="0" w:type="auto"/>
            <w:tcMar>
              <w:top w:w="150" w:type="dxa"/>
              <w:left w:w="150" w:type="dxa"/>
              <w:bottom w:w="150" w:type="dxa"/>
              <w:right w:w="150" w:type="dxa"/>
            </w:tcMar>
            <w:vAlign w:val="bottom"/>
            <w:hideMark/>
          </w:tcPr>
          <w:p w14:paraId="70ED85BB" w14:textId="77777777" w:rsidR="00C96C88" w:rsidRPr="00C96C88" w:rsidRDefault="00C96C88" w:rsidP="00C96C88">
            <w:pPr>
              <w:jc w:val="left"/>
              <w:rPr>
                <w:szCs w:val="21"/>
              </w:rPr>
            </w:pPr>
            <w:r w:rsidRPr="00C96C88">
              <w:rPr>
                <w:szCs w:val="21"/>
              </w:rPr>
              <w:t>年收益增益（电价0.8元/kWh）</w:t>
            </w:r>
          </w:p>
        </w:tc>
        <w:tc>
          <w:tcPr>
            <w:tcW w:w="0" w:type="auto"/>
            <w:tcMar>
              <w:top w:w="150" w:type="dxa"/>
              <w:left w:w="150" w:type="dxa"/>
              <w:bottom w:w="150" w:type="dxa"/>
              <w:right w:w="150" w:type="dxa"/>
            </w:tcMar>
            <w:vAlign w:val="bottom"/>
            <w:hideMark/>
          </w:tcPr>
          <w:p w14:paraId="63303FC2" w14:textId="77777777" w:rsidR="00C96C88" w:rsidRPr="00C96C88" w:rsidRDefault="00C96C88" w:rsidP="00C96C88">
            <w:pPr>
              <w:jc w:val="left"/>
              <w:rPr>
                <w:szCs w:val="21"/>
              </w:rPr>
            </w:pPr>
            <w:r w:rsidRPr="00C96C88">
              <w:rPr>
                <w:szCs w:val="21"/>
              </w:rPr>
              <w:t>+5.46万元</w:t>
            </w:r>
          </w:p>
        </w:tc>
      </w:tr>
      <w:tr w:rsidR="00C96C88" w:rsidRPr="00C96C88" w14:paraId="3B005C59" w14:textId="77777777" w:rsidTr="00474803">
        <w:tc>
          <w:tcPr>
            <w:tcW w:w="0" w:type="auto"/>
            <w:tcMar>
              <w:top w:w="150" w:type="dxa"/>
              <w:left w:w="150" w:type="dxa"/>
              <w:bottom w:w="150" w:type="dxa"/>
              <w:right w:w="150" w:type="dxa"/>
            </w:tcMar>
            <w:vAlign w:val="bottom"/>
            <w:hideMark/>
          </w:tcPr>
          <w:p w14:paraId="336CA057" w14:textId="77777777" w:rsidR="00C96C88" w:rsidRPr="00C96C88" w:rsidRDefault="00C96C88" w:rsidP="00C96C88">
            <w:pPr>
              <w:jc w:val="left"/>
              <w:rPr>
                <w:szCs w:val="21"/>
              </w:rPr>
            </w:pPr>
            <w:r w:rsidRPr="00C96C88">
              <w:rPr>
                <w:szCs w:val="21"/>
              </w:rPr>
              <w:lastRenderedPageBreak/>
              <w:t>投资回收期</w:t>
            </w:r>
          </w:p>
        </w:tc>
        <w:tc>
          <w:tcPr>
            <w:tcW w:w="0" w:type="auto"/>
            <w:tcMar>
              <w:top w:w="150" w:type="dxa"/>
              <w:left w:w="150" w:type="dxa"/>
              <w:bottom w:w="150" w:type="dxa"/>
              <w:right w:w="150" w:type="dxa"/>
            </w:tcMar>
            <w:vAlign w:val="bottom"/>
            <w:hideMark/>
          </w:tcPr>
          <w:p w14:paraId="694FF1E9" w14:textId="77777777" w:rsidR="00C96C88" w:rsidRPr="00C96C88" w:rsidRDefault="00C96C88" w:rsidP="00C96C88">
            <w:pPr>
              <w:jc w:val="left"/>
              <w:rPr>
                <w:szCs w:val="21"/>
              </w:rPr>
            </w:pPr>
            <w:r w:rsidRPr="00C96C88">
              <w:rPr>
                <w:szCs w:val="21"/>
              </w:rPr>
              <w:t>3.3年</w:t>
            </w:r>
          </w:p>
        </w:tc>
      </w:tr>
      <w:tr w:rsidR="00C96C88" w:rsidRPr="00C96C88" w14:paraId="1445206D" w14:textId="77777777" w:rsidTr="00474803">
        <w:tc>
          <w:tcPr>
            <w:tcW w:w="0" w:type="auto"/>
            <w:tcMar>
              <w:top w:w="150" w:type="dxa"/>
              <w:left w:w="150" w:type="dxa"/>
              <w:bottom w:w="150" w:type="dxa"/>
              <w:right w:w="150" w:type="dxa"/>
            </w:tcMar>
            <w:vAlign w:val="bottom"/>
            <w:hideMark/>
          </w:tcPr>
          <w:p w14:paraId="17E3A0F8" w14:textId="77777777" w:rsidR="00C96C88" w:rsidRPr="00C96C88" w:rsidRDefault="00C96C88" w:rsidP="00C96C88">
            <w:pPr>
              <w:jc w:val="left"/>
              <w:rPr>
                <w:szCs w:val="21"/>
              </w:rPr>
            </w:pPr>
            <w:r w:rsidRPr="00C96C88">
              <w:rPr>
                <w:szCs w:val="21"/>
              </w:rPr>
              <w:t>25年生命周期总收益</w:t>
            </w:r>
          </w:p>
        </w:tc>
        <w:tc>
          <w:tcPr>
            <w:tcW w:w="0" w:type="auto"/>
            <w:tcMar>
              <w:top w:w="150" w:type="dxa"/>
              <w:left w:w="150" w:type="dxa"/>
              <w:bottom w:w="150" w:type="dxa"/>
              <w:right w:w="150" w:type="dxa"/>
            </w:tcMar>
            <w:vAlign w:val="bottom"/>
            <w:hideMark/>
          </w:tcPr>
          <w:p w14:paraId="12A30D62" w14:textId="77777777" w:rsidR="00C96C88" w:rsidRPr="00C96C88" w:rsidRDefault="00C96C88" w:rsidP="00C96C88">
            <w:pPr>
              <w:jc w:val="left"/>
              <w:rPr>
                <w:szCs w:val="21"/>
              </w:rPr>
            </w:pPr>
            <w:r w:rsidRPr="00C96C88">
              <w:rPr>
                <w:szCs w:val="21"/>
              </w:rPr>
              <w:t>+136.5万元</w:t>
            </w:r>
          </w:p>
        </w:tc>
      </w:tr>
      <w:tr w:rsidR="00C96C88" w:rsidRPr="00C96C88" w14:paraId="0D3C93C1" w14:textId="77777777" w:rsidTr="00474803">
        <w:tc>
          <w:tcPr>
            <w:tcW w:w="0" w:type="auto"/>
            <w:tcMar>
              <w:top w:w="150" w:type="dxa"/>
              <w:left w:w="150" w:type="dxa"/>
              <w:bottom w:w="150" w:type="dxa"/>
              <w:right w:w="150" w:type="dxa"/>
            </w:tcMar>
            <w:vAlign w:val="bottom"/>
            <w:hideMark/>
          </w:tcPr>
          <w:p w14:paraId="3AF9B570" w14:textId="77777777" w:rsidR="00C96C88" w:rsidRPr="00C96C88" w:rsidRDefault="00C96C88" w:rsidP="00C96C88">
            <w:pPr>
              <w:jc w:val="left"/>
              <w:rPr>
                <w:szCs w:val="21"/>
              </w:rPr>
            </w:pPr>
            <w:proofErr w:type="gramStart"/>
            <w:r w:rsidRPr="00C96C88">
              <w:rPr>
                <w:szCs w:val="21"/>
              </w:rPr>
              <w:t>碳减排量</w:t>
            </w:r>
            <w:proofErr w:type="gramEnd"/>
            <w:r w:rsidRPr="00C96C88">
              <w:rPr>
                <w:szCs w:val="21"/>
              </w:rPr>
              <w:t>（25年）</w:t>
            </w:r>
          </w:p>
        </w:tc>
        <w:tc>
          <w:tcPr>
            <w:tcW w:w="0" w:type="auto"/>
            <w:tcMar>
              <w:top w:w="150" w:type="dxa"/>
              <w:left w:w="150" w:type="dxa"/>
              <w:bottom w:w="150" w:type="dxa"/>
              <w:right w:w="150" w:type="dxa"/>
            </w:tcMar>
            <w:vAlign w:val="bottom"/>
            <w:hideMark/>
          </w:tcPr>
          <w:p w14:paraId="18B25A3D" w14:textId="77777777" w:rsidR="00C96C88" w:rsidRPr="00C96C88" w:rsidRDefault="00C96C88" w:rsidP="00C96C88">
            <w:pPr>
              <w:jc w:val="left"/>
              <w:rPr>
                <w:szCs w:val="21"/>
              </w:rPr>
            </w:pPr>
            <w:r w:rsidRPr="00C96C88">
              <w:rPr>
                <w:szCs w:val="21"/>
              </w:rPr>
              <w:t>约850吨CO</w:t>
            </w:r>
            <w:r w:rsidRPr="00C96C88">
              <w:rPr>
                <w:rFonts w:ascii="Cambria Math" w:hAnsi="Cambria Math" w:cs="Cambria Math"/>
                <w:szCs w:val="21"/>
              </w:rPr>
              <w:t>₂</w:t>
            </w:r>
          </w:p>
        </w:tc>
      </w:tr>
    </w:tbl>
    <w:p w14:paraId="67FD126D" w14:textId="558593EB" w:rsidR="00C96C88" w:rsidRPr="00C96C88" w:rsidRDefault="00C96C88" w:rsidP="00C96C88">
      <w:pPr>
        <w:jc w:val="left"/>
        <w:rPr>
          <w:szCs w:val="21"/>
        </w:rPr>
      </w:pPr>
    </w:p>
    <w:p w14:paraId="72B8CC17" w14:textId="77777777" w:rsidR="00C96C88" w:rsidRPr="00C96C88" w:rsidRDefault="00C96C88" w:rsidP="00C96C88">
      <w:pPr>
        <w:jc w:val="left"/>
        <w:rPr>
          <w:b/>
          <w:bCs/>
          <w:szCs w:val="21"/>
        </w:rPr>
      </w:pPr>
      <w:r w:rsidRPr="00C96C88">
        <w:rPr>
          <w:b/>
          <w:bCs/>
          <w:szCs w:val="21"/>
        </w:rPr>
        <w:t>八、落地可能性验证</w:t>
      </w:r>
    </w:p>
    <w:p w14:paraId="367A8F28" w14:textId="77777777" w:rsidR="00C96C88" w:rsidRPr="00C96C88" w:rsidRDefault="00C96C88" w:rsidP="00F62A60">
      <w:pPr>
        <w:ind w:firstLineChars="100" w:firstLine="210"/>
        <w:jc w:val="left"/>
        <w:rPr>
          <w:b/>
          <w:bCs/>
          <w:szCs w:val="21"/>
        </w:rPr>
      </w:pPr>
      <w:r w:rsidRPr="00C96C88">
        <w:rPr>
          <w:b/>
          <w:bCs/>
          <w:szCs w:val="21"/>
        </w:rPr>
        <w:t>8.1 工程适配性</w:t>
      </w:r>
    </w:p>
    <w:p w14:paraId="16D2D4AA" w14:textId="77777777" w:rsidR="00C96C88" w:rsidRPr="00C96C88" w:rsidRDefault="00C96C88" w:rsidP="00F62A60">
      <w:pPr>
        <w:jc w:val="left"/>
        <w:rPr>
          <w:szCs w:val="21"/>
        </w:rPr>
      </w:pPr>
      <w:r w:rsidRPr="00C96C88">
        <w:rPr>
          <w:szCs w:val="21"/>
        </w:rPr>
        <w:t>既有建筑改造：单元重量50kg，可直接替换原有屋面面板，无需加固主体结构</w:t>
      </w:r>
    </w:p>
    <w:p w14:paraId="31353D26" w14:textId="77777777" w:rsidR="00C96C88" w:rsidRPr="00C96C88" w:rsidRDefault="00C96C88" w:rsidP="00F62A60">
      <w:pPr>
        <w:jc w:val="left"/>
        <w:rPr>
          <w:szCs w:val="21"/>
        </w:rPr>
      </w:pPr>
      <w:r w:rsidRPr="00C96C88">
        <w:rPr>
          <w:szCs w:val="21"/>
        </w:rPr>
        <w:t>新建建筑：与常规钢结构屋面体系完全兼容，设计阶段预留电机线槽即可</w:t>
      </w:r>
    </w:p>
    <w:p w14:paraId="09B1F089" w14:textId="77777777" w:rsidR="00695BC9" w:rsidRPr="0000733B" w:rsidRDefault="00695BC9" w:rsidP="004A2C37">
      <w:pPr>
        <w:jc w:val="left"/>
        <w:rPr>
          <w:rFonts w:hint="eastAsia"/>
          <w:szCs w:val="21"/>
        </w:rPr>
      </w:pPr>
    </w:p>
    <w:sectPr w:rsidR="00695BC9" w:rsidRPr="00007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C6F90"/>
    <w:multiLevelType w:val="multilevel"/>
    <w:tmpl w:val="6E5E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DA353D"/>
    <w:multiLevelType w:val="multilevel"/>
    <w:tmpl w:val="5B8E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E66F56"/>
    <w:multiLevelType w:val="multilevel"/>
    <w:tmpl w:val="FD3A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BA6730"/>
    <w:multiLevelType w:val="multilevel"/>
    <w:tmpl w:val="F3D8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A73637"/>
    <w:multiLevelType w:val="multilevel"/>
    <w:tmpl w:val="3416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E415C0"/>
    <w:multiLevelType w:val="multilevel"/>
    <w:tmpl w:val="2CD0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6363654">
    <w:abstractNumId w:val="0"/>
  </w:num>
  <w:num w:numId="2" w16cid:durableId="769473231">
    <w:abstractNumId w:val="5"/>
  </w:num>
  <w:num w:numId="3" w16cid:durableId="526722198">
    <w:abstractNumId w:val="1"/>
  </w:num>
  <w:num w:numId="4" w16cid:durableId="176697178">
    <w:abstractNumId w:val="4"/>
  </w:num>
  <w:num w:numId="5" w16cid:durableId="542985217">
    <w:abstractNumId w:val="2"/>
  </w:num>
  <w:num w:numId="6" w16cid:durableId="92363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61"/>
    <w:rsid w:val="0000733B"/>
    <w:rsid w:val="001D5461"/>
    <w:rsid w:val="00474803"/>
    <w:rsid w:val="004A2C37"/>
    <w:rsid w:val="00595DD9"/>
    <w:rsid w:val="00695BC9"/>
    <w:rsid w:val="007A43DC"/>
    <w:rsid w:val="009A5FCF"/>
    <w:rsid w:val="00AE0328"/>
    <w:rsid w:val="00C61F26"/>
    <w:rsid w:val="00C96C88"/>
    <w:rsid w:val="00E719E0"/>
    <w:rsid w:val="00E82E7A"/>
    <w:rsid w:val="00E97D35"/>
    <w:rsid w:val="00F6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727E5"/>
  <w15:chartTrackingRefBased/>
  <w15:docId w15:val="{08B6B86A-59CA-4F14-9E95-094A1C4F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D546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D546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D546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D546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D546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D546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D546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46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D546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46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D546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D546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D5461"/>
    <w:rPr>
      <w:rFonts w:cstheme="majorBidi"/>
      <w:color w:val="0F4761" w:themeColor="accent1" w:themeShade="BF"/>
      <w:sz w:val="28"/>
      <w:szCs w:val="28"/>
    </w:rPr>
  </w:style>
  <w:style w:type="character" w:customStyle="1" w:styleId="50">
    <w:name w:val="标题 5 字符"/>
    <w:basedOn w:val="a0"/>
    <w:link w:val="5"/>
    <w:uiPriority w:val="9"/>
    <w:semiHidden/>
    <w:rsid w:val="001D5461"/>
    <w:rPr>
      <w:rFonts w:cstheme="majorBidi"/>
      <w:color w:val="0F4761" w:themeColor="accent1" w:themeShade="BF"/>
      <w:sz w:val="24"/>
      <w:szCs w:val="24"/>
    </w:rPr>
  </w:style>
  <w:style w:type="character" w:customStyle="1" w:styleId="60">
    <w:name w:val="标题 6 字符"/>
    <w:basedOn w:val="a0"/>
    <w:link w:val="6"/>
    <w:uiPriority w:val="9"/>
    <w:semiHidden/>
    <w:rsid w:val="001D5461"/>
    <w:rPr>
      <w:rFonts w:cstheme="majorBidi"/>
      <w:b/>
      <w:bCs/>
      <w:color w:val="0F4761" w:themeColor="accent1" w:themeShade="BF"/>
    </w:rPr>
  </w:style>
  <w:style w:type="character" w:customStyle="1" w:styleId="70">
    <w:name w:val="标题 7 字符"/>
    <w:basedOn w:val="a0"/>
    <w:link w:val="7"/>
    <w:uiPriority w:val="9"/>
    <w:semiHidden/>
    <w:rsid w:val="001D5461"/>
    <w:rPr>
      <w:rFonts w:cstheme="majorBidi"/>
      <w:b/>
      <w:bCs/>
      <w:color w:val="595959" w:themeColor="text1" w:themeTint="A6"/>
    </w:rPr>
  </w:style>
  <w:style w:type="character" w:customStyle="1" w:styleId="80">
    <w:name w:val="标题 8 字符"/>
    <w:basedOn w:val="a0"/>
    <w:link w:val="8"/>
    <w:uiPriority w:val="9"/>
    <w:semiHidden/>
    <w:rsid w:val="001D5461"/>
    <w:rPr>
      <w:rFonts w:cstheme="majorBidi"/>
      <w:color w:val="595959" w:themeColor="text1" w:themeTint="A6"/>
    </w:rPr>
  </w:style>
  <w:style w:type="character" w:customStyle="1" w:styleId="90">
    <w:name w:val="标题 9 字符"/>
    <w:basedOn w:val="a0"/>
    <w:link w:val="9"/>
    <w:uiPriority w:val="9"/>
    <w:semiHidden/>
    <w:rsid w:val="001D5461"/>
    <w:rPr>
      <w:rFonts w:eastAsiaTheme="majorEastAsia" w:cstheme="majorBidi"/>
      <w:color w:val="595959" w:themeColor="text1" w:themeTint="A6"/>
    </w:rPr>
  </w:style>
  <w:style w:type="paragraph" w:styleId="a3">
    <w:name w:val="Title"/>
    <w:basedOn w:val="a"/>
    <w:next w:val="a"/>
    <w:link w:val="a4"/>
    <w:uiPriority w:val="10"/>
    <w:qFormat/>
    <w:rsid w:val="001D54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4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4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4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461"/>
    <w:pPr>
      <w:spacing w:before="160" w:after="160"/>
      <w:jc w:val="center"/>
    </w:pPr>
    <w:rPr>
      <w:i/>
      <w:iCs/>
      <w:color w:val="404040" w:themeColor="text1" w:themeTint="BF"/>
    </w:rPr>
  </w:style>
  <w:style w:type="character" w:customStyle="1" w:styleId="a8">
    <w:name w:val="引用 字符"/>
    <w:basedOn w:val="a0"/>
    <w:link w:val="a7"/>
    <w:uiPriority w:val="29"/>
    <w:rsid w:val="001D5461"/>
    <w:rPr>
      <w:i/>
      <w:iCs/>
      <w:color w:val="404040" w:themeColor="text1" w:themeTint="BF"/>
    </w:rPr>
  </w:style>
  <w:style w:type="paragraph" w:styleId="a9">
    <w:name w:val="List Paragraph"/>
    <w:basedOn w:val="a"/>
    <w:uiPriority w:val="34"/>
    <w:qFormat/>
    <w:rsid w:val="001D5461"/>
    <w:pPr>
      <w:ind w:left="720"/>
      <w:contextualSpacing/>
    </w:pPr>
  </w:style>
  <w:style w:type="character" w:styleId="aa">
    <w:name w:val="Intense Emphasis"/>
    <w:basedOn w:val="a0"/>
    <w:uiPriority w:val="21"/>
    <w:qFormat/>
    <w:rsid w:val="001D5461"/>
    <w:rPr>
      <w:i/>
      <w:iCs/>
      <w:color w:val="0F4761" w:themeColor="accent1" w:themeShade="BF"/>
    </w:rPr>
  </w:style>
  <w:style w:type="paragraph" w:styleId="ab">
    <w:name w:val="Intense Quote"/>
    <w:basedOn w:val="a"/>
    <w:next w:val="a"/>
    <w:link w:val="ac"/>
    <w:uiPriority w:val="30"/>
    <w:qFormat/>
    <w:rsid w:val="001D5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D5461"/>
    <w:rPr>
      <w:i/>
      <w:iCs/>
      <w:color w:val="0F4761" w:themeColor="accent1" w:themeShade="BF"/>
    </w:rPr>
  </w:style>
  <w:style w:type="character" w:styleId="ad">
    <w:name w:val="Intense Reference"/>
    <w:basedOn w:val="a0"/>
    <w:uiPriority w:val="32"/>
    <w:qFormat/>
    <w:rsid w:val="001D5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10</Pages>
  <Words>5340</Words>
  <Characters>5341</Characters>
  <Application>Microsoft Office Word</Application>
  <DocSecurity>0</DocSecurity>
  <Lines>197</Lines>
  <Paragraphs>85</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柏堂 宁</dc:creator>
  <cp:keywords/>
  <dc:description/>
  <cp:lastModifiedBy>柏堂 宁</cp:lastModifiedBy>
  <cp:revision>4</cp:revision>
  <dcterms:created xsi:type="dcterms:W3CDTF">2026-03-22T03:35:00Z</dcterms:created>
  <dcterms:modified xsi:type="dcterms:W3CDTF">2026-03-22T11:38:00Z</dcterms:modified>
</cp:coreProperties>
</file>