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9735">
      <w:pPr>
        <w:pStyle w:val="2"/>
        <w:bidi w:val="0"/>
        <w:jc w:val="center"/>
        <w:rPr>
          <w:rFonts w:hint="default"/>
          <w:sz w:val="84"/>
          <w:szCs w:val="84"/>
          <w:lang w:val="en-US" w:eastAsia="zh-CN"/>
        </w:rPr>
      </w:pPr>
      <w:r>
        <w:rPr>
          <w:rFonts w:hint="eastAsia"/>
          <w:sz w:val="84"/>
          <w:szCs w:val="84"/>
          <w:lang w:val="en-US" w:eastAsia="zh-CN"/>
        </w:rPr>
        <w:t>“</w:t>
      </w:r>
      <w:r>
        <w:rPr>
          <w:rFonts w:hint="default"/>
          <w:sz w:val="84"/>
          <w:szCs w:val="84"/>
          <w:lang w:val="en-US" w:eastAsia="zh-CN"/>
        </w:rPr>
        <w:t>古道新舞台，社区绿客厅</w:t>
      </w:r>
      <w:r>
        <w:rPr>
          <w:rFonts w:hint="eastAsia"/>
          <w:sz w:val="84"/>
          <w:szCs w:val="84"/>
          <w:lang w:val="en-US" w:eastAsia="zh-CN"/>
        </w:rPr>
        <w:t>”绿色建筑</w:t>
      </w:r>
    </w:p>
    <w:p w14:paraId="27B8A83C">
      <w:pPr>
        <w:pStyle w:val="2"/>
        <w:bidi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绿色建筑系统集成与运维实施方案</w:t>
      </w:r>
    </w:p>
    <w:p w14:paraId="13713532">
      <w:pPr>
        <w:spacing w:line="360" w:lineRule="auto"/>
        <w:jc w:val="center"/>
        <w:rPr>
          <w:rFonts w:ascii="黑体" w:eastAsia="黑体"/>
          <w:sz w:val="52"/>
          <w:szCs w:val="52"/>
        </w:rPr>
      </w:pPr>
    </w:p>
    <w:p w14:paraId="165CBA76">
      <w:pPr>
        <w:spacing w:line="520" w:lineRule="exact"/>
        <w:rPr>
          <w:rFonts w:ascii="宋体"/>
          <w:b/>
          <w:sz w:val="36"/>
        </w:rPr>
      </w:pPr>
    </w:p>
    <w:p w14:paraId="00B53E08"/>
    <w:p w14:paraId="4620F3E7"/>
    <w:p w14:paraId="59E4529E"/>
    <w:p w14:paraId="0671E8F8"/>
    <w:p w14:paraId="031BA2B8"/>
    <w:p w14:paraId="59193B73"/>
    <w:p w14:paraId="2C409312"/>
    <w:p w14:paraId="05C1E7E6"/>
    <w:p w14:paraId="65A4DF99"/>
    <w:p w14:paraId="25CFD67E"/>
    <w:p w14:paraId="17F5BAA5"/>
    <w:p w14:paraId="6C46D9EC"/>
    <w:p w14:paraId="10D4D23C"/>
    <w:p w14:paraId="110AB57E"/>
    <w:p w14:paraId="10785DE9"/>
    <w:p w14:paraId="61D16AA5"/>
    <w:p w14:paraId="60A861F8"/>
    <w:p w14:paraId="42CA3C3E"/>
    <w:p w14:paraId="400BDA43"/>
    <w:p w14:paraId="61DDEBFB"/>
    <w:p w14:paraId="2FD568F4"/>
    <w:p w14:paraId="12253165"/>
    <w:p w14:paraId="43687A4C">
      <w:pPr>
        <w:pStyle w:val="2"/>
        <w:spacing w:before="0" w:after="0" w:line="240" w:lineRule="auto"/>
        <w:ind w:firstLine="0" w:firstLineChars="0"/>
        <w:jc w:val="center"/>
        <w:rPr>
          <w:rFonts w:hint="eastAsia" w:ascii="宋体" w:hAnsi="宋体"/>
          <w:sz w:val="30"/>
          <w:szCs w:val="30"/>
        </w:rPr>
      </w:pPr>
      <w:bookmarkStart w:id="0" w:name="_Toc155527203"/>
      <w:bookmarkStart w:id="1" w:name="_Toc266464818"/>
    </w:p>
    <w:p w14:paraId="696E1F20">
      <w:pPr>
        <w:pStyle w:val="2"/>
        <w:spacing w:before="0" w:after="0" w:line="240" w:lineRule="auto"/>
        <w:ind w:firstLine="0" w:firstLineChars="0"/>
        <w:jc w:val="center"/>
        <w:rPr>
          <w:rFonts w:hint="eastAsia" w:ascii="宋体" w:hAnsi="宋体" w:eastAsia="宋体"/>
          <w:sz w:val="30"/>
          <w:szCs w:val="30"/>
          <w:lang w:eastAsia="zh-CN"/>
        </w:rPr>
      </w:pPr>
      <w:r>
        <w:rPr>
          <w:rFonts w:hint="eastAsia" w:ascii="宋体" w:hAnsi="宋体"/>
          <w:sz w:val="30"/>
          <w:szCs w:val="30"/>
        </w:rPr>
        <w:t>第一部分   项目</w:t>
      </w:r>
      <w:bookmarkEnd w:id="0"/>
      <w:bookmarkEnd w:id="1"/>
      <w:r>
        <w:rPr>
          <w:rFonts w:hint="eastAsia" w:ascii="宋体" w:hAnsi="宋体"/>
          <w:sz w:val="30"/>
          <w:szCs w:val="30"/>
          <w:lang w:val="en-US" w:eastAsia="zh-CN"/>
        </w:rPr>
        <w:t>概况</w:t>
      </w:r>
    </w:p>
    <w:p w14:paraId="7D432353">
      <w:pPr>
        <w:ind w:firstLine="420" w:firstLineChars="0"/>
        <w:rPr>
          <w:rFonts w:hint="eastAsia" w:ascii="宋体" w:hAnsi="宋体"/>
          <w:sz w:val="24"/>
        </w:rPr>
      </w:pPr>
      <w:r>
        <w:rPr>
          <w:rFonts w:hint="eastAsia" w:ascii="宋体" w:hAnsi="宋体"/>
          <w:sz w:val="24"/>
        </w:rPr>
        <w:t>这座位</w:t>
      </w:r>
      <w:r>
        <w:rPr>
          <w:rFonts w:hint="eastAsia" w:ascii="宋体" w:hAnsi="宋体" w:eastAsia="宋体" w:cs="Times New Roman"/>
          <w:b w:val="0"/>
          <w:bCs w:val="0"/>
          <w:kern w:val="2"/>
          <w:sz w:val="24"/>
          <w:szCs w:val="24"/>
          <w:lang w:val="en-US" w:eastAsia="zh-CN" w:bidi="ar-SA"/>
        </w:rPr>
        <w:t>于北京模式</w:t>
      </w:r>
      <w:r>
        <w:rPr>
          <w:rFonts w:hint="eastAsia" w:ascii="宋体" w:hAnsi="宋体"/>
          <w:sz w:val="24"/>
        </w:rPr>
        <w:t>口历史文化街区的剧场，是“历史烟火”与“绿色新生”的共生体。作为街区更新核心项目，它以“融于环境”为底色。弱化现代建筑的高大感，嵌入低矮原生建筑间。同时部分区域覆土设计，借土壤隔热降能耗，与坡地绿植柔和衔接，光伏板、光伏百叶等技术，让建筑自带低碳基因。同时，它以开放空间放大公共属性，屋顶平台串联观景动线，半户外休憩区成居民、游客聚集地，剧场活动为街区注入文化流量，既守牢历史记忆，又以绿色与开放让老街区重焕活力。</w:t>
      </w:r>
    </w:p>
    <w:p w14:paraId="3C7D6C6E">
      <w:pPr>
        <w:pStyle w:val="2"/>
        <w:numPr>
          <w:ilvl w:val="0"/>
          <w:numId w:val="1"/>
        </w:numPr>
        <w:spacing w:before="0" w:after="0" w:line="360" w:lineRule="auto"/>
        <w:ind w:left="-28" w:leftChars="0" w:firstLine="2548" w:firstLineChars="0"/>
        <w:rPr>
          <w:rFonts w:hint="default" w:ascii="宋体" w:hAnsi="宋体"/>
          <w:b/>
          <w:sz w:val="30"/>
          <w:szCs w:val="30"/>
          <w:lang w:val="en-US" w:eastAsia="zh-CN"/>
        </w:rPr>
      </w:pPr>
      <w:r>
        <w:rPr>
          <w:rFonts w:hint="default" w:ascii="宋体" w:hAnsi="宋体"/>
          <w:b/>
          <w:sz w:val="30"/>
          <w:szCs w:val="30"/>
          <w:lang w:val="en-US" w:eastAsia="zh-CN"/>
        </w:rPr>
        <w:t>地源热泵系统方案</w:t>
      </w:r>
    </w:p>
    <w:p w14:paraId="5A6710BA">
      <w:pPr>
        <w:numPr>
          <w:ilvl w:val="0"/>
          <w:numId w:val="0"/>
        </w:numPr>
        <w:rPr>
          <w:rFonts w:hint="eastAsia"/>
          <w:lang w:val="en-US" w:eastAsia="zh-CN"/>
        </w:rPr>
      </w:pPr>
    </w:p>
    <w:p w14:paraId="6EF32F87">
      <w:pPr>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一、方案概述</w:t>
      </w:r>
    </w:p>
    <w:p w14:paraId="09256FF7">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本项目立足“碳中和”目标与绿色建筑发展要求，结合项目地处文化街区、空间受限及半地下建筑结构特点，优先选用竖直埋管式地源热泵系统作为核心冷热源方案。该系统利用地下土壤作为稳定的热汇与热源，通过闭式循环换热实现夏季供冷、冬季供暖，具有能效高、运行稳定、不依赖外部气候、节约地面空间等优势，特别适合本项目剧场主体位于地下、需持续稳定供能的使用场景。</w:t>
      </w:r>
    </w:p>
    <w:p w14:paraId="7C77456A">
      <w:pPr>
        <w:ind w:left="1680" w:leftChars="0" w:firstLine="420" w:firstLineChars="0"/>
        <w:rPr>
          <w:rFonts w:hint="default"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地源热泵工作原理：</w:t>
      </w:r>
    </w:p>
    <w:p w14:paraId="6BADABC4">
      <w:pPr>
        <w:ind w:firstLine="420" w:firstLineChars="0"/>
        <w:rPr>
          <w:rFonts w:hint="eastAsia" w:ascii="宋体" w:hAnsi="宋体" w:eastAsia="宋体" w:cs="Times New Roman"/>
          <w:b w:val="0"/>
          <w:bCs w:val="0"/>
          <w:kern w:val="2"/>
          <w:sz w:val="24"/>
          <w:szCs w:val="24"/>
          <w:lang w:val="en-US" w:eastAsia="zh-CN" w:bidi="ar-SA"/>
        </w:rPr>
      </w:pPr>
      <w:r>
        <w:drawing>
          <wp:anchor distT="0" distB="0" distL="114300" distR="114300" simplePos="0" relativeHeight="251660288" behindDoc="0" locked="0" layoutInCell="1" allowOverlap="1">
            <wp:simplePos x="0" y="0"/>
            <wp:positionH relativeFrom="column">
              <wp:posOffset>549910</wp:posOffset>
            </wp:positionH>
            <wp:positionV relativeFrom="paragraph">
              <wp:posOffset>123825</wp:posOffset>
            </wp:positionV>
            <wp:extent cx="4041775" cy="1699895"/>
            <wp:effectExtent l="0" t="0" r="9525" b="190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41775" cy="1699895"/>
                    </a:xfrm>
                    <a:prstGeom prst="rect">
                      <a:avLst/>
                    </a:prstGeom>
                    <a:noFill/>
                    <a:ln>
                      <a:noFill/>
                    </a:ln>
                  </pic:spPr>
                </pic:pic>
              </a:graphicData>
            </a:graphic>
          </wp:anchor>
        </w:drawing>
      </w:r>
    </w:p>
    <w:p w14:paraId="7E8317E2">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根据建筑负荷模拟结果，夏季</w:t>
      </w:r>
      <w:r>
        <w:rPr>
          <w:rFonts w:hint="eastAsia" w:ascii="宋体" w:hAnsi="宋体" w:cs="Times New Roman"/>
          <w:b w:val="0"/>
          <w:bCs w:val="0"/>
          <w:kern w:val="2"/>
          <w:sz w:val="24"/>
          <w:szCs w:val="24"/>
          <w:lang w:val="en-US" w:eastAsia="zh-CN" w:bidi="ar-SA"/>
        </w:rPr>
        <w:t>供暖需求</w:t>
      </w:r>
      <w:r>
        <w:rPr>
          <w:rFonts w:hint="eastAsia" w:ascii="宋体" w:hAnsi="宋体" w:eastAsia="宋体" w:cs="Times New Roman"/>
          <w:b w:val="0"/>
          <w:bCs w:val="0"/>
          <w:kern w:val="2"/>
          <w:sz w:val="24"/>
          <w:szCs w:val="24"/>
          <w:lang w:val="en-US" w:eastAsia="zh-CN" w:bidi="ar-SA"/>
        </w:rPr>
        <w:t>260240kw，冬季</w:t>
      </w:r>
      <w:r>
        <w:rPr>
          <w:rFonts w:hint="eastAsia" w:ascii="宋体" w:hAnsi="宋体" w:cs="Times New Roman"/>
          <w:b w:val="0"/>
          <w:bCs w:val="0"/>
          <w:kern w:val="2"/>
          <w:sz w:val="24"/>
          <w:szCs w:val="24"/>
          <w:lang w:val="en-US" w:eastAsia="zh-CN" w:bidi="ar-SA"/>
        </w:rPr>
        <w:t>供暖需求</w:t>
      </w:r>
      <w:r>
        <w:rPr>
          <w:rFonts w:hint="eastAsia" w:ascii="宋体" w:hAnsi="宋体" w:eastAsia="宋体" w:cs="Times New Roman"/>
          <w:b w:val="0"/>
          <w:bCs w:val="0"/>
          <w:kern w:val="2"/>
          <w:sz w:val="24"/>
          <w:szCs w:val="24"/>
          <w:lang w:val="en-US" w:eastAsia="zh-CN" w:bidi="ar-SA"/>
        </w:rPr>
        <w:t>为892388kw。配置多台台高效地源热泵机组，配合地下垂直埋管换热系统，实现全年冷热一体化供应。系统同时集成智能监测与控制平台，实现与光伏、风电等可再生能源的协同运行与能效优化。</w:t>
      </w:r>
      <w:bookmarkStart w:id="2" w:name="_GoBack"/>
      <w:bookmarkEnd w:id="2"/>
    </w:p>
    <w:p w14:paraId="28D9B5FF">
      <w:pPr>
        <w:ind w:left="1680" w:leftChars="0" w:firstLine="420" w:firstLineChars="0"/>
        <w:rPr>
          <w:rFonts w:hint="default"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drawing>
          <wp:anchor distT="0" distB="0" distL="114300" distR="114300" simplePos="0" relativeHeight="251659264" behindDoc="0" locked="0" layoutInCell="1" allowOverlap="1">
            <wp:simplePos x="0" y="0"/>
            <wp:positionH relativeFrom="column">
              <wp:posOffset>1468120</wp:posOffset>
            </wp:positionH>
            <wp:positionV relativeFrom="paragraph">
              <wp:posOffset>248920</wp:posOffset>
            </wp:positionV>
            <wp:extent cx="2333625" cy="1750060"/>
            <wp:effectExtent l="0" t="0" r="3175" b="2540"/>
            <wp:wrapTopAndBottom/>
            <wp:docPr id="2" name="图片 2" descr="e14c778e247a39e22d4a568b6c5916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14c778e247a39e22d4a568b6c59161f"/>
                    <pic:cNvPicPr>
                      <a:picLocks noChangeAspect="1"/>
                    </pic:cNvPicPr>
                  </pic:nvPicPr>
                  <pic:blipFill>
                    <a:blip r:embed="rId5"/>
                    <a:stretch>
                      <a:fillRect/>
                    </a:stretch>
                  </pic:blipFill>
                  <pic:spPr>
                    <a:xfrm>
                      <a:off x="0" y="0"/>
                      <a:ext cx="2333625" cy="1750060"/>
                    </a:xfrm>
                    <a:prstGeom prst="rect">
                      <a:avLst/>
                    </a:prstGeom>
                  </pic:spPr>
                </pic:pic>
              </a:graphicData>
            </a:graphic>
          </wp:anchor>
        </w:drawing>
      </w:r>
      <w:r>
        <w:rPr>
          <w:rFonts w:hint="eastAsia" w:ascii="宋体" w:hAnsi="宋体" w:eastAsia="宋体" w:cs="Times New Roman"/>
          <w:b w:val="0"/>
          <w:bCs w:val="0"/>
          <w:kern w:val="2"/>
          <w:sz w:val="24"/>
          <w:szCs w:val="24"/>
          <w:lang w:val="en-US" w:eastAsia="zh-CN" w:bidi="ar-SA"/>
        </w:rPr>
        <w:t>地源热泵系统工作原理示意图如下：</w:t>
      </w:r>
    </w:p>
    <w:p w14:paraId="31AEA2A3">
      <w:pPr>
        <w:keepNext w:val="0"/>
        <w:keepLines w:val="0"/>
        <w:widowControl/>
        <w:numPr>
          <w:ilvl w:val="0"/>
          <w:numId w:val="0"/>
        </w:numPr>
        <w:suppressLineNumbers w:val="0"/>
        <w:spacing w:before="0" w:beforeAutospacing="1" w:after="0" w:afterAutospacing="1"/>
        <w:ind w:left="-360" w:leftChars="0"/>
        <w:rPr>
          <w:rFonts w:hint="default" w:ascii="宋体" w:hAnsi="宋体" w:eastAsia="宋体" w:cs="Times New Roman"/>
          <w:b/>
          <w:bCs/>
          <w:kern w:val="2"/>
          <w:sz w:val="24"/>
          <w:szCs w:val="24"/>
          <w:lang w:val="en-US" w:eastAsia="zh-CN" w:bidi="ar-SA"/>
        </w:rPr>
      </w:pPr>
    </w:p>
    <w:p w14:paraId="58C211FD">
      <w:pPr>
        <w:keepNext w:val="0"/>
        <w:keepLines w:val="0"/>
        <w:widowControl/>
        <w:numPr>
          <w:ilvl w:val="0"/>
          <w:numId w:val="0"/>
        </w:numPr>
        <w:suppressLineNumbers w:val="0"/>
        <w:spacing w:before="0" w:beforeAutospacing="1" w:after="0" w:afterAutospacing="1"/>
        <w:ind w:left="-360" w:leftChars="0"/>
        <w:rPr>
          <w:rFonts w:hint="default" w:ascii="宋体" w:hAnsi="宋体" w:eastAsia="宋体" w:cs="Times New Roman"/>
          <w:b/>
          <w:bCs/>
          <w:kern w:val="2"/>
          <w:sz w:val="28"/>
          <w:szCs w:val="28"/>
          <w:lang w:val="en-US" w:eastAsia="zh-CN" w:bidi="ar-SA"/>
        </w:rPr>
      </w:pPr>
      <w:r>
        <w:rPr>
          <w:rFonts w:hint="default" w:ascii="宋体" w:hAnsi="宋体" w:eastAsia="宋体" w:cs="Times New Roman"/>
          <w:b/>
          <w:bCs/>
          <w:kern w:val="2"/>
          <w:sz w:val="28"/>
          <w:szCs w:val="28"/>
          <w:lang w:val="en-US" w:eastAsia="zh-CN" w:bidi="ar-SA"/>
        </w:rPr>
        <w:t>二、系统优势</w:t>
      </w:r>
    </w:p>
    <w:p w14:paraId="71A392C7">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地源热泵机组</w:t>
      </w:r>
    </w:p>
    <w:p w14:paraId="49B14D0F">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高效稳定</w:t>
      </w:r>
      <w:r>
        <w:rPr>
          <w:rFonts w:hint="default" w:ascii="宋体" w:hAnsi="宋体" w:eastAsia="宋体" w:cs="Times New Roman"/>
          <w:b w:val="0"/>
          <w:bCs w:val="0"/>
          <w:kern w:val="2"/>
          <w:sz w:val="24"/>
          <w:szCs w:val="24"/>
          <w:lang w:val="en-US" w:eastAsia="zh-CN" w:bidi="ar-SA"/>
        </w:rPr>
        <w:t>：土壤温度常年稳定，机组运行能效比（COP）可达4.5以上，较传统空调系统节能30%~50%；环境友好：无室外机噪声与热岛效应，不影响历史街区风貌；长寿命低维护：地下埋管系统寿命可达50年以上，机组运行稳定，维护成本低；适应性强：不受外界气温极端波动影响，尤其适合北京冬夏温差大的气候条件。</w:t>
      </w:r>
    </w:p>
    <w:p w14:paraId="6EEDC347">
      <w:pPr>
        <w:keepNext w:val="0"/>
        <w:keepLines w:val="0"/>
        <w:widowControl/>
        <w:numPr>
          <w:ilvl w:val="0"/>
          <w:numId w:val="0"/>
        </w:numPr>
        <w:suppressLineNumbers w:val="0"/>
        <w:spacing w:before="0" w:beforeAutospacing="1" w:after="0" w:afterAutospacing="1"/>
        <w:ind w:left="-360" w:leftChars="0" w:firstLine="2875" w:firstLineChars="1198"/>
        <w:rPr>
          <w:rFonts w:hint="eastAsia" w:ascii="宋体" w:hAnsi="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地源热泵机组：</w:t>
      </w:r>
    </w:p>
    <w:p w14:paraId="04521D04">
      <w:pPr>
        <w:keepNext w:val="0"/>
        <w:keepLines w:val="0"/>
        <w:widowControl/>
        <w:numPr>
          <w:ilvl w:val="0"/>
          <w:numId w:val="0"/>
        </w:numPr>
        <w:suppressLineNumbers w:val="0"/>
        <w:spacing w:before="0" w:beforeAutospacing="1" w:after="0" w:afterAutospacing="1"/>
        <w:ind w:left="-360" w:leftChars="0" w:firstLine="2875" w:firstLineChars="1198"/>
        <w:rPr>
          <w:rFonts w:hint="default" w:ascii="宋体" w:hAnsi="宋体" w:cs="Times New Roman"/>
          <w:b w:val="0"/>
          <w:bCs w:val="0"/>
          <w:kern w:val="2"/>
          <w:sz w:val="24"/>
          <w:szCs w:val="24"/>
          <w:lang w:val="en-US" w:eastAsia="zh-CN" w:bidi="ar-SA"/>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1184275</wp:posOffset>
            </wp:positionH>
            <wp:positionV relativeFrom="paragraph">
              <wp:posOffset>1270</wp:posOffset>
            </wp:positionV>
            <wp:extent cx="2373630" cy="1729740"/>
            <wp:effectExtent l="0" t="0" r="1270" b="10160"/>
            <wp:wrapTopAndBottom/>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2373630" cy="1729740"/>
                    </a:xfrm>
                    <a:prstGeom prst="rect">
                      <a:avLst/>
                    </a:prstGeom>
                    <a:noFill/>
                    <a:ln w="9525">
                      <a:noFill/>
                    </a:ln>
                  </pic:spPr>
                </pic:pic>
              </a:graphicData>
            </a:graphic>
          </wp:anchor>
        </w:drawing>
      </w:r>
    </w:p>
    <w:p w14:paraId="01A0975D">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辐射供冷供暖系统优势</w:t>
      </w:r>
    </w:p>
    <w:p w14:paraId="64F286EE">
      <w:pPr>
        <w:keepNext w:val="0"/>
        <w:keepLines w:val="0"/>
        <w:widowControl/>
        <w:numPr>
          <w:ilvl w:val="0"/>
          <w:numId w:val="0"/>
        </w:numPr>
        <w:suppressLineNumbers w:val="0"/>
        <w:spacing w:before="60" w:beforeAutospacing="0"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舒适健康：辐射末端表面温度均匀，无吹风感，避免扬尘与噪声，提升观演与活动舒适度；节能降耗：供水温度需求低（夏季18~20℃，冬季35~40℃），与地源热泵高效区间高度匹配；空间整合：末端隐蔽安装，不占用室内使用面积，保持空间整洁美观；安静运行：无风机振动噪声，尤其适合剧场、展厅等对静音要求高的空间。</w:t>
      </w:r>
    </w:p>
    <w:p w14:paraId="75181963">
      <w:pPr>
        <w:keepNext w:val="0"/>
        <w:keepLines w:val="0"/>
        <w:widowControl/>
        <w:numPr>
          <w:ilvl w:val="0"/>
          <w:numId w:val="0"/>
        </w:numPr>
        <w:suppressLineNumbers w:val="0"/>
        <w:spacing w:before="60" w:beforeAutospacing="0" w:after="0" w:afterAutospacing="1"/>
        <w:ind w:left="-360" w:leftChars="0" w:firstLine="420" w:firstLineChars="0"/>
        <w:rPr>
          <w:rFonts w:hint="eastAsia" w:ascii="宋体" w:hAnsi="宋体" w:eastAsia="宋体" w:cs="Times New Roman"/>
          <w:b w:val="0"/>
          <w:bCs w:val="0"/>
          <w:kern w:val="2"/>
          <w:sz w:val="24"/>
          <w:szCs w:val="24"/>
          <w:lang w:val="en-US" w:eastAsia="zh-CN" w:bidi="ar-SA"/>
        </w:rPr>
      </w:pPr>
    </w:p>
    <w:p w14:paraId="404173EA">
      <w:pPr>
        <w:keepNext w:val="0"/>
        <w:keepLines w:val="0"/>
        <w:widowControl/>
        <w:numPr>
          <w:ilvl w:val="0"/>
          <w:numId w:val="0"/>
        </w:numPr>
        <w:suppressLineNumbers w:val="0"/>
        <w:spacing w:before="60" w:beforeAutospacing="0" w:after="0" w:afterAutospacing="1"/>
        <w:ind w:left="-360" w:leftChars="0"/>
        <w:rPr>
          <w:rFonts w:hint="eastAsia"/>
          <w:b/>
          <w:bCs/>
          <w:sz w:val="28"/>
          <w:szCs w:val="28"/>
        </w:rPr>
      </w:pPr>
      <w:r>
        <w:rPr>
          <w:rFonts w:hint="eastAsia"/>
          <w:b/>
          <w:bCs/>
          <w:sz w:val="28"/>
          <w:szCs w:val="28"/>
        </w:rPr>
        <w:t>三、系统构成与设计</w:t>
      </w:r>
    </w:p>
    <w:p w14:paraId="14FCAD88">
      <w:pPr>
        <w:keepNext w:val="0"/>
        <w:keepLines w:val="0"/>
        <w:widowControl/>
        <w:numPr>
          <w:ilvl w:val="0"/>
          <w:numId w:val="0"/>
        </w:numPr>
        <w:suppressLineNumbers w:val="0"/>
        <w:spacing w:before="60" w:beforeAutospacing="0" w:after="0" w:afterAutospacing="1"/>
        <w:ind w:left="-360" w:leftChars="0" w:firstLine="420" w:firstLineChars="0"/>
        <w:rPr>
          <w:rFonts w:hint="eastAsia"/>
          <w:sz w:val="24"/>
          <w:szCs w:val="24"/>
        </w:rPr>
      </w:pPr>
      <w:r>
        <w:rPr>
          <w:rFonts w:hint="eastAsia"/>
          <w:sz w:val="24"/>
          <w:szCs w:val="24"/>
        </w:rPr>
        <w:t>地下换热系统设计</w:t>
      </w:r>
    </w:p>
    <w:p w14:paraId="1E74AB6F">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换热形式：采用双U型高密度聚乙烯（HDPE）垂直埋管；埋深与间距：单孔深度约120米，孔间距4~5米，根据现场热响应试验确定最终布局；管路环路：采用同程布置，确保各环路水力平衡与换热均匀；防冻液：使用环保型乙二醇溶液，确保低温工况下系统安全运行。</w:t>
      </w:r>
    </w:p>
    <w:p w14:paraId="610A32BE">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lang w:val="en-US" w:eastAsia="zh-CN"/>
        </w:rPr>
        <w:tab/>
      </w:r>
      <w:r>
        <w:rPr>
          <w:rFonts w:hint="eastAsia"/>
          <w:sz w:val="24"/>
          <w:szCs w:val="24"/>
        </w:rPr>
        <w:t>热泵主机与末端配置</w:t>
      </w:r>
    </w:p>
    <w:p w14:paraId="79D7094A">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主机选型：选用全变频地源热泵机组，具备夏季制冷、冬季制热与生活热水制备功能；末端形式：毛细管辐射管网敷设于吊顶与部分地面，分区独立控制；新风系统：配备带热回收功能的新风机组，与辐射系统协同调节室内空气质量。</w:t>
      </w:r>
    </w:p>
    <w:p w14:paraId="74ED7C7E">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lang w:val="en-US" w:eastAsia="zh-CN"/>
        </w:rPr>
        <w:tab/>
      </w:r>
      <w:r>
        <w:rPr>
          <w:rFonts w:hint="eastAsia"/>
          <w:sz w:val="24"/>
          <w:szCs w:val="24"/>
        </w:rPr>
        <w:t>智能控制与能源集成</w:t>
      </w:r>
    </w:p>
    <w:p w14:paraId="0DAF68D4">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多能源协调：地源热泵与光伏、风电系统通过智能微网平台实现互补运行；负荷预测调控：基于剧场使用计划与室外气候数据，提前调整系统运行策略；运维监测：实时监测地下温度场、系统能效与设备状态，实现故障预警与能效优化。</w:t>
      </w:r>
    </w:p>
    <w:p w14:paraId="3D84F172">
      <w:pPr>
        <w:keepNext w:val="0"/>
        <w:keepLines w:val="0"/>
        <w:widowControl/>
        <w:numPr>
          <w:ilvl w:val="0"/>
          <w:numId w:val="0"/>
        </w:numPr>
        <w:suppressLineNumbers w:val="0"/>
        <w:spacing w:before="60" w:beforeAutospacing="0" w:after="0" w:afterAutospacing="1"/>
        <w:ind w:left="-360" w:leftChars="0"/>
        <w:rPr>
          <w:rFonts w:hint="eastAsia"/>
          <w:sz w:val="24"/>
          <w:szCs w:val="24"/>
        </w:rPr>
      </w:pPr>
    </w:p>
    <w:p w14:paraId="74AE0AE1">
      <w:pPr>
        <w:keepNext w:val="0"/>
        <w:keepLines w:val="0"/>
        <w:widowControl/>
        <w:numPr>
          <w:ilvl w:val="0"/>
          <w:numId w:val="0"/>
        </w:numPr>
        <w:suppressLineNumbers w:val="0"/>
        <w:spacing w:before="60" w:beforeAutospacing="0" w:after="0" w:afterAutospacing="1"/>
        <w:ind w:left="-360" w:leftChars="0"/>
        <w:rPr>
          <w:rFonts w:hint="eastAsia"/>
          <w:b/>
          <w:bCs/>
          <w:sz w:val="28"/>
          <w:szCs w:val="28"/>
        </w:rPr>
      </w:pPr>
      <w:r>
        <w:rPr>
          <w:rFonts w:hint="eastAsia"/>
          <w:b/>
          <w:bCs/>
          <w:sz w:val="28"/>
          <w:szCs w:val="28"/>
        </w:rPr>
        <w:t>四、施工与运维要点</w:t>
      </w:r>
    </w:p>
    <w:p w14:paraId="1074D1F2">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lang w:val="en-US" w:eastAsia="zh-CN"/>
        </w:rPr>
        <w:tab/>
      </w:r>
      <w:r>
        <w:rPr>
          <w:rFonts w:hint="eastAsia"/>
          <w:sz w:val="24"/>
          <w:szCs w:val="24"/>
        </w:rPr>
        <w:t>施工阶段</w:t>
      </w:r>
    </w:p>
    <w:p w14:paraId="1BB4F0FB">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地质勘探：施工前开展现场热物性测试，确定土壤导热能力与合理布孔方案；钻孔与回填：采用专业钻机施工，使用专用回填材料确保换热效率；系统冲洗与试压：安装完成后进行管路冲洗与压力试验，确保无渗漏与堵塞。</w:t>
      </w:r>
    </w:p>
    <w:p w14:paraId="6311DC94">
      <w:pPr>
        <w:keepNext w:val="0"/>
        <w:keepLines w:val="0"/>
        <w:widowControl/>
        <w:numPr>
          <w:ilvl w:val="0"/>
          <w:numId w:val="0"/>
        </w:numPr>
        <w:suppressLineNumbers w:val="0"/>
        <w:spacing w:before="60" w:beforeAutospacing="0" w:after="0" w:afterAutospacing="1"/>
        <w:ind w:left="-360" w:leftChars="0" w:firstLine="420" w:firstLineChars="0"/>
        <w:rPr>
          <w:rFonts w:hint="eastAsia"/>
          <w:sz w:val="24"/>
          <w:szCs w:val="24"/>
        </w:rPr>
      </w:pPr>
      <w:r>
        <w:rPr>
          <w:rFonts w:hint="eastAsia"/>
          <w:sz w:val="24"/>
          <w:szCs w:val="24"/>
        </w:rPr>
        <w:t>运行维护</w:t>
      </w:r>
    </w:p>
    <w:p w14:paraId="2C429129">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定期监测：每季度检测地下温度恢复情况，评估系统长期运行稳定性；主机保养：每年对热泵机组进行清洗、检漏与性能检测；智慧平台支持：通过云平台实现远程监控、数据分析与故障诊断。</w:t>
      </w:r>
    </w:p>
    <w:p w14:paraId="5B5F7142">
      <w:pPr>
        <w:keepNext w:val="0"/>
        <w:keepLines w:val="0"/>
        <w:widowControl/>
        <w:numPr>
          <w:ilvl w:val="0"/>
          <w:numId w:val="0"/>
        </w:numPr>
        <w:suppressLineNumbers w:val="0"/>
        <w:spacing w:before="60" w:beforeAutospacing="0" w:after="0" w:afterAutospacing="1"/>
        <w:ind w:left="-360" w:leftChars="0"/>
        <w:rPr>
          <w:rFonts w:hint="eastAsia"/>
          <w:sz w:val="24"/>
          <w:szCs w:val="24"/>
        </w:rPr>
      </w:pPr>
    </w:p>
    <w:p w14:paraId="372980FC">
      <w:pPr>
        <w:keepNext w:val="0"/>
        <w:keepLines w:val="0"/>
        <w:widowControl/>
        <w:numPr>
          <w:ilvl w:val="0"/>
          <w:numId w:val="0"/>
        </w:numPr>
        <w:suppressLineNumbers w:val="0"/>
        <w:spacing w:before="60" w:beforeAutospacing="0" w:after="0" w:afterAutospacing="1"/>
        <w:ind w:left="-360" w:leftChars="0"/>
        <w:rPr>
          <w:rFonts w:hint="eastAsia"/>
          <w:b/>
          <w:bCs/>
          <w:sz w:val="28"/>
          <w:szCs w:val="28"/>
        </w:rPr>
      </w:pPr>
      <w:r>
        <w:rPr>
          <w:rFonts w:hint="eastAsia"/>
          <w:b/>
          <w:bCs/>
          <w:sz w:val="28"/>
          <w:szCs w:val="28"/>
        </w:rPr>
        <w:t>五、预期效益</w:t>
      </w:r>
    </w:p>
    <w:p w14:paraId="37AAB582">
      <w:pPr>
        <w:keepNext w:val="0"/>
        <w:keepLines w:val="0"/>
        <w:widowControl/>
        <w:numPr>
          <w:ilvl w:val="0"/>
          <w:numId w:val="0"/>
        </w:numPr>
        <w:suppressLineNumbers w:val="0"/>
        <w:spacing w:before="60" w:beforeAutospacing="0" w:after="0" w:afterAutospacing="1"/>
        <w:ind w:left="-360" w:leftChars="0"/>
        <w:rPr>
          <w:rFonts w:hint="eastAsia"/>
          <w:sz w:val="24"/>
          <w:szCs w:val="24"/>
        </w:rPr>
      </w:pPr>
      <w:r>
        <w:rPr>
          <w:rFonts w:hint="eastAsia"/>
          <w:sz w:val="24"/>
          <w:szCs w:val="24"/>
        </w:rPr>
        <w:t>节能效益：预计全年空调系统节能率超过40%，降低运行费用；环保效益：无燃烧过程，无碳排放，降低建筑整体碳足迹；社会效益：作为历史街区绿色更新示范，推动地源热泵技术在类似项目中的应用。</w:t>
      </w:r>
    </w:p>
    <w:p w14:paraId="6C62A76A">
      <w:pPr>
        <w:keepNext w:val="0"/>
        <w:keepLines w:val="0"/>
        <w:widowControl/>
        <w:numPr>
          <w:ilvl w:val="0"/>
          <w:numId w:val="0"/>
        </w:numPr>
        <w:suppressLineNumbers w:val="0"/>
        <w:spacing w:before="60" w:beforeAutospacing="0" w:after="0" w:afterAutospacing="1"/>
        <w:ind w:left="-360" w:leftChars="0"/>
        <w:rPr>
          <w:rFonts w:hint="eastAsia"/>
        </w:rPr>
      </w:pPr>
    </w:p>
    <w:p w14:paraId="022BDBF6">
      <w:pPr>
        <w:pStyle w:val="2"/>
        <w:numPr>
          <w:ilvl w:val="0"/>
          <w:numId w:val="1"/>
        </w:numPr>
        <w:spacing w:before="0" w:after="0" w:line="360" w:lineRule="auto"/>
        <w:ind w:left="-28" w:leftChars="0" w:firstLine="2548" w:firstLineChars="0"/>
        <w:rPr>
          <w:rFonts w:hint="default" w:ascii="宋体" w:hAnsi="宋体"/>
          <w:b/>
          <w:sz w:val="30"/>
          <w:szCs w:val="30"/>
          <w:lang w:val="en-US" w:eastAsia="zh-CN"/>
        </w:rPr>
      </w:pPr>
      <w:r>
        <w:rPr>
          <w:rFonts w:hint="eastAsia" w:ascii="宋体" w:hAnsi="宋体"/>
          <w:b/>
          <w:sz w:val="30"/>
          <w:szCs w:val="30"/>
          <w:lang w:val="en-US" w:eastAsia="zh-CN"/>
        </w:rPr>
        <w:t>可动光伏百叶</w:t>
      </w:r>
      <w:r>
        <w:rPr>
          <w:rFonts w:hint="default" w:ascii="宋体" w:hAnsi="宋体"/>
          <w:b/>
          <w:sz w:val="30"/>
          <w:szCs w:val="30"/>
          <w:lang w:val="en-US" w:eastAsia="zh-CN"/>
        </w:rPr>
        <w:t>系统方案</w:t>
      </w:r>
    </w:p>
    <w:p w14:paraId="43A275B4">
      <w:pPr>
        <w:keepNext w:val="0"/>
        <w:keepLines w:val="0"/>
        <w:widowControl/>
        <w:numPr>
          <w:ilvl w:val="0"/>
          <w:numId w:val="0"/>
        </w:numPr>
        <w:suppressLineNumbers w:val="0"/>
        <w:spacing w:before="60" w:beforeAutospacing="0" w:after="0" w:afterAutospacing="1"/>
        <w:ind w:left="-360" w:leftChars="0"/>
        <w:rPr>
          <w:rFonts w:hint="eastAsia"/>
          <w:b/>
          <w:bCs/>
          <w:sz w:val="28"/>
          <w:szCs w:val="28"/>
          <w:lang w:val="en-US" w:eastAsia="zh-CN"/>
        </w:rPr>
      </w:pPr>
      <w:r>
        <w:rPr>
          <w:rFonts w:hint="default"/>
          <w:b/>
          <w:bCs/>
          <w:sz w:val="28"/>
          <w:szCs w:val="28"/>
          <w:lang w:val="en-US" w:eastAsia="zh-CN"/>
        </w:rPr>
        <w:t>一、系统概述</w:t>
      </w:r>
    </w:p>
    <w:p w14:paraId="5B99DA56">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可动光伏遮阳百叶系统是基于可再生能源利用与建筑遮阳一体化设计理念，将高效光伏发电、自适应遮阳调控与自然通风引导功能相结合的智能围护系统。系统采用单晶硅光伏电池板作为遮阳百叶主体，通过电动控制实现角度调节，可根据太阳高度角、室内照度及温度等参数进行动态优化，在实现建筑遮阳与自然采光平衡的同时，显著提升建筑立面产能效率与室内舒适度。</w:t>
      </w:r>
    </w:p>
    <w:p w14:paraId="39389534">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本系统尤其适用于本项目半地下剧场的地上部分围护结构，可有效降低东西向及南向立面的太阳辐射得热，改善地下空间自然采光条件，并通过通风层设计增强外墙热压通风效果，形成可呼吸的建筑表皮。</w:t>
      </w:r>
    </w:p>
    <w:p w14:paraId="5635D7E2">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p>
    <w:p w14:paraId="036DFEC2">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二、系统组成与工作原理</w:t>
      </w:r>
    </w:p>
    <w:p w14:paraId="23E42B2D">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系统结构组成</w:t>
      </w:r>
    </w:p>
    <w:p w14:paraId="21A52E7C">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光伏百叶片：采用高透光钢化玻璃封装的单晶硅光伏组件，兼顾发电效率与透光性；支撑框架：轻质铝合金型材外框，耐候耐腐蚀，集成导轨与转动机构；驱动与控制模块：电动推杆或微型电机驱动，配合光感、温感传感器与智能控制器；通风构造层：百叶与玻璃幕墙之间设置中空通风腔体，引导气流流动，增强散热与通风效果。</w:t>
      </w:r>
    </w:p>
    <w:p w14:paraId="3A77A603">
      <w:pPr>
        <w:keepNext w:val="0"/>
        <w:keepLines w:val="0"/>
        <w:widowControl/>
        <w:numPr>
          <w:ilvl w:val="0"/>
          <w:numId w:val="0"/>
        </w:numPr>
        <w:suppressLineNumbers w:val="0"/>
        <w:spacing w:before="0" w:beforeAutospacing="1" w:after="0" w:afterAutospacing="1"/>
        <w:ind w:left="-360" w:leftChars="0" w:firstLine="2518" w:firstLineChars="0"/>
        <w:rPr>
          <w:rFonts w:hint="eastAsia" w:ascii="宋体" w:hAnsi="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可动光伏百叶节点图：</w:t>
      </w:r>
    </w:p>
    <w:p w14:paraId="72745574">
      <w:pPr>
        <w:keepNext w:val="0"/>
        <w:keepLines w:val="0"/>
        <w:widowControl/>
        <w:numPr>
          <w:ilvl w:val="0"/>
          <w:numId w:val="0"/>
        </w:numPr>
        <w:suppressLineNumbers w:val="0"/>
        <w:spacing w:before="0" w:beforeAutospacing="1" w:after="0" w:afterAutospacing="1"/>
        <w:ind w:left="-360" w:leftChars="0" w:firstLine="2518" w:firstLineChars="0"/>
        <w:rPr>
          <w:rFonts w:hint="default" w:ascii="宋体" w:hAnsi="宋体" w:cs="Times New Roman"/>
          <w:b w:val="0"/>
          <w:bCs w:val="0"/>
          <w:kern w:val="2"/>
          <w:sz w:val="24"/>
          <w:szCs w:val="24"/>
          <w:lang w:val="en-US" w:eastAsia="zh-CN" w:bidi="ar-SA"/>
        </w:rPr>
      </w:pPr>
      <w:r>
        <w:rPr>
          <w:rFonts w:hint="default" w:ascii="宋体" w:hAnsi="宋体" w:cs="Times New Roman"/>
          <w:b w:val="0"/>
          <w:bCs w:val="0"/>
          <w:kern w:val="2"/>
          <w:sz w:val="24"/>
          <w:szCs w:val="24"/>
          <w:lang w:val="en-US" w:eastAsia="zh-CN" w:bidi="ar-SA"/>
        </w:rPr>
        <w:drawing>
          <wp:inline distT="0" distB="0" distL="114300" distR="114300">
            <wp:extent cx="2838450" cy="1927225"/>
            <wp:effectExtent l="0" t="0" r="0" b="0"/>
            <wp:docPr id="4" name="图片 4" descr="4506cf59ecd62b72766c6a30a9fd8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06cf59ecd62b72766c6a30a9fd899d"/>
                    <pic:cNvPicPr>
                      <a:picLocks noChangeAspect="1"/>
                    </pic:cNvPicPr>
                  </pic:nvPicPr>
                  <pic:blipFill>
                    <a:blip r:embed="rId7"/>
                    <a:srcRect t="24690"/>
                    <a:stretch>
                      <a:fillRect/>
                    </a:stretch>
                  </pic:blipFill>
                  <pic:spPr>
                    <a:xfrm>
                      <a:off x="0" y="0"/>
                      <a:ext cx="2838450" cy="1927225"/>
                    </a:xfrm>
                    <a:prstGeom prst="rect">
                      <a:avLst/>
                    </a:prstGeom>
                  </pic:spPr>
                </pic:pic>
              </a:graphicData>
            </a:graphic>
          </wp:inline>
        </w:drawing>
      </w:r>
    </w:p>
    <w:p w14:paraId="11FF5BB9">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工作模式</w:t>
      </w:r>
    </w:p>
    <w:p w14:paraId="7F26631D">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夏季模式：百叶角度调节至遮挡直射阳光，减少空调负荷，同时光伏发电供建筑使用；冬季模式：调整百叶角度，允许阳光进入室内，提升自然采暖效果；过渡季节：根据室内外温差开启通风模式，利用烟囱效应增强自然通风。</w:t>
      </w:r>
    </w:p>
    <w:p w14:paraId="7BB641FD">
      <w:pPr>
        <w:keepNext w:val="0"/>
        <w:keepLines w:val="0"/>
        <w:widowControl/>
        <w:numPr>
          <w:ilvl w:val="0"/>
          <w:numId w:val="0"/>
        </w:numPr>
        <w:suppressLineNumbers w:val="0"/>
        <w:spacing w:before="60" w:beforeAutospacing="0" w:after="0" w:afterAutospacing="1"/>
        <w:ind w:left="-360" w:leftChars="0"/>
        <w:rPr>
          <w:rFonts w:hint="eastAsia"/>
          <w:b/>
          <w:bCs/>
          <w:lang w:val="en-US" w:eastAsia="zh-CN"/>
        </w:rPr>
      </w:pPr>
    </w:p>
    <w:p w14:paraId="169EA2CA">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三、设计参数与布置方案</w:t>
      </w:r>
    </w:p>
    <w:p w14:paraId="5E6265AE">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百叶选型与性能</w:t>
      </w:r>
    </w:p>
    <w:p w14:paraId="19BC7D3B">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光伏类型：单晶硅光伏电池，转换效率 ≥ 20%；透光率范围：可根据需求设计20%-60%可调透光型号；尺寸规格：宽度 200–400mm，长度按立面模数定制；抗风压性能：满足北京地区基本风压要求，具备防风锁定功能。</w:t>
      </w:r>
    </w:p>
    <w:p w14:paraId="15A67B39">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立面布置策略</w:t>
      </w:r>
    </w:p>
    <w:p w14:paraId="5897C592">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南向立面：以水平遮阳为主，兼顾冬季采光与夏季遮阳；东西向立面：可采用垂直或综合式布置，有效阻挡低角度阳光；中庭与采光井：设置可调百叶，控制地下空间自然采光强度，避免眩光。</w:t>
      </w:r>
    </w:p>
    <w:p w14:paraId="6C38AE7C">
      <w:pPr>
        <w:keepNext w:val="0"/>
        <w:keepLines w:val="0"/>
        <w:widowControl/>
        <w:numPr>
          <w:ilvl w:val="0"/>
          <w:numId w:val="0"/>
        </w:numPr>
        <w:suppressLineNumbers w:val="0"/>
        <w:spacing w:before="60" w:beforeAutospacing="0" w:after="0" w:afterAutospacing="1"/>
        <w:ind w:left="-360" w:leftChars="0"/>
        <w:rPr>
          <w:rFonts w:hint="eastAsia"/>
          <w:b/>
          <w:bCs/>
          <w:lang w:val="en-US" w:eastAsia="zh-CN"/>
        </w:rPr>
      </w:pPr>
    </w:p>
    <w:p w14:paraId="7BCB00B3">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四、控制系统与运行策略</w:t>
      </w:r>
    </w:p>
    <w:p w14:paraId="2322AB76">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智能控制逻辑</w:t>
      </w:r>
    </w:p>
    <w:p w14:paraId="34AB6593">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基于太阳轨迹的时序控制：根据时间与季节自动调整百叶角度；传感器反馈调节：根据室内照度、温度及室外气象数据实时微调；人工干预模式：支持手动控制与场景模式切换（如会议模式、演出模式）。</w:t>
      </w:r>
    </w:p>
    <w:p w14:paraId="7125241A">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 xml:space="preserve"> 系统集成</w:t>
      </w:r>
    </w:p>
    <w:p w14:paraId="1928F8D0">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接入建筑能源管理系统（BEMS），实现与光伏发电、储能及用电负荷的协同优化；支持远程监控与数据分析，为运维与节能评估提供依据。</w:t>
      </w:r>
    </w:p>
    <w:p w14:paraId="55659988">
      <w:pPr>
        <w:keepNext w:val="0"/>
        <w:keepLines w:val="0"/>
        <w:widowControl/>
        <w:numPr>
          <w:ilvl w:val="0"/>
          <w:numId w:val="0"/>
        </w:numPr>
        <w:suppressLineNumbers w:val="0"/>
        <w:spacing w:before="60" w:beforeAutospacing="0" w:after="0" w:afterAutospacing="1"/>
        <w:ind w:left="-360" w:leftChars="0"/>
        <w:rPr>
          <w:rFonts w:hint="default"/>
          <w:b/>
          <w:bCs/>
          <w:lang w:val="en-US" w:eastAsia="zh-CN"/>
        </w:rPr>
      </w:pPr>
    </w:p>
    <w:p w14:paraId="45D2CBB1">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五、安装与运维要求</w:t>
      </w:r>
    </w:p>
    <w:p w14:paraId="7BDE3040">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ab/>
      </w:r>
      <w:r>
        <w:rPr>
          <w:rFonts w:hint="default" w:ascii="宋体" w:hAnsi="宋体" w:eastAsia="宋体" w:cs="Times New Roman"/>
          <w:b w:val="0"/>
          <w:bCs w:val="0"/>
          <w:kern w:val="2"/>
          <w:sz w:val="24"/>
          <w:szCs w:val="24"/>
          <w:lang w:val="en-US" w:eastAsia="zh-CN" w:bidi="ar-SA"/>
        </w:rPr>
        <w:t>安装要点</w:t>
      </w:r>
    </w:p>
    <w:p w14:paraId="3E1C7E8F">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结构预</w:t>
      </w:r>
      <w:r>
        <w:rPr>
          <w:rFonts w:hint="default" w:ascii="宋体" w:hAnsi="宋体" w:eastAsia="宋体" w:cs="Times New Roman"/>
          <w:b w:val="0"/>
          <w:bCs w:val="0"/>
          <w:kern w:val="2"/>
          <w:sz w:val="21"/>
          <w:szCs w:val="21"/>
          <w:lang w:val="en-US" w:eastAsia="zh-CN" w:bidi="ar-SA"/>
        </w:rPr>
        <w:t>留：主体结构需预留百叶安装支座与电缆通道；电气安全：光伏电路具备防反灌、防雷与绝缘保护；气密</w:t>
      </w:r>
      <w:r>
        <w:rPr>
          <w:rFonts w:hint="default" w:ascii="宋体" w:hAnsi="宋体" w:eastAsia="宋体" w:cs="Times New Roman"/>
          <w:b w:val="0"/>
          <w:bCs w:val="0"/>
          <w:kern w:val="2"/>
          <w:sz w:val="24"/>
          <w:szCs w:val="24"/>
          <w:lang w:val="en-US" w:eastAsia="zh-CN" w:bidi="ar-SA"/>
        </w:rPr>
        <w:t>与排水：百叶系统与幕墙接口应做好防水与气密处理。</w:t>
      </w:r>
      <w:r>
        <w:rPr>
          <w:rFonts w:hint="eastAsia" w:ascii="宋体" w:hAnsi="宋体" w:cs="Times New Roman"/>
          <w:b w:val="0"/>
          <w:bCs w:val="0"/>
          <w:kern w:val="2"/>
          <w:sz w:val="24"/>
          <w:szCs w:val="24"/>
          <w:lang w:val="en-US" w:eastAsia="zh-CN" w:bidi="ar-SA"/>
        </w:rPr>
        <w:tab/>
      </w:r>
    </w:p>
    <w:p w14:paraId="618EB9DB">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 xml:space="preserve"> 运行维护</w:t>
      </w:r>
    </w:p>
    <w:p w14:paraId="746853FB">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定期清洁百叶表面，维持发电效率；检查驱动机构与传感器运行状态，预防卡滞与失效；系统软件定期升级，优化控制算法。</w:t>
      </w:r>
    </w:p>
    <w:p w14:paraId="1B7D4150">
      <w:pPr>
        <w:keepNext w:val="0"/>
        <w:keepLines w:val="0"/>
        <w:widowControl/>
        <w:numPr>
          <w:ilvl w:val="0"/>
          <w:numId w:val="0"/>
        </w:numPr>
        <w:suppressLineNumbers w:val="0"/>
        <w:spacing w:before="60" w:beforeAutospacing="0" w:after="0" w:afterAutospacing="1"/>
        <w:ind w:left="-360" w:leftChars="0"/>
        <w:rPr>
          <w:rFonts w:hint="eastAsia"/>
          <w:b/>
          <w:bCs/>
          <w:lang w:val="en-US" w:eastAsia="zh-CN"/>
        </w:rPr>
      </w:pPr>
    </w:p>
    <w:p w14:paraId="39874BC2">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六、预期效益</w:t>
      </w:r>
    </w:p>
    <w:p w14:paraId="7A7C6200">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p>
    <w:p w14:paraId="5505248D">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能源效益：立面光伏年发电量可达15–25 kWh/m²，补充建筑清洁电力；节能效益：夏季可降低立面辐射得热30%以上，减少空调能耗；环境舒适性：改善室内光热环境，提升自然采光质量与视觉舒适度；建筑表现：形成动态、科技、绿色的建筑立面表情，增强项目标识性。</w:t>
      </w:r>
    </w:p>
    <w:p w14:paraId="3041E47B">
      <w:pPr>
        <w:pStyle w:val="2"/>
        <w:numPr>
          <w:ilvl w:val="0"/>
          <w:numId w:val="1"/>
        </w:numPr>
        <w:spacing w:before="0" w:after="0" w:line="360" w:lineRule="auto"/>
        <w:ind w:left="-28" w:leftChars="0" w:firstLine="2548" w:firstLineChars="0"/>
        <w:rPr>
          <w:rFonts w:hint="default" w:ascii="宋体" w:hAnsi="宋体"/>
          <w:b/>
          <w:sz w:val="30"/>
          <w:szCs w:val="30"/>
          <w:lang w:val="en-US" w:eastAsia="zh-CN"/>
        </w:rPr>
      </w:pPr>
      <w:r>
        <w:rPr>
          <w:rFonts w:hint="eastAsia" w:ascii="宋体" w:hAnsi="宋体"/>
          <w:b/>
          <w:sz w:val="30"/>
          <w:szCs w:val="30"/>
          <w:lang w:val="en-US" w:eastAsia="zh-CN"/>
        </w:rPr>
        <w:t>雨水回收收集系统</w:t>
      </w:r>
    </w:p>
    <w:p w14:paraId="449AFC15">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一、系统概述</w:t>
      </w:r>
    </w:p>
    <w:p w14:paraId="5C883241">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本项目雨水回收系统通过收集屋面、平台及绿地雨水，经处理后回用于绿化、冲厕等，目标非传统水源利用率不低于40%，实现水资源循环利用。</w:t>
      </w:r>
    </w:p>
    <w:p w14:paraId="5BC371B2">
      <w:pPr>
        <w:keepNext w:val="0"/>
        <w:keepLines w:val="0"/>
        <w:widowControl/>
        <w:numPr>
          <w:ilvl w:val="0"/>
          <w:numId w:val="0"/>
        </w:numPr>
        <w:suppressLineNumbers w:val="0"/>
        <w:spacing w:before="0" w:beforeAutospacing="1" w:after="0" w:afterAutospacing="1"/>
        <w:ind w:left="840" w:leftChars="0" w:firstLine="720" w:firstLineChars="300"/>
        <w:rPr>
          <w:rFonts w:hint="default"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雨水回收收集系统：</w:t>
      </w:r>
    </w:p>
    <w:p w14:paraId="65671542">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8"/>
          <w:szCs w:val="28"/>
          <w:lang w:val="en-US" w:eastAsia="zh-CN" w:bidi="ar-SA"/>
        </w:rPr>
      </w:pPr>
      <w:r>
        <w:rPr>
          <w:rFonts w:hint="eastAsia" w:asciiTheme="minorEastAsia" w:hAnsiTheme="minorEastAsia" w:eastAsiaTheme="minorEastAsia" w:cstheme="minorEastAsia"/>
          <w:sz w:val="28"/>
          <w:szCs w:val="28"/>
          <w:lang w:eastAsia="zh-CN"/>
        </w:rPr>
        <w:drawing>
          <wp:anchor distT="0" distB="0" distL="114300" distR="114300" simplePos="0" relativeHeight="251663360" behindDoc="0" locked="0" layoutInCell="1" allowOverlap="1">
            <wp:simplePos x="0" y="0"/>
            <wp:positionH relativeFrom="column">
              <wp:posOffset>690245</wp:posOffset>
            </wp:positionH>
            <wp:positionV relativeFrom="paragraph">
              <wp:posOffset>73660</wp:posOffset>
            </wp:positionV>
            <wp:extent cx="4048760" cy="2442210"/>
            <wp:effectExtent l="0" t="0" r="2540" b="8890"/>
            <wp:wrapTopAndBottom/>
            <wp:docPr id="7" name="图片 7"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L"/>
                    <pic:cNvPicPr>
                      <a:picLocks noChangeAspect="1"/>
                    </pic:cNvPicPr>
                  </pic:nvPicPr>
                  <pic:blipFill>
                    <a:blip r:embed="rId8"/>
                    <a:srcRect l="23042" t="7511" b="26835"/>
                    <a:stretch>
                      <a:fillRect/>
                    </a:stretch>
                  </pic:blipFill>
                  <pic:spPr>
                    <a:xfrm>
                      <a:off x="0" y="0"/>
                      <a:ext cx="4048760" cy="2442210"/>
                    </a:xfrm>
                    <a:prstGeom prst="rect">
                      <a:avLst/>
                    </a:prstGeom>
                  </pic:spPr>
                </pic:pic>
              </a:graphicData>
            </a:graphic>
          </wp:anchor>
        </w:drawing>
      </w:r>
    </w:p>
    <w:p w14:paraId="2255025B">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二、雨水收集子系统</w:t>
      </w:r>
    </w:p>
    <w:p w14:paraId="51AFF50B">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有效集水面积约2800平方米，设置自动弃流装置和旋流过滤器，确保初期污染雨水有效分离与预处理。</w:t>
      </w:r>
    </w:p>
    <w:p w14:paraId="61F1BECB">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三、雨水处理子系统</w:t>
      </w:r>
    </w:p>
    <w:p w14:paraId="623B2427">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采用沉淀-过滤-消毒三级处理工艺，日处理能力30立方米，出水水质达到城市杂用水标准，满足多种回用需求。</w:t>
      </w:r>
    </w:p>
    <w:p w14:paraId="39F3FA4C">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四、储存与回用子系统</w:t>
      </w:r>
    </w:p>
    <w:p w14:paraId="7DD22CE5">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设200立方米地下蓄水池，处理后的中水用于绿化灌溉、景观补水及建筑冲厕，实现分质供水与节水目标。</w:t>
      </w:r>
    </w:p>
    <w:p w14:paraId="0B72DB37">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五、智能控制子系统</w:t>
      </w:r>
    </w:p>
    <w:p w14:paraId="1FDF9E3D">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配备水位、水质在线监测与手机远程监控平台，可实时查看运行状态、接收预警信息，并支持用水智能调度与运维管理。</w:t>
      </w:r>
    </w:p>
    <w:p w14:paraId="6DDDEA0B">
      <w:pPr>
        <w:keepNext w:val="0"/>
        <w:keepLines w:val="0"/>
        <w:widowControl/>
        <w:numPr>
          <w:ilvl w:val="0"/>
          <w:numId w:val="0"/>
        </w:numPr>
        <w:suppressLineNumbers w:val="0"/>
        <w:spacing w:before="60" w:beforeAutospacing="0" w:after="0" w:afterAutospacing="1"/>
        <w:ind w:left="-360" w:leftChars="0"/>
        <w:rPr>
          <w:rFonts w:hint="default"/>
          <w:b/>
          <w:bCs/>
          <w:sz w:val="28"/>
          <w:szCs w:val="28"/>
          <w:lang w:val="en-US" w:eastAsia="zh-CN"/>
        </w:rPr>
      </w:pPr>
      <w:r>
        <w:rPr>
          <w:rFonts w:hint="default"/>
          <w:b/>
          <w:bCs/>
          <w:sz w:val="28"/>
          <w:szCs w:val="28"/>
          <w:lang w:val="en-US" w:eastAsia="zh-CN"/>
        </w:rPr>
        <w:t>六、实施与效益</w:t>
      </w:r>
    </w:p>
    <w:p w14:paraId="21543C99">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系统年节水量约1000立方米，兼具节水、减排与生态示范效益，为历史街区绿色更新提供可复制的资源循环方案。</w:t>
      </w:r>
    </w:p>
    <w:p w14:paraId="163C1472">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p>
    <w:p w14:paraId="0FE74294">
      <w:pPr>
        <w:pStyle w:val="2"/>
        <w:numPr>
          <w:ilvl w:val="0"/>
          <w:numId w:val="1"/>
        </w:numPr>
        <w:spacing w:before="0" w:after="0" w:line="360" w:lineRule="auto"/>
        <w:ind w:left="-28" w:leftChars="0" w:firstLine="2548" w:firstLineChars="0"/>
        <w:rPr>
          <w:rFonts w:hint="default" w:ascii="宋体" w:hAnsi="宋体"/>
          <w:b/>
          <w:sz w:val="30"/>
          <w:szCs w:val="30"/>
          <w:lang w:val="en-US" w:eastAsia="zh-CN"/>
        </w:rPr>
      </w:pPr>
      <w:r>
        <w:rPr>
          <w:rFonts w:hint="eastAsia" w:ascii="宋体" w:hAnsi="宋体"/>
          <w:b/>
          <w:sz w:val="30"/>
          <w:szCs w:val="30"/>
          <w:lang w:val="en-US" w:eastAsia="zh-CN"/>
        </w:rPr>
        <w:t>网络能源集成系统</w:t>
      </w:r>
    </w:p>
    <w:p w14:paraId="66E8EB36">
      <w:pPr>
        <w:keepNext w:val="0"/>
        <w:keepLines w:val="0"/>
        <w:widowControl/>
        <w:numPr>
          <w:ilvl w:val="0"/>
          <w:numId w:val="0"/>
        </w:numPr>
        <w:suppressLineNumbers w:val="0"/>
        <w:spacing w:before="0" w:beforeAutospacing="1" w:after="0" w:afterAutospacing="1"/>
        <w:rPr>
          <w:rFonts w:hint="default" w:ascii="宋体" w:hAnsi="宋体" w:eastAsia="宋体" w:cs="Times New Roman"/>
          <w:b w:val="0"/>
          <w:bCs w:val="0"/>
          <w:kern w:val="2"/>
          <w:sz w:val="24"/>
          <w:szCs w:val="24"/>
          <w:lang w:val="en-US" w:eastAsia="zh-CN" w:bidi="ar-SA"/>
        </w:rPr>
      </w:pPr>
      <w:r>
        <w:rPr>
          <w:rFonts w:hint="default"/>
          <w:b/>
          <w:bCs/>
          <w:sz w:val="28"/>
          <w:szCs w:val="28"/>
          <w:lang w:val="en-US" w:eastAsia="zh-CN"/>
        </w:rPr>
        <w:t>一、总体架构</w:t>
      </w:r>
      <w:r>
        <w:rPr>
          <w:rFonts w:hint="default" w:ascii="宋体" w:hAnsi="宋体" w:eastAsia="宋体" w:cs="Times New Roman"/>
          <w:b w:val="0"/>
          <w:bCs w:val="0"/>
          <w:kern w:val="2"/>
          <w:sz w:val="24"/>
          <w:szCs w:val="24"/>
          <w:lang w:val="en-US" w:eastAsia="zh-CN" w:bidi="ar-SA"/>
        </w:rPr>
        <w:br w:type="textWrapping"/>
      </w:r>
      <w:r>
        <w:rPr>
          <w:rFonts w:hint="eastAsia" w:ascii="宋体" w:hAnsi="宋体" w:cs="Times New Roman"/>
          <w:b w:val="0"/>
          <w:bCs w:val="0"/>
          <w:kern w:val="2"/>
          <w:sz w:val="24"/>
          <w:szCs w:val="24"/>
          <w:lang w:val="en-US" w:eastAsia="zh-CN" w:bidi="ar-SA"/>
        </w:rPr>
        <w:tab/>
      </w:r>
      <w:r>
        <w:rPr>
          <w:rFonts w:hint="default" w:ascii="宋体" w:hAnsi="宋体" w:eastAsia="宋体" w:cs="Times New Roman"/>
          <w:b w:val="0"/>
          <w:bCs w:val="0"/>
          <w:kern w:val="2"/>
          <w:sz w:val="24"/>
          <w:szCs w:val="24"/>
          <w:lang w:val="en-US" w:eastAsia="zh-CN" w:bidi="ar-SA"/>
        </w:rPr>
        <w:t>基于BIM+5G构建“云-边-端”三级智慧能源管理系统，实现建筑能源的可视化、智能化与协同化管控。</w:t>
      </w:r>
    </w:p>
    <w:p w14:paraId="30D33EB9">
      <w:pPr>
        <w:keepNext w:val="0"/>
        <w:keepLines w:val="0"/>
        <w:widowControl/>
        <w:numPr>
          <w:ilvl w:val="0"/>
          <w:numId w:val="0"/>
        </w:numPr>
        <w:suppressLineNumbers w:val="0"/>
        <w:spacing w:before="0" w:beforeAutospacing="1" w:after="0" w:afterAutospacing="1"/>
        <w:ind w:left="-360" w:leftChars="0" w:firstLine="420" w:firstLineChars="0"/>
        <w:rPr>
          <w:rFonts w:hint="default"/>
          <w:b/>
          <w:bCs/>
          <w:sz w:val="28"/>
          <w:szCs w:val="28"/>
          <w:lang w:val="en-US" w:eastAsia="zh-CN"/>
        </w:rPr>
      </w:pPr>
      <w:r>
        <w:rPr>
          <w:rFonts w:hint="default"/>
          <w:b/>
          <w:bCs/>
          <w:sz w:val="28"/>
          <w:szCs w:val="28"/>
          <w:lang w:val="en-US" w:eastAsia="zh-CN"/>
        </w:rPr>
        <w:t>二、系统构成</w:t>
      </w:r>
    </w:p>
    <w:p w14:paraId="66E82EE6">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BIM数字孪生平台</w:t>
      </w:r>
      <w:r>
        <w:rPr>
          <w:rFonts w:hint="eastAsia" w:ascii="宋体" w:hAnsi="宋体" w:cs="Times New Roman"/>
          <w:b w:val="0"/>
          <w:bCs w:val="0"/>
          <w:kern w:val="2"/>
          <w:sz w:val="24"/>
          <w:szCs w:val="24"/>
          <w:lang w:val="en-US" w:eastAsia="zh-CN" w:bidi="ar-SA"/>
        </w:rPr>
        <w:t>，</w:t>
      </w:r>
      <w:r>
        <w:rPr>
          <w:rFonts w:hint="default" w:ascii="宋体" w:hAnsi="宋体" w:eastAsia="宋体" w:cs="Times New Roman"/>
          <w:b w:val="0"/>
          <w:bCs w:val="0"/>
          <w:kern w:val="2"/>
          <w:sz w:val="24"/>
          <w:szCs w:val="24"/>
          <w:lang w:val="en-US" w:eastAsia="zh-CN" w:bidi="ar-SA"/>
        </w:rPr>
        <w:t>集成建筑、设备、管线三维模型</w:t>
      </w:r>
      <w:r>
        <w:rPr>
          <w:rFonts w:hint="eastAsia" w:ascii="宋体" w:hAnsi="宋体" w:cs="Times New Roman"/>
          <w:b w:val="0"/>
          <w:bCs w:val="0"/>
          <w:kern w:val="2"/>
          <w:sz w:val="24"/>
          <w:szCs w:val="24"/>
          <w:lang w:val="en-US" w:eastAsia="zh-CN" w:bidi="ar-SA"/>
        </w:rPr>
        <w:t>，</w:t>
      </w:r>
      <w:r>
        <w:rPr>
          <w:rFonts w:hint="default" w:ascii="宋体" w:hAnsi="宋体" w:eastAsia="宋体" w:cs="Times New Roman"/>
          <w:b w:val="0"/>
          <w:bCs w:val="0"/>
          <w:kern w:val="2"/>
          <w:sz w:val="24"/>
          <w:szCs w:val="24"/>
          <w:lang w:val="en-US" w:eastAsia="zh-CN" w:bidi="ar-SA"/>
        </w:rPr>
        <w:t>实时展示能耗数据、设备状态与环境参数</w:t>
      </w:r>
    </w:p>
    <w:p w14:paraId="3C35C699">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5G通信网络</w:t>
      </w:r>
      <w:r>
        <w:rPr>
          <w:rFonts w:hint="eastAsia" w:ascii="宋体" w:hAnsi="宋体" w:cs="Times New Roman"/>
          <w:b w:val="0"/>
          <w:bCs w:val="0"/>
          <w:kern w:val="2"/>
          <w:sz w:val="24"/>
          <w:szCs w:val="24"/>
          <w:lang w:val="en-US" w:eastAsia="zh-CN" w:bidi="ar-SA"/>
        </w:rPr>
        <w:t>，</w:t>
      </w:r>
      <w:r>
        <w:rPr>
          <w:rFonts w:hint="default" w:ascii="宋体" w:hAnsi="宋体" w:eastAsia="宋体" w:cs="Times New Roman"/>
          <w:b w:val="0"/>
          <w:bCs w:val="0"/>
          <w:kern w:val="2"/>
          <w:sz w:val="24"/>
          <w:szCs w:val="24"/>
          <w:lang w:val="en-US" w:eastAsia="zh-CN" w:bidi="ar-SA"/>
        </w:rPr>
        <w:t>部署园区5G专网，保障数据低时延、高可靠传输支持千级物联网终端接入</w:t>
      </w:r>
    </w:p>
    <w:p w14:paraId="34C6F213">
      <w:pPr>
        <w:keepNext w:val="0"/>
        <w:keepLines w:val="0"/>
        <w:widowControl/>
        <w:numPr>
          <w:ilvl w:val="0"/>
          <w:numId w:val="0"/>
        </w:numPr>
        <w:suppressLineNumbers w:val="0"/>
        <w:spacing w:before="0" w:beforeAutospacing="1" w:after="0" w:afterAutospacing="1"/>
        <w:ind w:left="-360" w:leftChars="0" w:firstLine="1259" w:firstLineChars="0"/>
        <w:rPr>
          <w:rFonts w:hint="eastAsia" w:ascii="宋体" w:hAnsi="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 xml:space="preserve">          Bim结合5G概念图：</w:t>
      </w:r>
    </w:p>
    <w:p w14:paraId="1D3F9EE2">
      <w:pPr>
        <w:keepNext w:val="0"/>
        <w:keepLines w:val="0"/>
        <w:widowControl/>
        <w:numPr>
          <w:ilvl w:val="0"/>
          <w:numId w:val="0"/>
        </w:numPr>
        <w:suppressLineNumbers w:val="0"/>
        <w:spacing w:before="0" w:beforeAutospacing="1" w:after="0" w:afterAutospacing="1"/>
        <w:ind w:left="-360" w:leftChars="0" w:firstLine="1259" w:firstLineChars="0"/>
        <w:rPr>
          <w:rFonts w:hint="default" w:ascii="宋体" w:hAnsi="宋体" w:cs="Times New Roman"/>
          <w:b w:val="0"/>
          <w:bCs w:val="0"/>
          <w:kern w:val="2"/>
          <w:sz w:val="24"/>
          <w:szCs w:val="24"/>
          <w:lang w:val="en-US" w:eastAsia="zh-CN" w:bidi="ar-SA"/>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871220</wp:posOffset>
            </wp:positionH>
            <wp:positionV relativeFrom="paragraph">
              <wp:posOffset>57150</wp:posOffset>
            </wp:positionV>
            <wp:extent cx="3605530" cy="2240280"/>
            <wp:effectExtent l="0" t="0" r="1270" b="7620"/>
            <wp:wrapTopAndBottom/>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9"/>
                    <a:stretch>
                      <a:fillRect/>
                    </a:stretch>
                  </pic:blipFill>
                  <pic:spPr>
                    <a:xfrm>
                      <a:off x="0" y="0"/>
                      <a:ext cx="3605530" cy="2240280"/>
                    </a:xfrm>
                    <a:prstGeom prst="rect">
                      <a:avLst/>
                    </a:prstGeom>
                    <a:noFill/>
                    <a:ln w="9525">
                      <a:noFill/>
                    </a:ln>
                  </pic:spPr>
                </pic:pic>
              </a:graphicData>
            </a:graphic>
          </wp:anchor>
        </w:drawing>
      </w:r>
    </w:p>
    <w:p w14:paraId="20864F9A">
      <w:pPr>
        <w:keepNext w:val="0"/>
        <w:keepLines w:val="0"/>
        <w:widowControl/>
        <w:numPr>
          <w:ilvl w:val="0"/>
          <w:numId w:val="2"/>
        </w:numPr>
        <w:suppressLineNumbers w:val="0"/>
        <w:spacing w:before="0" w:beforeAutospacing="1" w:after="0" w:afterAutospacing="1"/>
        <w:ind w:left="-360" w:leftChars="0" w:firstLine="420" w:firstLineChars="0"/>
        <w:rPr>
          <w:rFonts w:hint="default"/>
          <w:b/>
          <w:bCs/>
          <w:sz w:val="28"/>
          <w:szCs w:val="28"/>
          <w:lang w:val="en-US" w:eastAsia="zh-CN"/>
        </w:rPr>
      </w:pPr>
      <w:r>
        <w:rPr>
          <w:rFonts w:hint="default"/>
          <w:b/>
          <w:bCs/>
          <w:sz w:val="28"/>
          <w:szCs w:val="28"/>
          <w:lang w:val="en-US" w:eastAsia="zh-CN"/>
        </w:rPr>
        <w:t>主要功能</w:t>
      </w:r>
    </w:p>
    <w:p w14:paraId="6E110B43">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实时监控：光伏、地源热泵、照明等系统运行数据实时采集与可视化智能调控：基于负荷预测与天气数据，自动优化能源调度策略运维管理：设备故障预警、能效分析、维护工单自动派发</w:t>
      </w:r>
    </w:p>
    <w:p w14:paraId="08F080C0">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p>
    <w:p w14:paraId="13BD5753">
      <w:pPr>
        <w:keepNext w:val="0"/>
        <w:keepLines w:val="0"/>
        <w:widowControl/>
        <w:numPr>
          <w:ilvl w:val="0"/>
          <w:numId w:val="2"/>
        </w:numPr>
        <w:suppressLineNumbers w:val="0"/>
        <w:spacing w:before="0" w:beforeAutospacing="1" w:after="0" w:afterAutospacing="1"/>
        <w:ind w:left="-360" w:leftChars="0" w:firstLine="420" w:firstLineChars="0"/>
        <w:rPr>
          <w:rFonts w:hint="default"/>
          <w:b/>
          <w:bCs/>
          <w:sz w:val="28"/>
          <w:szCs w:val="28"/>
          <w:lang w:val="en-US" w:eastAsia="zh-CN"/>
        </w:rPr>
      </w:pPr>
      <w:r>
        <w:rPr>
          <w:rFonts w:hint="default"/>
          <w:b/>
          <w:bCs/>
          <w:sz w:val="28"/>
          <w:szCs w:val="28"/>
          <w:lang w:val="en-US" w:eastAsia="zh-CN"/>
        </w:rPr>
        <w:t>实施计划</w:t>
      </w:r>
    </w:p>
    <w:p w14:paraId="04B073A6">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第一阶段（1-3月）：完成网络部署与BIM模型构建第二阶段（4-6月）：系统平台开发与设备联调第三阶段（7-12月）：试运行、人员培训与持续优化</w:t>
      </w:r>
    </w:p>
    <w:p w14:paraId="25233E78">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p>
    <w:p w14:paraId="51E5A712">
      <w:pPr>
        <w:keepNext w:val="0"/>
        <w:keepLines w:val="0"/>
        <w:widowControl/>
        <w:numPr>
          <w:ilvl w:val="0"/>
          <w:numId w:val="2"/>
        </w:numPr>
        <w:suppressLineNumbers w:val="0"/>
        <w:spacing w:before="0" w:beforeAutospacing="1" w:after="0" w:afterAutospacing="1"/>
        <w:ind w:left="-360" w:leftChars="0" w:firstLine="420" w:firstLineChars="0"/>
        <w:rPr>
          <w:rFonts w:hint="default"/>
          <w:b/>
          <w:bCs/>
          <w:sz w:val="28"/>
          <w:szCs w:val="28"/>
          <w:lang w:val="en-US" w:eastAsia="zh-CN"/>
        </w:rPr>
      </w:pPr>
      <w:r>
        <w:rPr>
          <w:rFonts w:hint="default"/>
          <w:b/>
          <w:bCs/>
          <w:sz w:val="28"/>
          <w:szCs w:val="28"/>
          <w:lang w:val="en-US" w:eastAsia="zh-CN"/>
        </w:rPr>
        <w:t>预期效益</w:t>
      </w:r>
    </w:p>
    <w:p w14:paraId="7A6C7E3F">
      <w:pPr>
        <w:keepNext w:val="0"/>
        <w:keepLines w:val="0"/>
        <w:widowControl/>
        <w:numPr>
          <w:ilvl w:val="0"/>
          <w:numId w:val="0"/>
        </w:numPr>
        <w:suppressLineNumbers w:val="0"/>
        <w:spacing w:before="0" w:beforeAutospacing="1" w:after="0" w:afterAutospacing="1"/>
        <w:ind w:left="-360" w:leftChars="0" w:firstLine="420" w:firstLineChars="0"/>
        <w:jc w:val="center"/>
        <w:rPr>
          <w:rFonts w:hint="default" w:ascii="宋体" w:hAnsi="宋体" w:eastAsia="宋体" w:cs="Times New Roman"/>
          <w:b w:val="0"/>
          <w:bCs w:val="0"/>
          <w:kern w:val="2"/>
          <w:sz w:val="24"/>
          <w:szCs w:val="24"/>
          <w:lang w:val="en-US" w:eastAsia="zh-CN" w:bidi="ar-SA"/>
        </w:rPr>
      </w:pPr>
      <w:r>
        <w:rPr>
          <w:rFonts w:hint="default" w:ascii="宋体" w:hAnsi="宋体" w:eastAsia="宋体" w:cs="Times New Roman"/>
          <w:b w:val="0"/>
          <w:bCs w:val="0"/>
          <w:kern w:val="2"/>
          <w:sz w:val="24"/>
          <w:szCs w:val="24"/>
          <w:lang w:val="en-US" w:eastAsia="zh-CN" w:bidi="ar-SA"/>
        </w:rPr>
        <w:t>提升能源利用效率15%-20%，降低运维成本约25%实现设备故障提前预警，减少非计划停机形成可复制的历史街区智慧能源管理模式</w:t>
      </w:r>
    </w:p>
    <w:p w14:paraId="6649187C">
      <w:pPr>
        <w:keepNext w:val="0"/>
        <w:keepLines w:val="0"/>
        <w:widowControl/>
        <w:numPr>
          <w:ilvl w:val="0"/>
          <w:numId w:val="0"/>
        </w:numPr>
        <w:suppressLineNumbers w:val="0"/>
        <w:spacing w:before="0" w:beforeAutospacing="1" w:after="0" w:afterAutospacing="1"/>
        <w:ind w:left="-360" w:leftChars="0" w:firstLine="420" w:firstLineChars="0"/>
        <w:rPr>
          <w:rFonts w:hint="default" w:ascii="宋体" w:hAnsi="宋体" w:eastAsia="宋体" w:cs="Times New Roman"/>
          <w:b w:val="0"/>
          <w:bCs w:val="0"/>
          <w:kern w:val="2"/>
          <w:sz w:val="24"/>
          <w:szCs w:val="24"/>
          <w:lang w:val="en-US" w:eastAsia="zh-CN" w:bidi="ar-SA"/>
        </w:rPr>
      </w:pPr>
    </w:p>
    <w:p w14:paraId="10702B21">
      <w:pPr>
        <w:keepNext w:val="0"/>
        <w:keepLines w:val="0"/>
        <w:widowControl/>
        <w:numPr>
          <w:ilvl w:val="0"/>
          <w:numId w:val="0"/>
        </w:numPr>
        <w:suppressLineNumbers w:val="0"/>
        <w:spacing w:before="0" w:beforeAutospacing="1" w:after="0" w:afterAutospacing="1"/>
        <w:ind w:left="-360" w:leftChars="0" w:firstLine="420" w:firstLineChars="0"/>
        <w:rPr>
          <w:rFonts w:hint="eastAsia" w:ascii="宋体" w:hAnsi="宋体" w:eastAsia="宋体" w:cs="Times New Roman"/>
          <w:b w:val="0"/>
          <w:bCs w:val="0"/>
          <w:kern w:val="2"/>
          <w:sz w:val="24"/>
          <w:szCs w:val="24"/>
          <w:lang w:val="en-US" w:eastAsia="zh-CN" w:bidi="ar-SA"/>
        </w:rPr>
      </w:pPr>
    </w:p>
    <w:p w14:paraId="77E04879">
      <w:pPr>
        <w:rPr>
          <w:rFonts w:hint="eastAsia" w:ascii="宋体" w:hAnsi="宋体" w:eastAsia="宋体" w:cs="Times New Roman"/>
          <w:b/>
          <w:bCs/>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31F6F"/>
    <w:multiLevelType w:val="singleLevel"/>
    <w:tmpl w:val="99231F6F"/>
    <w:lvl w:ilvl="0" w:tentative="0">
      <w:start w:val="3"/>
      <w:numFmt w:val="chineseCounting"/>
      <w:suff w:val="nothing"/>
      <w:lvlText w:val="%1、"/>
      <w:lvlJc w:val="left"/>
      <w:rPr>
        <w:rFonts w:hint="eastAsia"/>
      </w:rPr>
    </w:lvl>
  </w:abstractNum>
  <w:abstractNum w:abstractNumId="1">
    <w:nsid w:val="4D0E3F50"/>
    <w:multiLevelType w:val="singleLevel"/>
    <w:tmpl w:val="4D0E3F50"/>
    <w:lvl w:ilvl="0" w:tentative="0">
      <w:start w:val="2"/>
      <w:numFmt w:val="chineseCounting"/>
      <w:suff w:val="space"/>
      <w:lvlText w:val="第%1部分"/>
      <w:lvlJc w:val="left"/>
      <w:pPr>
        <w:ind w:left="-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04A9E"/>
    <w:rsid w:val="4DDB33F1"/>
    <w:rsid w:val="5DED6EB8"/>
    <w:rsid w:val="7D804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39"/>
    <w:pPr>
      <w:tabs>
        <w:tab w:val="right" w:leader="dot" w:pos="8296"/>
      </w:tabs>
      <w:spacing w:line="400" w:lineRule="exact"/>
      <w:ind w:left="840" w:leftChars="4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pPr>
      <w:tabs>
        <w:tab w:val="right" w:leader="dot" w:pos="8296"/>
      </w:tabs>
      <w:spacing w:line="360" w:lineRule="auto"/>
      <w:ind w:firstLine="406" w:firstLineChars="169"/>
    </w:pPr>
  </w:style>
  <w:style w:type="paragraph" w:styleId="10">
    <w:name w:val="toc 2"/>
    <w:basedOn w:val="1"/>
    <w:next w:val="1"/>
    <w:qFormat/>
    <w:uiPriority w:val="39"/>
    <w:pPr>
      <w:ind w:left="420" w:leftChars="200"/>
    </w:pPr>
  </w:style>
  <w:style w:type="paragraph" w:styleId="11">
    <w:name w:val="Normal (Web)"/>
    <w:basedOn w:val="1"/>
    <w:uiPriority w:val="0"/>
    <w:rPr>
      <w:sz w:val="24"/>
    </w:r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3457</Words>
  <Characters>3565</Characters>
  <Lines>0</Lines>
  <Paragraphs>0</Paragraphs>
  <TotalTime>2</TotalTime>
  <ScaleCrop>false</ScaleCrop>
  <LinksUpToDate>false</LinksUpToDate>
  <CharactersWithSpaces>3590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2026-01-02T12:35:00Z</dcterms:created>
  <dc:creator>洛韵问枫      卿</dc:creator>
  <cp:lastModifiedBy>洛韵问枫      卿</cp:lastModifiedBy>
  <dcterms:modified xsi:type="dcterms:W3CDTF">2026-01-03T04:46:14Z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67C1CFF155774065ACA676BC94D790D0_11</vt:lpwstr>
  </property>
  <property fmtid="{D5CDD505-2E9C-101B-9397-08002B2CF9AE}" pid="4" name="KSOTemplateDocerSaveRecord">
    <vt:lpwstr>eyJoZGlkIjoiMGQ3YjMwMTZhODg5NTE4MGZlM2U2ZDk1YjhlMGU1YzAiLCJ1c2VySWQiOiIzNTkxOTcyOTgifQ==</vt:lpwstr>
  </property>
</Properties>
</file>