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66051"/>
    <w:p w14:paraId="284B8D0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theme="minorBidi"/>
          <w:kern w:val="2"/>
          <w:sz w:val="21"/>
          <w:szCs w:val="24"/>
          <w:lang w:val="en-US" w:eastAsia="zh-CN" w:bidi="ar-SA"/>
        </w:rPr>
        <w:t>“碧海绿盾·双态筑安”——适用于海岛的绿色低碳军民两用应急避难所</w:t>
      </w:r>
      <w:bookmarkStart w:id="42" w:name="_GoBack"/>
      <w:bookmarkEnd w:id="42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1729105</wp:posOffset>
                </wp:positionV>
                <wp:extent cx="1188085" cy="4591050"/>
                <wp:effectExtent l="0" t="0" r="5715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29280" y="2828925"/>
                          <a:ext cx="1188085" cy="459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27AF6">
                            <w:pPr>
                              <w:pStyle w:val="2"/>
                              <w:bidi w:val="0"/>
                              <w:spacing w:line="480" w:lineRule="auto"/>
                              <w:rPr>
                                <w:sz w:val="6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60"/>
                                <w:szCs w:val="40"/>
                              </w:rPr>
                              <w:t>绿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</w:rPr>
                              <w:t>色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</w:rPr>
                              <w:t>建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</w:rPr>
                              <w:t>筑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</w:rPr>
                              <w:t>专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</w:rPr>
                              <w:t>项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60"/>
                                <w:szCs w:val="40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85pt;margin-top:136.15pt;height:361.5pt;width:93.55pt;z-index:251659264;mso-width-relative:page;mso-height-relative:page;" fillcolor="#FFFFFF [3201]" filled="t" stroked="f" coordsize="21600,21600" o:gfxdata="UEsDBAoAAAAAAIdO4kAAAAAAAAAAAAAAAAAEAAAAZHJzL1BLAwQUAAAACACHTuJAil4DyNkAAAAL&#10;AQAADwAAAGRycy9kb3ducmV2LnhtbE2Pu07EMBBFeyT+wRokOtZ5ALvJxlmhSBRbgISh2c6JnYew&#10;x1Hsff09QwXlaI7OvbfaXZxlJ7OEyaOAdJUAM9h5PeEg4Ovz9WEDLESFWlmPRsDVBNjVtzeVKrU/&#10;44c5yTgwkmAolYAxxrnkPHSjcSqs/GyQfr1fnIp0LgPXizqT3FmeJckzd2pCShjVbJrRdN/y6AQU&#10;EtWbbNrrS/Fu+35/kHubNELc36XJFlg0l/gHw299qg41dWr9EXVgVkCepmtCBWTrLAdGxGOxoTEt&#10;6YunHHhd8f8b6h9QSwMEFAAAAAgAh07iQE2Kj4FiAgAAngQAAA4AAABkcnMvZTJvRG9jLnhtbK1U&#10;S27bMBDdF+gdCO4bWbKdykbkwE3gokDQBEg/a5qiLAIkhyVpS+kBmht01U33PVfO0SFlJ2naRRb1&#10;ghqSjzPz3sz45LTXiuyE8xJMRfOjESXCcKil2VT044fVq5ISH5ipmQIjKnojPD1dvHxx0tm5KKAF&#10;VQtH0Inx885WtA3BzrPM81Zo5o/ACoOXDTjNAm7dJqsd69C7VlkxGh1nHbjaOuDCezw9Hy7p3qN7&#10;jkNoGsnFOfCtFiYMXp1QLCAl30rr6SJl2zSCh8um8SIQVVFkGtKKQdBexzVbnLD5xjHbSr5PgT0n&#10;hSecNJMGg967OmeBka2Tf7nSkjvw0IQjDjobiCRFkEU+eqLNdcusSFxQam/vRff/zy1/v7tyRNYV&#10;HVNimMaC332/vfvx6+7nNzKO8nTWzxF1bREX+jfQY9Mczj0eRtZ943T8Ih+C9+O8mBUlSnxT0aIs&#10;ylkxHYQWfSA8OsjLclROKeGImExn+WiaSpE9uLLOh7cCNIlGRR1WMgnMdhc+YFoIPUBiZA9K1iup&#10;VNq4zfpMObJjWPVV+sX4+OQPmDKkq+jxGGPHVwbi+wGnDMIj84FhtEK/7vdyrKG+QTUcDO3kLV9J&#10;zPKC+XDFHPYPUscJC5e4NAowCOwtSlpwX/91HvEVFewTfinpsCMr6r9smROUqHcGSz7LJ5PYwmkz&#10;mb4ucOMe36wf35itPgOkn+M0W57MiA/qYDYO9GccxWWMi1fMcMytohh9MM/CMCc4ylwslwmETWtZ&#10;uDDXlkfXg2zLbYBGpqJEoQZ19vph2ybh9yMW5+LxPqEe/lY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KXgPI2QAAAAsBAAAPAAAAAAAAAAEAIAAAACIAAABkcnMvZG93bnJldi54bWxQSwECFAAU&#10;AAAACACHTuJATYqPgWICAACeBAAADgAAAAAAAAABACAAAAAo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01C27AF6">
                      <w:pPr>
                        <w:pStyle w:val="2"/>
                        <w:bidi w:val="0"/>
                        <w:spacing w:line="480" w:lineRule="auto"/>
                        <w:rPr>
                          <w:sz w:val="60"/>
                          <w:szCs w:val="40"/>
                        </w:rPr>
                      </w:pPr>
                      <w:r>
                        <w:rPr>
                          <w:rFonts w:hint="eastAsia"/>
                          <w:sz w:val="60"/>
                          <w:szCs w:val="40"/>
                        </w:rPr>
                        <w:t>绿</w:t>
                      </w:r>
                      <w:r>
                        <w:rPr>
                          <w:rFonts w:hint="eastAsia"/>
                          <w:sz w:val="6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60"/>
                          <w:szCs w:val="40"/>
                        </w:rPr>
                        <w:t>色</w:t>
                      </w:r>
                      <w:r>
                        <w:rPr>
                          <w:rFonts w:hint="eastAsia"/>
                          <w:sz w:val="6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60"/>
                          <w:szCs w:val="40"/>
                        </w:rPr>
                        <w:t>建</w:t>
                      </w:r>
                      <w:r>
                        <w:rPr>
                          <w:rFonts w:hint="eastAsia"/>
                          <w:sz w:val="6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60"/>
                          <w:szCs w:val="40"/>
                        </w:rPr>
                        <w:t>筑</w:t>
                      </w:r>
                      <w:r>
                        <w:rPr>
                          <w:rFonts w:hint="eastAsia"/>
                          <w:sz w:val="6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60"/>
                          <w:szCs w:val="40"/>
                        </w:rPr>
                        <w:t>专</w:t>
                      </w:r>
                      <w:r>
                        <w:rPr>
                          <w:rFonts w:hint="eastAsia"/>
                          <w:sz w:val="6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60"/>
                          <w:szCs w:val="40"/>
                        </w:rPr>
                        <w:t>项</w:t>
                      </w:r>
                      <w:r>
                        <w:rPr>
                          <w:rFonts w:hint="eastAsia"/>
                          <w:sz w:val="6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60"/>
                          <w:szCs w:val="40"/>
                        </w:rPr>
                        <w:t>方</w:t>
                      </w:r>
                      <w:r>
                        <w:rPr>
                          <w:rFonts w:hint="eastAsia"/>
                          <w:sz w:val="6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60"/>
                          <w:szCs w:val="40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2623"/>
        <w15:color w:val="DBDBDB"/>
        <w:docPartObj>
          <w:docPartGallery w:val="Table of Contents"/>
          <w:docPartUnique/>
        </w:docPartObj>
      </w:sdtPr>
      <w:sdtContent>
        <w:p w14:paraId="4AE7262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46E27DB7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_Toc23837 </w:instrText>
          </w:r>
          <w:r>
            <w:fldChar w:fldCharType="separate"/>
          </w:r>
          <w:r>
            <w:rPr>
              <w:rFonts w:hint="eastAsia"/>
              <w:szCs w:val="20"/>
            </w:rPr>
            <w:t>一、专项方案编制说明</w:t>
          </w:r>
          <w:r>
            <w:tab/>
          </w:r>
          <w:r>
            <w:fldChar w:fldCharType="begin"/>
          </w:r>
          <w:r>
            <w:instrText xml:space="preserve"> PAGEREF _Toc23837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3EDB31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_Toc20016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1.1 编制依据</w:t>
          </w:r>
          <w:r>
            <w:tab/>
          </w:r>
          <w:r>
            <w:fldChar w:fldCharType="begin"/>
          </w:r>
          <w:r>
            <w:instrText xml:space="preserve"> PAGEREF _Toc20016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2085B97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_Toc3029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1.2 适用范围</w:t>
          </w:r>
          <w:r>
            <w:tab/>
          </w:r>
          <w:r>
            <w:fldChar w:fldCharType="begin"/>
          </w:r>
          <w:r>
            <w:instrText xml:space="preserve"> PAGEREF _Toc3029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11D6E292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_Toc10935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1.3 专项目标</w:t>
          </w:r>
          <w:r>
            <w:tab/>
          </w:r>
          <w:r>
            <w:fldChar w:fldCharType="begin"/>
          </w:r>
          <w:r>
            <w:instrText xml:space="preserve"> PAGEREF _Toc10935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854DFBC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_Toc26449 </w:instrText>
          </w:r>
          <w:r>
            <w:fldChar w:fldCharType="separate"/>
          </w:r>
          <w:r>
            <w:rPr>
              <w:rFonts w:hint="eastAsia"/>
              <w:szCs w:val="20"/>
            </w:rPr>
            <w:t>二、系统总体技术方案</w:t>
          </w:r>
          <w:r>
            <w:tab/>
          </w:r>
          <w:r>
            <w:fldChar w:fldCharType="begin"/>
          </w:r>
          <w:r>
            <w:instrText xml:space="preserve"> PAGEREF _Toc26449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DF58B24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_Toc17333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2.1 系统名称</w:t>
          </w:r>
          <w:r>
            <w:tab/>
          </w:r>
          <w:r>
            <w:fldChar w:fldCharType="begin"/>
          </w:r>
          <w:r>
            <w:instrText xml:space="preserve"> PAGEREF _Toc17333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32202264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_Toc7709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2.2 核心原理</w:t>
          </w:r>
          <w:r>
            <w:tab/>
          </w:r>
          <w:r>
            <w:fldChar w:fldCharType="begin"/>
          </w:r>
          <w:r>
            <w:instrText xml:space="preserve"> PAGEREF _Toc7709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5C3B568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_Toc3480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2.3 系统组成（五层模块化架构）</w:t>
          </w:r>
          <w:r>
            <w:tab/>
          </w:r>
          <w:r>
            <w:fldChar w:fldCharType="begin"/>
          </w:r>
          <w:r>
            <w:instrText xml:space="preserve"> PAGEREF _Toc3480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25FC6D1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_Toc6849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2.4 控制架构</w:t>
          </w:r>
          <w:r>
            <w:tab/>
          </w:r>
          <w:r>
            <w:fldChar w:fldCharType="begin"/>
          </w:r>
          <w:r>
            <w:instrText xml:space="preserve"> PAGEREF _Toc6849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BAA77DE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_Toc6505 </w:instrText>
          </w:r>
          <w:r>
            <w:fldChar w:fldCharType="separate"/>
          </w:r>
          <w:r>
            <w:rPr>
              <w:rFonts w:hint="eastAsia"/>
              <w:szCs w:val="20"/>
            </w:rPr>
            <w:t>三、节能与能源利用专项方案</w:t>
          </w:r>
          <w:r>
            <w:tab/>
          </w:r>
          <w:r>
            <w:fldChar w:fldCharType="begin"/>
          </w:r>
          <w:r>
            <w:instrText xml:space="preserve"> PAGEREF _Toc6505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6F51DE75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_Toc16439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3.1 可再生能源利用设计</w:t>
          </w:r>
          <w:r>
            <w:tab/>
          </w:r>
          <w:r>
            <w:fldChar w:fldCharType="begin"/>
          </w:r>
          <w:r>
            <w:instrText xml:space="preserve"> PAGEREF _Toc16439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23038B6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_Toc25581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3.2 屋面节能设计</w:t>
          </w:r>
          <w:r>
            <w:tab/>
          </w:r>
          <w:r>
            <w:fldChar w:fldCharType="begin"/>
          </w:r>
          <w:r>
            <w:instrText xml:space="preserve"> PAGEREF _Toc25581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552D80D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_Toc28442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3.3 系统能效优化</w:t>
          </w:r>
          <w:r>
            <w:tab/>
          </w:r>
          <w:r>
            <w:fldChar w:fldCharType="begin"/>
          </w:r>
          <w:r>
            <w:instrText xml:space="preserve"> PAGEREF _Toc28442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18D8BE88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_Toc28307 </w:instrText>
          </w:r>
          <w:r>
            <w:fldChar w:fldCharType="separate"/>
          </w:r>
          <w:r>
            <w:rPr>
              <w:rFonts w:hint="eastAsia"/>
              <w:szCs w:val="20"/>
            </w:rPr>
            <w:t>四、室内光环境专项方案</w:t>
          </w:r>
          <w:r>
            <w:tab/>
          </w:r>
          <w:r>
            <w:fldChar w:fldCharType="begin"/>
          </w:r>
          <w:r>
            <w:instrText xml:space="preserve"> PAGEREF _Toc28307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E454AB2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_Toc16730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4.1 天然采光设计</w:t>
          </w:r>
          <w:r>
            <w:tab/>
          </w:r>
          <w:r>
            <w:fldChar w:fldCharType="begin"/>
          </w:r>
          <w:r>
            <w:instrText xml:space="preserve"> PAGEREF _Toc16730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C540936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_Toc30943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4.2 眩光控制设计</w:t>
          </w:r>
          <w:r>
            <w:tab/>
          </w:r>
          <w:r>
            <w:fldChar w:fldCharType="begin"/>
          </w:r>
          <w:r>
            <w:instrText xml:space="preserve"> PAGEREF _Toc30943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BC205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_Toc6259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4.3 光环境时序策略</w:t>
          </w:r>
          <w:r>
            <w:tab/>
          </w:r>
          <w:r>
            <w:fldChar w:fldCharType="begin"/>
          </w:r>
          <w:r>
            <w:instrText xml:space="preserve"> PAGEREF _Toc6259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B3C4933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_Toc9789 </w:instrText>
          </w:r>
          <w:r>
            <w:fldChar w:fldCharType="separate"/>
          </w:r>
          <w:r>
            <w:rPr>
              <w:rFonts w:hint="eastAsia"/>
              <w:szCs w:val="20"/>
            </w:rPr>
            <w:t>五、节材与材料资源利用专项方案</w:t>
          </w:r>
          <w:r>
            <w:tab/>
          </w:r>
          <w:r>
            <w:fldChar w:fldCharType="begin"/>
          </w:r>
          <w:r>
            <w:instrText xml:space="preserve"> PAGEREF _Toc9789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64C0353C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_Toc14971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5.1 模块化轻量化设计</w:t>
          </w:r>
          <w:r>
            <w:tab/>
          </w:r>
          <w:r>
            <w:fldChar w:fldCharType="begin"/>
          </w:r>
          <w:r>
            <w:instrText xml:space="preserve"> PAGEREF _Toc14971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2FC0BD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_Toc31584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5.2 绿色建材选用</w:t>
          </w:r>
          <w:r>
            <w:tab/>
          </w:r>
          <w:r>
            <w:fldChar w:fldCharType="begin"/>
          </w:r>
          <w:r>
            <w:instrText xml:space="preserve"> PAGEREF _Toc31584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9E55D35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_Toc23683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5.3 节材减排措施</w:t>
          </w:r>
          <w:r>
            <w:tab/>
          </w:r>
          <w:r>
            <w:fldChar w:fldCharType="begin"/>
          </w:r>
          <w:r>
            <w:instrText xml:space="preserve"> PAGEREF _Toc23683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EBEF002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_Toc14229 </w:instrText>
          </w:r>
          <w:r>
            <w:fldChar w:fldCharType="separate"/>
          </w:r>
          <w:r>
            <w:rPr>
              <w:rFonts w:hint="eastAsia"/>
              <w:szCs w:val="20"/>
            </w:rPr>
            <w:t>六、结构安全与防水专项方案</w:t>
          </w:r>
          <w:r>
            <w:tab/>
          </w:r>
          <w:r>
            <w:fldChar w:fldCharType="begin"/>
          </w:r>
          <w:r>
            <w:instrText xml:space="preserve"> PAGEREF _Toc14229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46BE1D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_Toc11550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6.1 结构设计标准</w:t>
          </w:r>
          <w:r>
            <w:tab/>
          </w:r>
          <w:r>
            <w:fldChar w:fldCharType="begin"/>
          </w:r>
          <w:r>
            <w:instrText xml:space="preserve"> PAGEREF _Toc11550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E4CAAB8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_Toc29107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6.2 关键节点（N</w:t>
          </w:r>
          <w:r>
            <w:rPr>
              <w:rFonts w:hint="eastAsia" w:ascii="宋体" w:hAnsi="宋体" w:eastAsia="宋体" w:cs="宋体"/>
              <w:szCs w:val="21"/>
              <w:lang w:val="en-US" w:eastAsia="zh-CN"/>
            </w:rPr>
            <w:t>-</w:t>
          </w:r>
          <w:r>
            <w:rPr>
              <w:rFonts w:hint="eastAsia" w:ascii="宋体" w:hAnsi="宋体" w:eastAsia="宋体" w:cs="宋体"/>
              <w:szCs w:val="21"/>
            </w:rPr>
            <w:t>01）构造</w:t>
          </w:r>
          <w:r>
            <w:tab/>
          </w:r>
          <w:r>
            <w:fldChar w:fldCharType="begin"/>
          </w:r>
          <w:r>
            <w:instrText xml:space="preserve"> PAGEREF _Toc29107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A3B310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_Toc18449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6.3 防护等级</w:t>
          </w:r>
          <w:r>
            <w:tab/>
          </w:r>
          <w:r>
            <w:fldChar w:fldCharType="begin"/>
          </w:r>
          <w:r>
            <w:instrText xml:space="preserve"> PAGEREF _Toc18449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2C884AD7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_Toc23955 </w:instrText>
          </w:r>
          <w:r>
            <w:fldChar w:fldCharType="separate"/>
          </w:r>
          <w:r>
            <w:rPr>
              <w:rFonts w:hint="eastAsia"/>
              <w:szCs w:val="20"/>
            </w:rPr>
            <w:t>七、施工与装配化专项方案</w:t>
          </w:r>
          <w:r>
            <w:tab/>
          </w:r>
          <w:r>
            <w:fldChar w:fldCharType="begin"/>
          </w:r>
          <w:r>
            <w:instrText xml:space="preserve"> PAGEREF _Toc23955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B41F8F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_Toc1133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7.1 施工流程</w:t>
          </w:r>
          <w:r>
            <w:tab/>
          </w:r>
          <w:r>
            <w:fldChar w:fldCharType="begin"/>
          </w:r>
          <w:r>
            <w:instrText xml:space="preserve"> PAGEREF _Toc1133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0DA1615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_Toc1583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7.2 绿色施工要求</w:t>
          </w:r>
          <w:r>
            <w:tab/>
          </w:r>
          <w:r>
            <w:fldChar w:fldCharType="begin"/>
          </w:r>
          <w:r>
            <w:instrText xml:space="preserve"> PAGEREF _Toc1583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81C2609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_Toc22699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7.3 既有建筑改造</w:t>
          </w:r>
          <w:r>
            <w:tab/>
          </w:r>
          <w:r>
            <w:fldChar w:fldCharType="begin"/>
          </w:r>
          <w:r>
            <w:instrText xml:space="preserve"> PAGEREF _Toc22699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98E20B2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_Toc27100 </w:instrText>
          </w:r>
          <w:r>
            <w:fldChar w:fldCharType="separate"/>
          </w:r>
          <w:r>
            <w:rPr>
              <w:rFonts w:hint="eastAsia"/>
              <w:szCs w:val="20"/>
            </w:rPr>
            <w:t>八、智能运行与维护专项方案</w:t>
          </w:r>
          <w:r>
            <w:tab/>
          </w:r>
          <w:r>
            <w:fldChar w:fldCharType="begin"/>
          </w:r>
          <w:r>
            <w:instrText xml:space="preserve"> PAGEREF _Toc27100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6E2F14B8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_Toc11399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8.1 日间运行机制</w:t>
          </w:r>
          <w:r>
            <w:tab/>
          </w:r>
          <w:r>
            <w:fldChar w:fldCharType="begin"/>
          </w:r>
          <w:r>
            <w:instrText xml:space="preserve"> PAGEREF _Toc11399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0989BF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_Toc4416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8.2 极端天气保护</w:t>
          </w:r>
          <w:r>
            <w:tab/>
          </w:r>
          <w:r>
            <w:fldChar w:fldCharType="begin"/>
          </w:r>
          <w:r>
            <w:instrText xml:space="preserve"> PAGEREF _Toc4416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E9183B5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_Toc28315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8.3 分级维护计划</w:t>
          </w:r>
          <w:r>
            <w:tab/>
          </w:r>
          <w:r>
            <w:fldChar w:fldCharType="begin"/>
          </w:r>
          <w:r>
            <w:instrText xml:space="preserve"> PAGEREF _Toc28315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4FA116E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_Toc16103 </w:instrText>
          </w:r>
          <w:r>
            <w:fldChar w:fldCharType="separate"/>
          </w:r>
          <w:r>
            <w:rPr>
              <w:rFonts w:hint="eastAsia"/>
              <w:szCs w:val="20"/>
            </w:rPr>
            <w:t>九、绿色效益与碳减排专项方案</w:t>
          </w:r>
          <w:r>
            <w:tab/>
          </w:r>
          <w:r>
            <w:fldChar w:fldCharType="begin"/>
          </w:r>
          <w:r>
            <w:instrText xml:space="preserve"> PAGEREF _Toc16103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335D8C8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_Toc13338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9.1 能源效益</w:t>
          </w:r>
          <w:r>
            <w:tab/>
          </w:r>
          <w:r>
            <w:fldChar w:fldCharType="begin"/>
          </w:r>
          <w:r>
            <w:instrText xml:space="preserve"> PAGEREF _Toc13338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1F91003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_Toc1198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9.2 经济效益</w:t>
          </w:r>
          <w:r>
            <w:tab/>
          </w:r>
          <w:r>
            <w:fldChar w:fldCharType="begin"/>
          </w:r>
          <w:r>
            <w:instrText xml:space="preserve"> PAGEREF _Toc1198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BA660E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_Toc6935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9.3 环境效益</w:t>
          </w:r>
          <w:r>
            <w:tab/>
          </w:r>
          <w:r>
            <w:fldChar w:fldCharType="begin"/>
          </w:r>
          <w:r>
            <w:instrText xml:space="preserve"> PAGEREF _Toc6935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2C824D0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_Toc13662 </w:instrText>
          </w:r>
          <w:r>
            <w:fldChar w:fldCharType="separate"/>
          </w:r>
          <w:r>
            <w:rPr>
              <w:rFonts w:hint="eastAsia"/>
              <w:szCs w:val="20"/>
            </w:rPr>
            <w:t>十、质量保证与验收专项方案</w:t>
          </w:r>
          <w:r>
            <w:tab/>
          </w:r>
          <w:r>
            <w:fldChar w:fldCharType="begin"/>
          </w:r>
          <w:r>
            <w:instrText xml:space="preserve"> PAGEREF _Toc13662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E2D65E8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_Toc11316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10.1 验收依据</w:t>
          </w:r>
          <w:r>
            <w:tab/>
          </w:r>
          <w:r>
            <w:fldChar w:fldCharType="begin"/>
          </w:r>
          <w:r>
            <w:instrText xml:space="preserve"> PAGEREF _Toc11316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0114C6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_Toc7202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10.2 验收内容</w:t>
          </w:r>
          <w:r>
            <w:tab/>
          </w:r>
          <w:r>
            <w:fldChar w:fldCharType="begin"/>
          </w:r>
          <w:r>
            <w:instrText xml:space="preserve"> PAGEREF _Toc7202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53A1EC6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_Toc7864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1"/>
            </w:rPr>
            <w:t>10.3 质量承诺</w:t>
          </w:r>
          <w:r>
            <w:tab/>
          </w:r>
          <w:r>
            <w:fldChar w:fldCharType="begin"/>
          </w:r>
          <w:r>
            <w:instrText xml:space="preserve"> PAGEREF _Toc7864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AF836AA">
          <w:pPr>
            <w:pStyle w:val="6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_Toc28871 </w:instrText>
          </w:r>
          <w:r>
            <w:fldChar w:fldCharType="separate"/>
          </w:r>
          <w:r>
            <w:rPr>
              <w:rFonts w:hint="eastAsia"/>
              <w:szCs w:val="20"/>
            </w:rPr>
            <w:t>十一、专项方案结论</w:t>
          </w:r>
          <w:r>
            <w:tab/>
          </w:r>
          <w:r>
            <w:fldChar w:fldCharType="begin"/>
          </w:r>
          <w:r>
            <w:instrText xml:space="preserve"> PAGEREF _Toc28871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E47F3C4">
          <w:pPr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fldChar w:fldCharType="end"/>
          </w:r>
        </w:p>
      </w:sdtContent>
    </w:sdt>
    <w:p w14:paraId="6D0BEC7E"/>
    <w:p w14:paraId="6BC0B7B8">
      <w:pPr>
        <w:pStyle w:val="2"/>
        <w:bidi w:val="0"/>
        <w:jc w:val="center"/>
        <w:rPr>
          <w:rFonts w:hint="eastAsia"/>
          <w:sz w:val="32"/>
          <w:szCs w:val="20"/>
        </w:rPr>
      </w:pPr>
      <w:bookmarkStart w:id="0" w:name="_Toc23837"/>
      <w:r>
        <w:rPr>
          <w:rFonts w:hint="eastAsia"/>
          <w:sz w:val="32"/>
          <w:szCs w:val="20"/>
        </w:rPr>
        <w:t>一、专项方案编制说明</w:t>
      </w:r>
      <w:bookmarkEnd w:id="0"/>
    </w:p>
    <w:p w14:paraId="7D748541">
      <w:pPr>
        <w:pStyle w:val="3"/>
        <w:bidi w:val="0"/>
        <w:rPr>
          <w:rFonts w:hint="eastAsia" w:ascii="宋体" w:hAnsi="宋体" w:eastAsia="宋体" w:cs="宋体"/>
          <w:sz w:val="24"/>
          <w:szCs w:val="21"/>
        </w:rPr>
      </w:pPr>
      <w:bookmarkStart w:id="1" w:name="_Toc20016"/>
      <w:r>
        <w:rPr>
          <w:rFonts w:hint="eastAsia" w:ascii="宋体" w:hAnsi="宋体" w:eastAsia="宋体" w:cs="宋体"/>
          <w:sz w:val="24"/>
          <w:szCs w:val="21"/>
        </w:rPr>
        <w:t>1.1 编制依据</w:t>
      </w:r>
      <w:bookmarkEnd w:id="1"/>
    </w:p>
    <w:p w14:paraId="6A33FA4D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《绿色建筑评价标准》（GB/T 50378-2019）</w:t>
      </w:r>
    </w:p>
    <w:p w14:paraId="7FCBC418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《公共建筑节能设计标准》（GB 50189-2015）</w:t>
      </w:r>
    </w:p>
    <w:p w14:paraId="202BACF8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《建筑采光设计标准》（GB 50033-2013）</w:t>
      </w:r>
    </w:p>
    <w:p w14:paraId="640347A8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《建筑结构荷载规范》（GB 50009-2012）</w:t>
      </w:r>
    </w:p>
    <w:p w14:paraId="72BCF28B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《建筑环境通用规范》（GB 55016-2021）</w:t>
      </w:r>
    </w:p>
    <w:p w14:paraId="457967A6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项目光追踪自适应角度太阳能屋面系统（STARS）技术说明书</w:t>
      </w:r>
    </w:p>
    <w:p w14:paraId="0987BCE1">
      <w:pPr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仿真验证报告</w:t>
      </w:r>
    </w:p>
    <w:p w14:paraId="1241D71C">
      <w:pPr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材料参数表</w:t>
      </w:r>
    </w:p>
    <w:p w14:paraId="7F4AB6A4">
      <w:pPr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绿色建筑评估标识自评估报告</w:t>
      </w:r>
    </w:p>
    <w:p w14:paraId="603397B8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2" w:name="_Toc3029"/>
      <w:r>
        <w:rPr>
          <w:rFonts w:hint="eastAsia" w:ascii="宋体" w:hAnsi="宋体" w:eastAsia="宋体" w:cs="宋体"/>
          <w:b/>
          <w:sz w:val="24"/>
          <w:szCs w:val="21"/>
        </w:rPr>
        <w:t>1.2 适用范围</w:t>
      </w:r>
      <w:bookmarkEnd w:id="2"/>
    </w:p>
    <w:p w14:paraId="45D6F35B">
      <w:pPr>
        <w:rPr>
          <w:rFonts w:hint="eastAsia"/>
        </w:rPr>
      </w:pPr>
      <w:r>
        <w:rPr>
          <w:rFonts w:hint="eastAsia"/>
        </w:rPr>
        <w:t>本专项方案适用于夏热冬暖地区公共建筑（以海南海口为代表），包含新建建筑与既有建筑改造，屋面类型为钢结构屋面，采用光追踪自适应角度太阳能屋面系统作为绿色建筑核心技术支撑，覆盖节能、节材、室内环境、智能运维、低碳效益全维度专项设计与实施。</w:t>
      </w:r>
    </w:p>
    <w:p w14:paraId="4E698A00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" w:name="_Toc10935"/>
      <w:r>
        <w:rPr>
          <w:rFonts w:hint="eastAsia" w:ascii="宋体" w:hAnsi="宋体" w:eastAsia="宋体" w:cs="宋体"/>
          <w:b/>
          <w:sz w:val="24"/>
          <w:szCs w:val="21"/>
        </w:rPr>
        <w:t>1.3 专项目标</w:t>
      </w:r>
      <w:bookmarkEnd w:id="3"/>
    </w:p>
    <w:p w14:paraId="6E43537E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可再生能源利用：光伏年发电量较固定屋面提升≥35%</w:t>
      </w:r>
    </w:p>
    <w:p w14:paraId="6729F5AD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建筑节能：屋面得热显著降低，空调负荷降低≥25%，空调能耗降低≥25%</w:t>
      </w:r>
    </w:p>
    <w:p w14:paraId="730B435F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光环境：室内采光系数≥3%，统一眩光值≤19，年动态采光满足度sDA300/50%≥65%</w:t>
      </w:r>
    </w:p>
    <w:p w14:paraId="555C03A7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结构安全：抗风压≥1.5kN/㎡，IP67 防护，25年耐久可靠</w:t>
      </w:r>
    </w:p>
    <w:p w14:paraId="69E16D0D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运维管理：模块化可快速更换，智能监控，全生命周期低碳经济</w:t>
      </w:r>
    </w:p>
    <w:p w14:paraId="42239476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绿色评级：支撑项目达到绿色建筑二星级及以上</w:t>
      </w:r>
    </w:p>
    <w:p w14:paraId="3215B2E3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4" w:name="_Toc26449"/>
      <w:r>
        <w:rPr>
          <w:rFonts w:hint="eastAsia"/>
          <w:b/>
          <w:sz w:val="32"/>
          <w:szCs w:val="20"/>
        </w:rPr>
        <w:t>二、系统总体技术方案</w:t>
      </w:r>
      <w:bookmarkEnd w:id="4"/>
    </w:p>
    <w:p w14:paraId="0B01FC0C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5" w:name="_Toc17333"/>
      <w:r>
        <w:rPr>
          <w:rFonts w:hint="eastAsia" w:ascii="宋体" w:hAnsi="宋体" w:eastAsia="宋体" w:cs="宋体"/>
          <w:b/>
          <w:sz w:val="24"/>
          <w:szCs w:val="21"/>
        </w:rPr>
        <w:t>2.1 系统名称</w:t>
      </w:r>
      <w:bookmarkEnd w:id="5"/>
    </w:p>
    <w:p w14:paraId="0E6D9676">
      <w:pPr>
        <w:rPr>
          <w:rFonts w:hint="eastAsia"/>
        </w:rPr>
      </w:pPr>
      <w:r>
        <w:rPr>
          <w:rFonts w:hint="eastAsia"/>
        </w:rPr>
        <w:t>光追踪自适应角度太阳能屋面系统（Solar-Tracking Adaptive Roof System，STARS）</w:t>
      </w:r>
    </w:p>
    <w:p w14:paraId="6D9ABAB7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6" w:name="_Toc7709"/>
      <w:r>
        <w:rPr>
          <w:rFonts w:hint="eastAsia" w:ascii="宋体" w:hAnsi="宋体" w:eastAsia="宋体" w:cs="宋体"/>
          <w:b/>
          <w:sz w:val="24"/>
          <w:szCs w:val="21"/>
        </w:rPr>
        <w:t>2.2 核心原理</w:t>
      </w:r>
      <w:bookmarkEnd w:id="6"/>
    </w:p>
    <w:p w14:paraId="4A12845E">
      <w:pPr>
        <w:rPr>
          <w:rFonts w:hint="eastAsia"/>
        </w:rPr>
      </w:pPr>
      <w:r>
        <w:rPr>
          <w:rFonts w:hint="eastAsia"/>
        </w:rPr>
        <w:t>将光伏组件集成于可旋转屋面单元，通过光敏传感器阵列+太阳位置算法双模式追踪，由微型伺服电机驱动双轴（方位角+倾角）微调，使光伏板始终保持最佳入射角，较固定光伏屋面发电效率提升25%~40%，同步优化屋面热工与室内光环境。</w:t>
      </w:r>
    </w:p>
    <w:p w14:paraId="2C49B70D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7" w:name="_Toc3480"/>
      <w:r>
        <w:rPr>
          <w:rFonts w:hint="eastAsia" w:ascii="宋体" w:hAnsi="宋体" w:eastAsia="宋体" w:cs="宋体"/>
          <w:b/>
          <w:sz w:val="24"/>
          <w:szCs w:val="21"/>
        </w:rPr>
        <w:t>2.3 系统组成（五层模块化架构）</w:t>
      </w:r>
      <w:bookmarkEnd w:id="7"/>
    </w:p>
    <w:p w14:paraId="661679D0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光伏组件层：碲化镉薄膜光伏，透光率20%~40%可调，双层超白钢化玻璃封装</w:t>
      </w:r>
    </w:p>
    <w:p w14:paraId="2D183428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旋转框架层：6063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T5铝合金，动态密封，空腔布线</w:t>
      </w:r>
    </w:p>
    <w:p w14:paraId="2BFC1EBC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旋转枢纽层：316L不锈钢旋转轴+深沟球轴承+万向节，双轴±30°自由度</w:t>
      </w:r>
    </w:p>
    <w:p w14:paraId="50FF5995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驱动执行层：57型步进电机+蜗轮蜗杆减速器，光电编码器闭环控制</w:t>
      </w:r>
    </w:p>
    <w:p w14:paraId="66F8622D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基层防护层：TPO防水+保温板+压型钢板，与常规屋面完全兼容</w:t>
      </w:r>
    </w:p>
    <w:p w14:paraId="2D029E4E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8" w:name="_Toc6849"/>
      <w:r>
        <w:rPr>
          <w:rFonts w:hint="eastAsia" w:ascii="宋体" w:hAnsi="宋体" w:eastAsia="宋体" w:cs="宋体"/>
          <w:b/>
          <w:sz w:val="24"/>
          <w:szCs w:val="21"/>
        </w:rPr>
        <w:t>2.4 控制架构</w:t>
      </w:r>
      <w:bookmarkEnd w:id="8"/>
    </w:p>
    <w:p w14:paraId="0FD8C423">
      <w:pPr>
        <w:rPr>
          <w:rFonts w:hint="eastAsia"/>
        </w:rPr>
      </w:pPr>
      <w:r>
        <w:rPr>
          <w:rFonts w:hint="eastAsia"/>
        </w:rPr>
        <w:t>分布式控制：单元独立微控制器+ CAN总线中央控制柜，实现集中监控、分散执行、故障自诊断、闭环校准。</w:t>
      </w:r>
    </w:p>
    <w:p w14:paraId="2E4400D4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9" w:name="_Toc6505"/>
      <w:r>
        <w:rPr>
          <w:rFonts w:hint="eastAsia"/>
          <w:b/>
          <w:sz w:val="32"/>
          <w:szCs w:val="20"/>
        </w:rPr>
        <w:t>三、节能与能源利用专项方案</w:t>
      </w:r>
      <w:bookmarkEnd w:id="9"/>
    </w:p>
    <w:p w14:paraId="353EA004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10" w:name="_Toc16439"/>
      <w:r>
        <w:rPr>
          <w:rFonts w:hint="eastAsia" w:ascii="宋体" w:hAnsi="宋体" w:eastAsia="宋体" w:cs="宋体"/>
          <w:b/>
          <w:sz w:val="24"/>
          <w:szCs w:val="21"/>
        </w:rPr>
        <w:t>3.1 可再生能源利用设计</w:t>
      </w:r>
      <w:bookmarkEnd w:id="10"/>
    </w:p>
    <w:p w14:paraId="39B9AB2A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屋面规模：1200㎡，400个标准单元（3m×1.5m / 单元）</w:t>
      </w:r>
    </w:p>
    <w:p w14:paraId="4E165B21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组件参数：碲化镉薄膜445W / 块，效率19.3%</w:t>
      </w:r>
    </w:p>
    <w:p w14:paraId="39BE7BCA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发电性能：年发电量278450kWh，较固定光伏提升40.2%</w:t>
      </w:r>
    </w:p>
    <w:p w14:paraId="104DAC1F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接入方式：并网发电，自发自用，余电上网，数据接入BMS能源管理系统</w:t>
      </w:r>
    </w:p>
    <w:p w14:paraId="78108B7A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11" w:name="_Toc25581"/>
      <w:r>
        <w:rPr>
          <w:rFonts w:hint="eastAsia" w:ascii="宋体" w:hAnsi="宋体" w:eastAsia="宋体" w:cs="宋体"/>
          <w:b/>
          <w:sz w:val="24"/>
          <w:szCs w:val="21"/>
        </w:rPr>
        <w:t>3.2 屋面节能设计</w:t>
      </w:r>
      <w:bookmarkEnd w:id="11"/>
    </w:p>
    <w:p w14:paraId="5172989F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热工性能：屋面传热系数≤0.5W/(㎡・K)，满足 GB 50189</w:t>
      </w:r>
    </w:p>
    <w:p w14:paraId="4723013F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降温效果：夏季屋面表面温度降低13.3℃，内表面温度降低10.8℃</w:t>
      </w:r>
    </w:p>
    <w:p w14:paraId="5F4AA4CF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热流均匀：热流密度控制在350~450W/㎡，避免局部热岛与温度应力</w:t>
      </w:r>
    </w:p>
    <w:p w14:paraId="1F8D3B09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空调节能：空调负荷降低26.9%，全年空调能耗降27.4%</w:t>
      </w:r>
    </w:p>
    <w:p w14:paraId="24C51AE1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12" w:name="_Toc28442"/>
      <w:r>
        <w:rPr>
          <w:rFonts w:hint="eastAsia" w:ascii="宋体" w:hAnsi="宋体" w:eastAsia="宋体" w:cs="宋体"/>
          <w:b/>
          <w:sz w:val="24"/>
          <w:szCs w:val="21"/>
        </w:rPr>
        <w:t>3.3 系统能效优化</w:t>
      </w:r>
      <w:bookmarkEnd w:id="12"/>
    </w:p>
    <w:p w14:paraId="0E87D400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追踪精度：≤2°，电机半流锁定，低功耗运行</w:t>
      </w:r>
    </w:p>
    <w:p w14:paraId="6D3AD687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闭环校准：自动修正误差，算法自学习优化</w:t>
      </w:r>
    </w:p>
    <w:p w14:paraId="03C18A78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极端天气：大风/冰雹/积雪自动保护，降低能耗与设备损耗</w:t>
      </w:r>
    </w:p>
    <w:p w14:paraId="452CC90F">
      <w:pPr>
        <w:pStyle w:val="2"/>
        <w:bidi w:val="0"/>
        <w:jc w:val="center"/>
        <w:rPr>
          <w:rFonts w:hint="eastAsia"/>
        </w:rPr>
      </w:pPr>
      <w:bookmarkStart w:id="13" w:name="_Toc28307"/>
      <w:r>
        <w:rPr>
          <w:rFonts w:hint="eastAsia"/>
          <w:b/>
          <w:sz w:val="32"/>
          <w:szCs w:val="20"/>
        </w:rPr>
        <w:t>四、室内光环境专项方案</w:t>
      </w:r>
      <w:bookmarkEnd w:id="13"/>
    </w:p>
    <w:p w14:paraId="14D8CB65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14" w:name="_Toc16730"/>
      <w:r>
        <w:rPr>
          <w:rFonts w:hint="eastAsia" w:ascii="宋体" w:hAnsi="宋体" w:eastAsia="宋体" w:cs="宋体"/>
          <w:b/>
          <w:sz w:val="24"/>
          <w:szCs w:val="21"/>
        </w:rPr>
        <w:t>4.1 天然采光设计</w:t>
      </w:r>
      <w:bookmarkEnd w:id="14"/>
    </w:p>
    <w:p w14:paraId="04B604F0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采光指标：采光系数平均值4.2%，最小2.8%，满足GB 50033</w:t>
      </w:r>
    </w:p>
    <w:p w14:paraId="17AA8884"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均匀性：中心区域6.5%，侧墙区域2.8%，均匀度0.67，优于规范0.5</w:t>
      </w:r>
    </w:p>
    <w:p w14:paraId="25C8A0AD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动态采光：sDA300/50% = 68%，高于规范50%目标值</w:t>
      </w:r>
    </w:p>
    <w:p w14:paraId="4E556BF2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15" w:name="_Toc30943"/>
      <w:r>
        <w:rPr>
          <w:rFonts w:hint="eastAsia" w:ascii="宋体" w:hAnsi="宋体" w:eastAsia="宋体" w:cs="宋体"/>
          <w:b/>
          <w:sz w:val="24"/>
          <w:szCs w:val="21"/>
        </w:rPr>
        <w:t>4.2 眩光控制设计</w:t>
      </w:r>
      <w:bookmarkEnd w:id="15"/>
    </w:p>
    <w:p w14:paraId="226E6FF1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统一眩光值：16.3（≤19），处于可接受区间</w:t>
      </w:r>
    </w:p>
    <w:p w14:paraId="7E0AA56A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透光率可调：20%~40%主动调节，办公30%~35%，会议20%，清洁40%</w:t>
      </w:r>
    </w:p>
    <w:p w14:paraId="1D897B0E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时序控制：正午自动降低透光率，避免直射眩光与屏幕反光</w:t>
      </w:r>
    </w:p>
    <w:p w14:paraId="0DC5F5AD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16" w:name="_Toc6259"/>
      <w:r>
        <w:rPr>
          <w:rFonts w:hint="eastAsia" w:ascii="宋体" w:hAnsi="宋体" w:eastAsia="宋体" w:cs="宋体"/>
          <w:b/>
          <w:sz w:val="24"/>
          <w:szCs w:val="21"/>
        </w:rPr>
        <w:t>4.3 光环境时序策略</w:t>
      </w:r>
      <w:bookmarkEnd w:id="16"/>
    </w:p>
    <w:p w14:paraId="15267FE6">
      <w:pPr>
        <w:rPr>
          <w:rFonts w:hint="eastAsia"/>
        </w:rPr>
      </w:pPr>
      <w:r>
        <w:rPr>
          <w:rFonts w:hint="eastAsia"/>
        </w:rPr>
        <w:t>6:00~8:00：透光率35%，优先采光</w:t>
      </w:r>
    </w:p>
    <w:p w14:paraId="684C7B89">
      <w:pPr>
        <w:rPr>
          <w:rFonts w:hint="eastAsia"/>
        </w:rPr>
      </w:pPr>
      <w:r>
        <w:rPr>
          <w:rFonts w:hint="eastAsia"/>
        </w:rPr>
        <w:t>8:00~14:00：透光率25%，最大化发电</w:t>
      </w:r>
    </w:p>
    <w:p w14:paraId="745C3671">
      <w:pPr>
        <w:rPr>
          <w:rFonts w:hint="eastAsia"/>
        </w:rPr>
      </w:pPr>
      <w:r>
        <w:rPr>
          <w:rFonts w:hint="eastAsia"/>
        </w:rPr>
        <w:t>14:00~18:00：透光率35%~40%，补偿傍晚采光</w:t>
      </w:r>
    </w:p>
    <w:p w14:paraId="5AEF5D90">
      <w:pPr>
        <w:rPr>
          <w:rFonts w:hint="eastAsia"/>
        </w:rPr>
      </w:pPr>
      <w:r>
        <w:rPr>
          <w:rFonts w:hint="eastAsia"/>
        </w:rPr>
        <w:t>夜间：透光率30%，配合室内照明</w:t>
      </w:r>
    </w:p>
    <w:p w14:paraId="44079482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17" w:name="_Toc9789"/>
      <w:r>
        <w:rPr>
          <w:rFonts w:hint="eastAsia"/>
          <w:b/>
          <w:sz w:val="32"/>
          <w:szCs w:val="20"/>
        </w:rPr>
        <w:t>五、节材与材料资源利用专项方案</w:t>
      </w:r>
      <w:bookmarkEnd w:id="17"/>
    </w:p>
    <w:p w14:paraId="64D0FDE8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18" w:name="_Toc14971"/>
      <w:r>
        <w:rPr>
          <w:rFonts w:hint="eastAsia" w:ascii="宋体" w:hAnsi="宋体" w:eastAsia="宋体" w:cs="宋体"/>
          <w:b/>
          <w:sz w:val="24"/>
          <w:szCs w:val="21"/>
        </w:rPr>
        <w:t>5.1 模块化轻量化设计</w:t>
      </w:r>
      <w:bookmarkEnd w:id="18"/>
    </w:p>
    <w:p w14:paraId="35D9150B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单单元重量＜50kg，适配常规钢结构屋面，无需主体结构加固</w:t>
      </w:r>
    </w:p>
    <w:p w14:paraId="434B8E34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标准化模块：3000mm×1500mm，工厂预制，现场装配</w:t>
      </w:r>
    </w:p>
    <w:p w14:paraId="7A95A8A7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接口通用：分层连接，独立拆卸，单单元30分钟快速更换</w:t>
      </w:r>
    </w:p>
    <w:p w14:paraId="42D8EE12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19" w:name="_Toc31584"/>
      <w:r>
        <w:rPr>
          <w:rFonts w:hint="eastAsia" w:ascii="宋体" w:hAnsi="宋体" w:eastAsia="宋体" w:cs="宋体"/>
          <w:b/>
          <w:sz w:val="24"/>
          <w:szCs w:val="21"/>
        </w:rPr>
        <w:t>5.2 绿色建材选用</w:t>
      </w:r>
      <w:bookmarkEnd w:id="19"/>
    </w:p>
    <w:p w14:paraId="66AC63B9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结构材料：6063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T5铝合金（阳极氧化）、316L不锈钢（耐盐雾）</w:t>
      </w:r>
    </w:p>
    <w:p w14:paraId="00AFC30B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防水密封：TPO 防水卷材、三元乙丙橡胶密封条，无毒环保</w:t>
      </w:r>
    </w:p>
    <w:p w14:paraId="71046D9E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耐久寿命：设计寿命25年，轴承/润滑维护周期≥5年</w:t>
      </w:r>
    </w:p>
    <w:p w14:paraId="3CD07D86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20" w:name="_Toc23683"/>
      <w:r>
        <w:rPr>
          <w:rFonts w:hint="eastAsia" w:ascii="宋体" w:hAnsi="宋体" w:eastAsia="宋体" w:cs="宋体"/>
          <w:b/>
          <w:sz w:val="24"/>
          <w:szCs w:val="21"/>
        </w:rPr>
        <w:t>5.3 节材减排措施</w:t>
      </w:r>
      <w:bookmarkEnd w:id="20"/>
    </w:p>
    <w:p w14:paraId="114CD617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干作业施工：无湿作业、无大量切割、建筑垃圾少</w:t>
      </w:r>
    </w:p>
    <w:p w14:paraId="23B59E1A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可回收材料：铝合金、不锈钢、玻璃回收率高</w:t>
      </w:r>
    </w:p>
    <w:p w14:paraId="1E0249D3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减少耗材：动态密封替代多道防水，降低材料用量</w:t>
      </w:r>
    </w:p>
    <w:p w14:paraId="32DE6109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21" w:name="_Toc14229"/>
      <w:r>
        <w:rPr>
          <w:rFonts w:hint="eastAsia"/>
          <w:b/>
          <w:sz w:val="32"/>
          <w:szCs w:val="20"/>
        </w:rPr>
        <w:t>六、结构安全与防水专项方案</w:t>
      </w:r>
      <w:bookmarkEnd w:id="21"/>
    </w:p>
    <w:p w14:paraId="43910C17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22" w:name="_Toc11550"/>
      <w:r>
        <w:rPr>
          <w:rFonts w:hint="eastAsia" w:ascii="宋体" w:hAnsi="宋体" w:eastAsia="宋体" w:cs="宋体"/>
          <w:b/>
          <w:sz w:val="24"/>
          <w:szCs w:val="21"/>
        </w:rPr>
        <w:t>6.1 结构设计标准</w:t>
      </w:r>
      <w:bookmarkEnd w:id="22"/>
    </w:p>
    <w:p w14:paraId="43C420CC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设计依据：GB 50009、GB 50011，7度抗震，50年一遇风压0.75kN/㎡</w:t>
      </w:r>
    </w:p>
    <w:p w14:paraId="59D52A84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抗风压：≥1.5kN/㎡，12级风安全；＞25m/s 自动复位至5°锁定</w:t>
      </w:r>
    </w:p>
    <w:p w14:paraId="79614056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位移控制：最大位移15.6mm，位移比1:96，满足规范限值</w:t>
      </w:r>
    </w:p>
    <w:p w14:paraId="1294EDCC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疲劳寿命：25年约18万次调整，关键部件无限寿命设计</w:t>
      </w:r>
    </w:p>
    <w:p w14:paraId="041D513B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23" w:name="_Toc29107"/>
      <w:r>
        <w:rPr>
          <w:rFonts w:hint="eastAsia" w:ascii="宋体" w:hAnsi="宋体" w:eastAsia="宋体" w:cs="宋体"/>
          <w:b/>
          <w:sz w:val="24"/>
          <w:szCs w:val="21"/>
        </w:rPr>
        <w:t>6.2 关键节点（N</w:t>
      </w:r>
      <w:r>
        <w:rPr>
          <w:rFonts w:hint="eastAsia" w:ascii="宋体" w:hAnsi="宋体" w:eastAsia="宋体" w:cs="宋体"/>
          <w:b/>
          <w:sz w:val="24"/>
          <w:szCs w:val="21"/>
          <w:lang w:val="en-US" w:eastAsia="zh-CN"/>
        </w:rPr>
        <w:t>-</w:t>
      </w:r>
      <w:r>
        <w:rPr>
          <w:rFonts w:hint="eastAsia" w:ascii="宋体" w:hAnsi="宋体" w:eastAsia="宋体" w:cs="宋体"/>
          <w:b/>
          <w:sz w:val="24"/>
          <w:szCs w:val="21"/>
        </w:rPr>
        <w:t>01）构造</w:t>
      </w:r>
      <w:bookmarkEnd w:id="23"/>
    </w:p>
    <w:p w14:paraId="221CA2A2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旋转轴：316L不锈钢φ50mm，Ra1.6，配合SKF 6208‑2RS 轴承</w:t>
      </w:r>
    </w:p>
    <w:p w14:paraId="3794D7D2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万向节：十字轴式，角度±30°，扭矩120Nm</w:t>
      </w:r>
    </w:p>
    <w:p w14:paraId="2D8FA5BC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防水体系：TPO环形泛水+三元乙丙动态密封，热焊接+机械固定</w:t>
      </w:r>
    </w:p>
    <w:p w14:paraId="2CA1ED1B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排水设计：导水槽坡度2%，旋转状态下排水畅通，无积水渗漏</w:t>
      </w:r>
    </w:p>
    <w:p w14:paraId="1F7D28C3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24" w:name="_Toc18449"/>
      <w:r>
        <w:rPr>
          <w:rFonts w:hint="eastAsia" w:ascii="宋体" w:hAnsi="宋体" w:eastAsia="宋体" w:cs="宋体"/>
          <w:b/>
          <w:sz w:val="24"/>
          <w:szCs w:val="21"/>
        </w:rPr>
        <w:t>6.3 防护等级</w:t>
      </w:r>
      <w:bookmarkEnd w:id="24"/>
    </w:p>
    <w:p w14:paraId="447605DC">
      <w:pPr>
        <w:rPr>
          <w:rFonts w:hint="eastAsia"/>
        </w:rPr>
      </w:pPr>
      <w:r>
        <w:rPr>
          <w:rFonts w:hint="eastAsia"/>
        </w:rPr>
        <w:t>整体IP67防护，防尘、防水、抗腐蚀，适用于沿海高盐雾环境。</w:t>
      </w:r>
    </w:p>
    <w:p w14:paraId="3BACE10B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25" w:name="_Toc23955"/>
      <w:r>
        <w:rPr>
          <w:rFonts w:hint="eastAsia"/>
          <w:b/>
          <w:sz w:val="32"/>
          <w:szCs w:val="20"/>
        </w:rPr>
        <w:t>七、施工与装配化专项方案</w:t>
      </w:r>
      <w:bookmarkEnd w:id="25"/>
    </w:p>
    <w:p w14:paraId="3F22893D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26" w:name="_Toc1133"/>
      <w:r>
        <w:rPr>
          <w:rFonts w:hint="eastAsia" w:ascii="宋体" w:hAnsi="宋体" w:eastAsia="宋体" w:cs="宋体"/>
          <w:b/>
          <w:sz w:val="24"/>
          <w:szCs w:val="21"/>
        </w:rPr>
        <w:t>7.1 施工流程</w:t>
      </w:r>
      <w:bookmarkEnd w:id="26"/>
    </w:p>
    <w:p w14:paraId="383DEFEF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基层处理：压型钢板→保温层→TPO防水基层</w:t>
      </w:r>
    </w:p>
    <w:p w14:paraId="5EF9F8C0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主龙骨安装：100mm×100mm×6mm热镀锌方管</w:t>
      </w:r>
    </w:p>
    <w:p w14:paraId="73D5FE49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节点安装：轴承座→旋转轴→万向节→电机减速器</w:t>
      </w:r>
    </w:p>
    <w:p w14:paraId="367B50E5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单元吊装：模块化屋面单元就位、固定、接线</w:t>
      </w:r>
    </w:p>
    <w:p w14:paraId="642996A3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系统调试：追踪精度、防水、发电、光环境联调</w:t>
      </w:r>
    </w:p>
    <w:p w14:paraId="48E4A6F0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27" w:name="_Toc1583"/>
      <w:r>
        <w:rPr>
          <w:rFonts w:hint="eastAsia" w:ascii="宋体" w:hAnsi="宋体" w:eastAsia="宋体" w:cs="宋体"/>
          <w:b/>
          <w:sz w:val="24"/>
          <w:szCs w:val="21"/>
        </w:rPr>
        <w:t>7.2 绿色施工要求</w:t>
      </w:r>
      <w:bookmarkEnd w:id="27"/>
    </w:p>
    <w:p w14:paraId="2F6B348E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装配化施工：工厂预制率≥85%，现场工期短</w:t>
      </w:r>
    </w:p>
    <w:p w14:paraId="4B010B23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环保控制：低噪音、低扬尘、无废水废气排放</w:t>
      </w:r>
    </w:p>
    <w:p w14:paraId="555232A1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质量管控：节点全数检测，防水闭水试验，追踪精度校准</w:t>
      </w:r>
    </w:p>
    <w:p w14:paraId="130D84EB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28" w:name="_Toc22699"/>
      <w:r>
        <w:rPr>
          <w:rFonts w:hint="eastAsia" w:ascii="宋体" w:hAnsi="宋体" w:eastAsia="宋体" w:cs="宋体"/>
          <w:b/>
          <w:sz w:val="24"/>
          <w:szCs w:val="21"/>
        </w:rPr>
        <w:t>7.3 既有建筑改造</w:t>
      </w:r>
      <w:bookmarkEnd w:id="28"/>
    </w:p>
    <w:p w14:paraId="74D88E4C">
      <w:pPr>
        <w:rPr>
          <w:rFonts w:hint="eastAsia"/>
        </w:rPr>
      </w:pPr>
      <w:r>
        <w:rPr>
          <w:rFonts w:hint="eastAsia"/>
        </w:rPr>
        <w:t>直接替换原有屋面板，不破坏结构、不影响室内使用，快速落地。</w:t>
      </w:r>
    </w:p>
    <w:p w14:paraId="2361BDA0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29" w:name="_Toc27100"/>
      <w:r>
        <w:rPr>
          <w:rFonts w:hint="eastAsia"/>
          <w:b/>
          <w:sz w:val="32"/>
          <w:szCs w:val="20"/>
        </w:rPr>
        <w:t>八、智能运行与维护专项方案</w:t>
      </w:r>
      <w:bookmarkEnd w:id="29"/>
    </w:p>
    <w:p w14:paraId="1DFCFAEF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0" w:name="_Toc11399"/>
      <w:r>
        <w:rPr>
          <w:rFonts w:hint="eastAsia" w:ascii="宋体" w:hAnsi="宋体" w:eastAsia="宋体" w:cs="宋体"/>
          <w:b/>
          <w:sz w:val="24"/>
          <w:szCs w:val="21"/>
        </w:rPr>
        <w:t>8.1 日间运行机制</w:t>
      </w:r>
      <w:bookmarkEnd w:id="30"/>
    </w:p>
    <w:p w14:paraId="21160186">
      <w:pPr>
        <w:rPr>
          <w:rFonts w:hint="eastAsia"/>
        </w:rPr>
      </w:pPr>
      <w:r>
        <w:rPr>
          <w:rFonts w:hint="eastAsia"/>
        </w:rPr>
        <w:t>06:00系统唤醒自检</w:t>
      </w:r>
    </w:p>
    <w:p w14:paraId="7C2BC41B">
      <w:pPr>
        <w:rPr>
          <w:rFonts w:hint="eastAsia"/>
        </w:rPr>
      </w:pPr>
      <w:r>
        <w:rPr>
          <w:rFonts w:hint="eastAsia"/>
        </w:rPr>
        <w:t>06:30东侧单元仰起追踪日出</w:t>
      </w:r>
    </w:p>
    <w:p w14:paraId="4751269A">
      <w:pPr>
        <w:rPr>
          <w:rFonts w:hint="eastAsia"/>
        </w:rPr>
      </w:pPr>
      <w:r>
        <w:rPr>
          <w:rFonts w:hint="eastAsia"/>
        </w:rPr>
        <w:t>12:00统一纬度角倾斜</w:t>
      </w:r>
    </w:p>
    <w:p w14:paraId="57735964">
      <w:pPr>
        <w:rPr>
          <w:rFonts w:hint="eastAsia"/>
        </w:rPr>
      </w:pPr>
      <w:r>
        <w:rPr>
          <w:rFonts w:hint="eastAsia"/>
        </w:rPr>
        <w:t>18:00西侧单元仰起，东侧复位</w:t>
      </w:r>
    </w:p>
    <w:p w14:paraId="11BBAE8B">
      <w:pPr>
        <w:rPr>
          <w:rFonts w:hint="eastAsia"/>
        </w:rPr>
      </w:pPr>
      <w:r>
        <w:rPr>
          <w:rFonts w:hint="eastAsia"/>
        </w:rPr>
        <w:t>19:30复位至5°排水角，LED 激活</w:t>
      </w:r>
    </w:p>
    <w:p w14:paraId="036135E6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1" w:name="_Toc4416"/>
      <w:r>
        <w:rPr>
          <w:rFonts w:hint="eastAsia" w:ascii="宋体" w:hAnsi="宋体" w:eastAsia="宋体" w:cs="宋体"/>
          <w:b/>
          <w:sz w:val="24"/>
          <w:szCs w:val="21"/>
        </w:rPr>
        <w:t>8.2 极端天气保护</w:t>
      </w:r>
      <w:bookmarkEnd w:id="31"/>
    </w:p>
    <w:p w14:paraId="144885C4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风速＞20m/s：60s内复位锁定</w:t>
      </w:r>
    </w:p>
    <w:p w14:paraId="5542FBAD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冰雹预警：120s内仰至30</w:t>
      </w:r>
      <w:r>
        <w:rPr>
          <w:rFonts w:hint="eastAsia"/>
          <w:lang w:val="en-US" w:eastAsia="zh-CN"/>
        </w:rPr>
        <w:t>°</w:t>
      </w:r>
      <w:r>
        <w:rPr>
          <w:rFonts w:hint="eastAsia"/>
        </w:rPr>
        <w:t>减冲击</w:t>
      </w:r>
    </w:p>
    <w:p w14:paraId="20D8EB3C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积雪超重：高频振动除雪</w:t>
      </w:r>
    </w:p>
    <w:p w14:paraId="3D3416E6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火灾报警：30s 内全开透光辅助排烟</w:t>
      </w:r>
    </w:p>
    <w:p w14:paraId="7EBE3842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2" w:name="_Toc28315"/>
      <w:r>
        <w:rPr>
          <w:rFonts w:hint="eastAsia" w:ascii="宋体" w:hAnsi="宋体" w:eastAsia="宋体" w:cs="宋体"/>
          <w:b/>
          <w:sz w:val="24"/>
          <w:szCs w:val="21"/>
        </w:rPr>
        <w:t>8.3 分级维护计划</w:t>
      </w:r>
      <w:bookmarkEnd w:id="32"/>
    </w:p>
    <w:p w14:paraId="44BF4A58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日常：远程监控发电量、电机电流、轴承温度、故障预警</w:t>
      </w:r>
    </w:p>
    <w:p w14:paraId="3A58889F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定期：每2年更换密封条；每5年检修轴承润滑；每10年评估电机</w:t>
      </w:r>
    </w:p>
    <w:p w14:paraId="19849CCD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应急：单单元独立更换，不影响系统整体运行</w:t>
      </w:r>
    </w:p>
    <w:p w14:paraId="498193E4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33" w:name="_Toc16103"/>
      <w:r>
        <w:rPr>
          <w:rFonts w:hint="eastAsia"/>
          <w:b/>
          <w:sz w:val="32"/>
          <w:szCs w:val="20"/>
        </w:rPr>
        <w:t>九、绿色效益与碳减排专项方案</w:t>
      </w:r>
      <w:bookmarkEnd w:id="33"/>
    </w:p>
    <w:p w14:paraId="3EC0AEF6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4" w:name="_Toc13338"/>
      <w:r>
        <w:rPr>
          <w:rFonts w:hint="eastAsia" w:ascii="宋体" w:hAnsi="宋体" w:eastAsia="宋体" w:cs="宋体"/>
          <w:b/>
          <w:sz w:val="24"/>
          <w:szCs w:val="21"/>
        </w:rPr>
        <w:t>9.1 能源效益</w:t>
      </w:r>
      <w:bookmarkEnd w:id="34"/>
    </w:p>
    <w:p w14:paraId="3E24B811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年发电增益：79890kWh</w:t>
      </w:r>
    </w:p>
    <w:p w14:paraId="2557B67E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年空调节电：13320kWh</w:t>
      </w:r>
    </w:p>
    <w:p w14:paraId="177D3444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等效满发小时：从 1324h提升至1856h</w:t>
      </w:r>
    </w:p>
    <w:p w14:paraId="5752914E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5" w:name="_Toc1198"/>
      <w:r>
        <w:rPr>
          <w:rFonts w:hint="eastAsia" w:ascii="宋体" w:hAnsi="宋体" w:eastAsia="宋体" w:cs="宋体"/>
          <w:b/>
          <w:sz w:val="24"/>
          <w:szCs w:val="21"/>
        </w:rPr>
        <w:t>9.2 经济效益</w:t>
      </w:r>
      <w:bookmarkEnd w:id="35"/>
    </w:p>
    <w:p w14:paraId="10E439E6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初始投资增量：+35%（约180万元）</w:t>
      </w:r>
    </w:p>
    <w:p w14:paraId="53A3FA22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年收益增益：5.46万元（电价0.8元/kWh）</w:t>
      </w:r>
    </w:p>
    <w:p w14:paraId="40D89362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投资回收期：3.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</w:p>
    <w:p w14:paraId="016312CC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25年总收益：136.5万元</w:t>
      </w:r>
    </w:p>
    <w:p w14:paraId="399F5E03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6" w:name="_Toc6935"/>
      <w:r>
        <w:rPr>
          <w:rFonts w:hint="eastAsia" w:ascii="宋体" w:hAnsi="宋体" w:eastAsia="宋体" w:cs="宋体"/>
          <w:b/>
          <w:sz w:val="24"/>
          <w:szCs w:val="21"/>
        </w:rPr>
        <w:t>9.3 环境效益</w:t>
      </w:r>
      <w:bookmarkEnd w:id="36"/>
    </w:p>
    <w:p w14:paraId="5E4E040F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25年碳减排：约850吨CO₂</w:t>
      </w:r>
    </w:p>
    <w:p w14:paraId="533ACB97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减少化石能源消耗，降低城市热岛效应</w:t>
      </w:r>
    </w:p>
    <w:p w14:paraId="170D7A72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动态第五立面，提升建筑美学与城市景观</w:t>
      </w:r>
    </w:p>
    <w:p w14:paraId="269913EF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37" w:name="_Toc13662"/>
      <w:r>
        <w:rPr>
          <w:rFonts w:hint="eastAsia"/>
          <w:b/>
          <w:sz w:val="32"/>
          <w:szCs w:val="20"/>
        </w:rPr>
        <w:t>十、质量保证与验收专项方案</w:t>
      </w:r>
      <w:bookmarkEnd w:id="37"/>
    </w:p>
    <w:p w14:paraId="78F94820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8" w:name="_Toc11316"/>
      <w:r>
        <w:rPr>
          <w:rFonts w:hint="eastAsia" w:ascii="宋体" w:hAnsi="宋体" w:eastAsia="宋体" w:cs="宋体"/>
          <w:b/>
          <w:sz w:val="24"/>
          <w:szCs w:val="21"/>
        </w:rPr>
        <w:t>10.1 验收依据</w:t>
      </w:r>
      <w:bookmarkEnd w:id="38"/>
    </w:p>
    <w:p w14:paraId="2856BE74">
      <w:pPr>
        <w:rPr>
          <w:rFonts w:hint="eastAsia"/>
        </w:rPr>
      </w:pPr>
      <w:r>
        <w:rPr>
          <w:rFonts w:hint="eastAsia"/>
        </w:rPr>
        <w:t>绿色建筑相关规范、系统技术标准、仿真报告、合同要求</w:t>
      </w:r>
    </w:p>
    <w:p w14:paraId="7F1523A2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39" w:name="_Toc7202"/>
      <w:r>
        <w:rPr>
          <w:rFonts w:hint="eastAsia" w:ascii="宋体" w:hAnsi="宋体" w:eastAsia="宋体" w:cs="宋体"/>
          <w:b/>
          <w:sz w:val="24"/>
          <w:szCs w:val="21"/>
        </w:rPr>
        <w:t>10.2 验收内容</w:t>
      </w:r>
      <w:bookmarkEnd w:id="39"/>
    </w:p>
    <w:p w14:paraId="155E939A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发电效率：较固定光伏提升率≥35%</w:t>
      </w:r>
    </w:p>
    <w:p w14:paraId="1CF8FE70"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追踪精度：≤2°</w:t>
      </w:r>
    </w:p>
    <w:p w14:paraId="28BD0665"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防水密封：闭水试验无渗漏</w:t>
      </w:r>
    </w:p>
    <w:p w14:paraId="073960CF"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光环境：采光系数、眩光值达标</w:t>
      </w:r>
    </w:p>
    <w:p w14:paraId="4AD65FBF">
      <w:pPr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结构安全：位移、应力、抗风压满足规范</w:t>
      </w:r>
    </w:p>
    <w:p w14:paraId="11855B55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智能运维：监控、报警、保护功能正常</w:t>
      </w:r>
    </w:p>
    <w:p w14:paraId="336992C8">
      <w:pPr>
        <w:pStyle w:val="3"/>
        <w:bidi w:val="0"/>
        <w:rPr>
          <w:rFonts w:hint="eastAsia" w:ascii="宋体" w:hAnsi="宋体" w:eastAsia="宋体" w:cs="宋体"/>
          <w:b/>
          <w:sz w:val="24"/>
          <w:szCs w:val="21"/>
        </w:rPr>
      </w:pPr>
      <w:bookmarkStart w:id="40" w:name="_Toc7864"/>
      <w:r>
        <w:rPr>
          <w:rFonts w:hint="eastAsia" w:ascii="宋体" w:hAnsi="宋体" w:eastAsia="宋体" w:cs="宋体"/>
          <w:b/>
          <w:sz w:val="24"/>
          <w:szCs w:val="21"/>
        </w:rPr>
        <w:t>10.3 质量承诺</w:t>
      </w:r>
      <w:bookmarkEnd w:id="40"/>
    </w:p>
    <w:p w14:paraId="22225DD9">
      <w:pPr>
        <w:rPr>
          <w:rFonts w:hint="eastAsia"/>
        </w:rPr>
      </w:pPr>
      <w:r>
        <w:rPr>
          <w:rFonts w:hint="eastAsia"/>
        </w:rPr>
        <w:t>系统质保：5年</w:t>
      </w:r>
    </w:p>
    <w:p w14:paraId="4608B5DE">
      <w:pPr>
        <w:rPr>
          <w:rFonts w:hint="eastAsia"/>
        </w:rPr>
      </w:pPr>
      <w:r>
        <w:rPr>
          <w:rFonts w:hint="eastAsia"/>
        </w:rPr>
        <w:t>设计寿命：25年</w:t>
      </w:r>
    </w:p>
    <w:p w14:paraId="41E98322">
      <w:pPr>
        <w:rPr>
          <w:rFonts w:hint="eastAsia"/>
        </w:rPr>
      </w:pPr>
      <w:r>
        <w:rPr>
          <w:rFonts w:hint="eastAsia"/>
        </w:rPr>
        <w:t>终身运维服务与技术支持</w:t>
      </w:r>
    </w:p>
    <w:p w14:paraId="590199FD">
      <w:pPr>
        <w:pStyle w:val="2"/>
        <w:bidi w:val="0"/>
        <w:jc w:val="center"/>
        <w:rPr>
          <w:rFonts w:hint="eastAsia"/>
          <w:b/>
          <w:sz w:val="32"/>
          <w:szCs w:val="20"/>
        </w:rPr>
      </w:pPr>
      <w:bookmarkStart w:id="41" w:name="_Toc28871"/>
      <w:r>
        <w:rPr>
          <w:rFonts w:hint="eastAsia"/>
          <w:b/>
          <w:sz w:val="32"/>
          <w:szCs w:val="20"/>
        </w:rPr>
        <w:t>十一、专项方案结论</w:t>
      </w:r>
      <w:bookmarkEnd w:id="41"/>
    </w:p>
    <w:p w14:paraId="6D3B3D8F">
      <w:pPr>
        <w:rPr>
          <w:rFonts w:hint="eastAsia"/>
        </w:rPr>
      </w:pPr>
      <w:r>
        <w:rPr>
          <w:rFonts w:hint="eastAsia"/>
        </w:rPr>
        <w:t>本光追踪自适应角度太阳能屋面系统绿色建筑专项方案，以双轴光追踪、模块化集成、动态光热调控、智能安全运维为核心，全面覆盖绿色建筑节能、节材、室内环境、施工、运维、创新六大维度，各项指标均优于国家标准，可强力支撑项目达到绿色建筑二星级及以上。</w:t>
      </w:r>
    </w:p>
    <w:p w14:paraId="2E50F906">
      <w:r>
        <w:rPr>
          <w:rFonts w:hint="eastAsia"/>
        </w:rPr>
        <w:t>系统技术成熟、落地性强、效益显著，适用于夏热冬暖地区公共建筑新建与改造，是绿色建筑高性能可再生能源应用的典型方案。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4E4F0">
    <w:pPr>
      <w:pStyle w:val="4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45B45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45B45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87A50"/>
    <w:rsid w:val="777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semiHidden/>
    <w:unhideWhenUsed/>
    <w:uiPriority w:val="39"/>
  </w:style>
  <w:style w:type="paragraph" w:styleId="7">
    <w:name w:val="toc 2"/>
    <w:basedOn w:val="1"/>
    <w:next w:val="1"/>
    <w:semiHidden/>
    <w:unhideWhenUsed/>
    <w:uiPriority w:val="39"/>
    <w:pPr>
      <w:ind w:left="420" w:leftChars="200"/>
    </w:pPr>
  </w:style>
  <w:style w:type="paragraph" w:customStyle="1" w:styleId="10">
    <w:name w:val="分类号"/>
    <w:basedOn w:val="1"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1">
    <w:name w:val="封面日期"/>
    <w:basedOn w:val="1"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2">
    <w:name w:val="论文标题"/>
    <w:basedOn w:val="1"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3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4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lengthwise1"/>
      <sectRole val="1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2026-03-29T11:20:00Z</dcterms:created>
  <dc:creator>Freya</dc:creator>
  <cp:lastModifiedBy>Freya</cp:lastModifiedBy>
  <dcterms:modified xsi:type="dcterms:W3CDTF">2026-03-29T11:33:47Z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CDD4D923F7E942FE9BD729ED46324AE1_11</vt:lpwstr>
  </property>
  <property fmtid="{D5CDD505-2E9C-101B-9397-08002B2CF9AE}" pid="4" name="KSOTemplateDocerSaveRecord">
    <vt:lpwstr>eyJoZGlkIjoiZGJiY2ZkNGMwZDg4OGQ2YTQ2ODMwNWNkM2M3MTEyMjAiLCJ1c2VySWQiOiI4MzgzNzM0MDUifQ==</vt:lpwstr>
  </property>
</Properties>
</file>