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4C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基于喷灌与滴灌系统的屋顶—底部花园</w:t>
      </w:r>
    </w:p>
    <w:p w14:paraId="02AFF9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center"/>
        <w:textAlignment w:val="auto"/>
        <w:rPr>
          <w:rFonts w:hint="eastAsia" w:ascii="方正公文仿宋" w:hAnsi="方正公文仿宋" w:eastAsia="方正公文仿宋" w:cs="方正公文仿宋"/>
          <w:sz w:val="32"/>
          <w:szCs w:val="32"/>
        </w:rPr>
      </w:pPr>
      <w:r>
        <w:rPr>
          <w:rFonts w:hint="eastAsia" w:ascii="方正公文仿宋" w:hAnsi="方正公文仿宋" w:eastAsia="方正公文仿宋" w:cs="方正公文仿宋"/>
          <w:sz w:val="32"/>
          <w:szCs w:val="32"/>
        </w:rPr>
        <w:t>绿色生态技术应用说明</w:t>
      </w:r>
      <w:bookmarkStart w:id="0" w:name="_GoBack"/>
      <w:bookmarkEnd w:id="0"/>
    </w:p>
    <w:p w14:paraId="0B9B9AA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技术概述与选用背景</w:t>
      </w:r>
    </w:p>
    <w:p w14:paraId="366B9D8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在建筑屋顶及首层室外空间引入喷灌与滴灌相结合的立体绿化花园系统，形成“屋顶花园—底部花园”连续生态体系。该技术通过高效节水灌溉方式，提升建筑热工性能、雨洪调蓄能力及室外微气候舒适度，是一种兼顾生态效益与工程可实施性的绿色技术。</w:t>
      </w:r>
    </w:p>
    <w:p w14:paraId="5570501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绿色技术应用说明</w:t>
      </w:r>
    </w:p>
    <w:p w14:paraId="37DFAC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 xml:space="preserve"> 技术定义：</w:t>
      </w:r>
      <w:r>
        <w:rPr>
          <w:rFonts w:hint="eastAsia" w:ascii="仿宋" w:hAnsi="仿宋" w:eastAsia="仿宋" w:cs="仿宋"/>
          <w:kern w:val="2"/>
          <w:sz w:val="24"/>
          <w:szCs w:val="24"/>
          <w:lang w:val="en-US" w:eastAsia="zh-CN" w:bidi="ar-SA"/>
        </w:rPr>
        <w:t>集成土壤湿度传感器、气象数据接口的智能化喷灌滴灌系统，针对屋顶花园与底部花园不同植被需水特性进行分区精准灌溉。</w:t>
      </w:r>
    </w:p>
    <w:p w14:paraId="363523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技术可行性：</w:t>
      </w:r>
      <w:r>
        <w:rPr>
          <w:rFonts w:hint="eastAsia" w:ascii="仿宋" w:hAnsi="仿宋" w:eastAsia="仿宋" w:cs="仿宋"/>
          <w:kern w:val="2"/>
          <w:sz w:val="24"/>
          <w:szCs w:val="24"/>
          <w:lang w:val="en-US" w:eastAsia="zh-CN" w:bidi="ar-SA"/>
        </w:rPr>
        <w:t>采用成熟物联网技术，模块化设计，施工便捷，维护简单。节水率可达40%-60%以上。</w:t>
      </w:r>
    </w:p>
    <w:p w14:paraId="56A9B6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艺术性：</w:t>
      </w:r>
      <w:r>
        <w:rPr>
          <w:rFonts w:hint="eastAsia" w:ascii="仿宋" w:hAnsi="仿宋" w:eastAsia="仿宋" w:cs="仿宋"/>
          <w:kern w:val="2"/>
          <w:sz w:val="24"/>
          <w:szCs w:val="24"/>
          <w:lang w:val="en-US" w:eastAsia="zh-CN" w:bidi="ar-SA"/>
        </w:rPr>
        <w:t>隐蔽式滴灌管与喷头设计，不影响景观整体美学。通过植被的精细化养护，保障四季景观效果，提升建筑生态意象。</w:t>
      </w:r>
    </w:p>
    <w:p w14:paraId="05C4CC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多专业适配：</w:t>
      </w:r>
      <w:r>
        <w:rPr>
          <w:rFonts w:hint="eastAsia" w:ascii="仿宋" w:hAnsi="仿宋" w:eastAsia="仿宋" w:cs="仿宋"/>
          <w:kern w:val="2"/>
          <w:sz w:val="24"/>
          <w:szCs w:val="24"/>
          <w:lang w:val="en-US" w:eastAsia="zh-CN" w:bidi="ar-SA"/>
        </w:rPr>
        <w:t>与景观专业协同设计植被配置与灌溉分区；与给排水专业统筹雨水回收系统作为灌溉水源；与电气智能化专业集成控制模块。</w:t>
      </w:r>
    </w:p>
    <w:p w14:paraId="4EF867E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技术可行性与多专业协同适配性分析</w:t>
      </w:r>
    </w:p>
    <w:p w14:paraId="406004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该系统技术成熟、施工标准明确，适配性强。</w:t>
      </w:r>
    </w:p>
    <w:p w14:paraId="36B5B02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u w:val="single"/>
          <w:lang w:val="en-US" w:eastAsia="zh-CN" w:bidi="ar-SA"/>
        </w:rPr>
        <w:t>建筑专业：</w:t>
      </w:r>
      <w:r>
        <w:rPr>
          <w:rFonts w:hint="eastAsia" w:ascii="仿宋" w:hAnsi="仿宋" w:eastAsia="仿宋" w:cs="仿宋"/>
          <w:kern w:val="2"/>
          <w:sz w:val="24"/>
          <w:szCs w:val="24"/>
          <w:lang w:val="en-US" w:eastAsia="zh-CN" w:bidi="ar-SA"/>
        </w:rPr>
        <w:t>屋顶花园与建筑体量退台结合，形成第五立面景观</w:t>
      </w:r>
    </w:p>
    <w:p w14:paraId="328C32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u w:val="single"/>
          <w:lang w:val="en-US" w:eastAsia="zh-CN" w:bidi="ar-SA"/>
        </w:rPr>
        <w:t>给排水专业：</w:t>
      </w:r>
      <w:r>
        <w:rPr>
          <w:rFonts w:hint="eastAsia" w:ascii="仿宋" w:hAnsi="仿宋" w:eastAsia="仿宋" w:cs="仿宋"/>
          <w:kern w:val="2"/>
          <w:sz w:val="24"/>
          <w:szCs w:val="24"/>
          <w:lang w:val="en-US" w:eastAsia="zh-CN" w:bidi="ar-SA"/>
        </w:rPr>
        <w:t>滴灌系统与雨水回收系统协同，减少市政补水</w:t>
      </w:r>
    </w:p>
    <w:p w14:paraId="7295FA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u w:val="single"/>
          <w:lang w:val="en-US" w:eastAsia="zh-CN" w:bidi="ar-SA"/>
        </w:rPr>
        <w:t>结构专业：</w:t>
      </w:r>
      <w:r>
        <w:rPr>
          <w:rFonts w:hint="eastAsia" w:ascii="仿宋" w:hAnsi="仿宋" w:eastAsia="仿宋" w:cs="仿宋"/>
          <w:kern w:val="2"/>
          <w:sz w:val="24"/>
          <w:szCs w:val="24"/>
          <w:lang w:val="en-US" w:eastAsia="zh-CN" w:bidi="ar-SA"/>
        </w:rPr>
        <w:t>轻质种植基质控制屋面恒载</w:t>
      </w:r>
    </w:p>
    <w:p w14:paraId="5B7134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u w:val="single"/>
          <w:lang w:val="en-US" w:eastAsia="zh-CN" w:bidi="ar-SA"/>
        </w:rPr>
        <w:t>景观专业：</w:t>
      </w:r>
      <w:r>
        <w:rPr>
          <w:rFonts w:hint="eastAsia" w:ascii="仿宋" w:hAnsi="仿宋" w:eastAsia="仿宋" w:cs="仿宋"/>
          <w:kern w:val="2"/>
          <w:sz w:val="24"/>
          <w:szCs w:val="24"/>
          <w:lang w:val="en-US" w:eastAsia="zh-CN" w:bidi="ar-SA"/>
        </w:rPr>
        <w:t>耐旱本土植物降低维护成本</w:t>
      </w:r>
    </w:p>
    <w:p w14:paraId="3082C87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 建筑节点选取与技术融入策略</w:t>
      </w:r>
    </w:p>
    <w:p w14:paraId="06F44A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节点选取：屋顶花园种植屋面节点</w:t>
      </w:r>
    </w:p>
    <w:p w14:paraId="319F5E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喷灌用于植物初期养护，稳定后以滴灌为主。</w:t>
      </w:r>
    </w:p>
    <w:p w14:paraId="5412042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lang w:val="en-US" w:eastAsia="zh-CN"/>
        </w:rPr>
      </w:pPr>
      <w:r>
        <w:drawing>
          <wp:inline distT="0" distB="0" distL="114300" distR="114300">
            <wp:extent cx="4972050" cy="5372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72050" cy="5372100"/>
                    </a:xfrm>
                    <a:prstGeom prst="rect">
                      <a:avLst/>
                    </a:prstGeom>
                    <a:noFill/>
                    <a:ln>
                      <a:noFill/>
                    </a:ln>
                  </pic:spPr>
                </pic:pic>
              </a:graphicData>
            </a:graphic>
          </wp:inline>
        </w:drawing>
      </w:r>
    </w:p>
    <w:p w14:paraId="4513E1A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5.节点构造做法与材料参数说明</w:t>
      </w:r>
    </w:p>
    <w:tbl>
      <w:tblPr>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15"/>
        <w:gridCol w:w="2237"/>
        <w:gridCol w:w="3951"/>
      </w:tblGrid>
      <w:tr w14:paraId="71FE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291" w:type="pct"/>
            <w:tcBorders>
              <w:top w:val="single" w:color="auto" w:sz="4" w:space="0"/>
              <w:left w:val="single" w:color="auto" w:sz="0" w:space="0"/>
              <w:bottom w:val="single" w:color="auto" w:sz="4" w:space="0"/>
              <w:right w:val="single" w:color="auto" w:sz="4" w:space="0"/>
            </w:tcBorders>
            <w:shd w:val="clear"/>
            <w:vAlign w:val="center"/>
          </w:tcPr>
          <w:p w14:paraId="6B38BBD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构造层</w:t>
            </w:r>
          </w:p>
        </w:tc>
        <w:tc>
          <w:tcPr>
            <w:tcW w:w="1313" w:type="pct"/>
            <w:tcBorders>
              <w:top w:val="single" w:color="auto" w:sz="4" w:space="0"/>
              <w:left w:val="single" w:color="auto" w:sz="4" w:space="0"/>
              <w:bottom w:val="single" w:color="auto" w:sz="4" w:space="0"/>
              <w:right w:val="single" w:color="auto" w:sz="4" w:space="0"/>
            </w:tcBorders>
            <w:shd w:val="clear"/>
            <w:vAlign w:val="center"/>
          </w:tcPr>
          <w:p w14:paraId="056614F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材料</w:t>
            </w:r>
          </w:p>
        </w:tc>
        <w:tc>
          <w:tcPr>
            <w:tcW w:w="2323" w:type="pct"/>
            <w:tcBorders>
              <w:top w:val="single" w:color="auto" w:sz="4" w:space="0"/>
              <w:left w:val="single" w:color="auto" w:sz="4" w:space="0"/>
              <w:bottom w:val="single" w:color="auto" w:sz="4" w:space="0"/>
              <w:right w:val="single" w:color="auto" w:sz="4" w:space="0"/>
            </w:tcBorders>
            <w:shd w:val="clear"/>
            <w:vAlign w:val="center"/>
          </w:tcPr>
          <w:p w14:paraId="034AFC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参数</w:t>
            </w:r>
          </w:p>
        </w:tc>
      </w:tr>
      <w:tr w14:paraId="23E7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291" w:type="pct"/>
            <w:tcBorders>
              <w:top w:val="single" w:color="auto" w:sz="4" w:space="0"/>
              <w:left w:val="single" w:color="auto" w:sz="4" w:space="0"/>
              <w:bottom w:val="single" w:color="auto" w:sz="4" w:space="0"/>
              <w:right w:val="single" w:color="auto" w:sz="4" w:space="0"/>
            </w:tcBorders>
            <w:shd w:val="clear"/>
            <w:vAlign w:val="center"/>
          </w:tcPr>
          <w:p w14:paraId="3269C0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种植土</w:t>
            </w:r>
          </w:p>
        </w:tc>
        <w:tc>
          <w:tcPr>
            <w:tcW w:w="1313" w:type="pct"/>
            <w:tcBorders>
              <w:top w:val="single" w:color="auto" w:sz="4" w:space="0"/>
              <w:left w:val="single" w:color="auto" w:sz="4" w:space="0"/>
              <w:bottom w:val="single" w:color="auto" w:sz="4" w:space="0"/>
              <w:right w:val="single" w:color="auto" w:sz="4" w:space="0"/>
            </w:tcBorders>
            <w:shd w:val="clear"/>
            <w:vAlign w:val="center"/>
          </w:tcPr>
          <w:p w14:paraId="75DDF24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轻质基质土</w:t>
            </w:r>
          </w:p>
        </w:tc>
        <w:tc>
          <w:tcPr>
            <w:tcW w:w="2323" w:type="pct"/>
            <w:tcBorders>
              <w:top w:val="single" w:color="auto" w:sz="4" w:space="0"/>
              <w:left w:val="single" w:color="auto" w:sz="4" w:space="0"/>
              <w:bottom w:val="single" w:color="auto" w:sz="4" w:space="0"/>
              <w:right w:val="single" w:color="auto" w:sz="4" w:space="0"/>
            </w:tcBorders>
            <w:shd w:val="clear"/>
            <w:vAlign w:val="center"/>
          </w:tcPr>
          <w:p w14:paraId="28A3BB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容重 ≤ 1.3kN/m³</w:t>
            </w:r>
          </w:p>
        </w:tc>
      </w:tr>
      <w:tr w14:paraId="5324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291" w:type="pct"/>
            <w:tcBorders>
              <w:top w:val="single" w:color="auto" w:sz="4" w:space="0"/>
              <w:left w:val="single" w:color="auto" w:sz="4" w:space="0"/>
              <w:bottom w:val="single" w:color="auto" w:sz="4" w:space="0"/>
              <w:right w:val="single" w:color="auto" w:sz="4" w:space="0"/>
            </w:tcBorders>
            <w:shd w:val="clear"/>
            <w:vAlign w:val="center"/>
          </w:tcPr>
          <w:p w14:paraId="5762176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排水层</w:t>
            </w:r>
          </w:p>
        </w:tc>
        <w:tc>
          <w:tcPr>
            <w:tcW w:w="1313" w:type="pct"/>
            <w:tcBorders>
              <w:top w:val="single" w:color="auto" w:sz="4" w:space="0"/>
              <w:left w:val="single" w:color="auto" w:sz="4" w:space="0"/>
              <w:bottom w:val="single" w:color="auto" w:sz="4" w:space="0"/>
              <w:right w:val="single" w:color="auto" w:sz="4" w:space="0"/>
            </w:tcBorders>
            <w:shd w:val="clear"/>
            <w:vAlign w:val="center"/>
          </w:tcPr>
          <w:p w14:paraId="6BC43BF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HDPE 排水板</w:t>
            </w:r>
          </w:p>
        </w:tc>
        <w:tc>
          <w:tcPr>
            <w:tcW w:w="2323" w:type="pct"/>
            <w:tcBorders>
              <w:top w:val="single" w:color="auto" w:sz="4" w:space="0"/>
              <w:left w:val="single" w:color="auto" w:sz="4" w:space="0"/>
              <w:bottom w:val="single" w:color="auto" w:sz="4" w:space="0"/>
              <w:right w:val="single" w:color="auto" w:sz="4" w:space="0"/>
            </w:tcBorders>
            <w:shd w:val="clear"/>
            <w:vAlign w:val="center"/>
          </w:tcPr>
          <w:p w14:paraId="0BD0926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排水量 ≥ 20L/m²·s</w:t>
            </w:r>
          </w:p>
        </w:tc>
      </w:tr>
      <w:tr w14:paraId="59A5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291" w:type="pct"/>
            <w:tcBorders>
              <w:top w:val="single" w:color="auto" w:sz="4" w:space="0"/>
              <w:left w:val="single" w:color="auto" w:sz="4" w:space="0"/>
              <w:bottom w:val="single" w:color="auto" w:sz="4" w:space="0"/>
              <w:right w:val="single" w:color="auto" w:sz="4" w:space="0"/>
            </w:tcBorders>
            <w:shd w:val="clear"/>
            <w:vAlign w:val="center"/>
          </w:tcPr>
          <w:p w14:paraId="475B7EC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滴灌管</w:t>
            </w:r>
          </w:p>
        </w:tc>
        <w:tc>
          <w:tcPr>
            <w:tcW w:w="1313" w:type="pct"/>
            <w:tcBorders>
              <w:top w:val="single" w:color="auto" w:sz="4" w:space="0"/>
              <w:left w:val="single" w:color="auto" w:sz="4" w:space="0"/>
              <w:bottom w:val="single" w:color="auto" w:sz="4" w:space="0"/>
              <w:right w:val="single" w:color="auto" w:sz="4" w:space="0"/>
            </w:tcBorders>
            <w:shd w:val="clear"/>
            <w:vAlign w:val="center"/>
          </w:tcPr>
          <w:p w14:paraId="7183AC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PE 微灌管</w:t>
            </w:r>
          </w:p>
        </w:tc>
        <w:tc>
          <w:tcPr>
            <w:tcW w:w="2323" w:type="pct"/>
            <w:tcBorders>
              <w:top w:val="single" w:color="auto" w:sz="4" w:space="0"/>
              <w:left w:val="single" w:color="auto" w:sz="4" w:space="0"/>
              <w:bottom w:val="single" w:color="auto" w:sz="4" w:space="0"/>
              <w:right w:val="single" w:color="auto" w:sz="4" w:space="0"/>
            </w:tcBorders>
            <w:shd w:val="clear"/>
            <w:vAlign w:val="center"/>
          </w:tcPr>
          <w:p w14:paraId="7CFE1D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出水量 2L/h</w:t>
            </w:r>
          </w:p>
        </w:tc>
      </w:tr>
    </w:tbl>
    <w:p w14:paraId="2750727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 综合评估</w:t>
      </w:r>
    </w:p>
    <w:p w14:paraId="16C7EC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该系统在节水、降温、生态与景观方面均具有显著效果，技术成熟度高，具备实际工程落地条件。</w:t>
      </w:r>
    </w:p>
    <w:p w14:paraId="7C06E701">
      <w:pPr>
        <w:keepNext w:val="0"/>
        <w:keepLines w:val="0"/>
        <w:pageBreakBefore w:val="0"/>
        <w:kinsoku/>
        <w:wordWrap/>
        <w:overflowPunct/>
        <w:topLinePunct w:val="0"/>
        <w:autoSpaceDE/>
        <w:autoSpaceDN/>
        <w:bidi w:val="0"/>
        <w:adjustRightInd/>
        <w:snapToGrid/>
        <w:spacing w:beforeAutospacing="0" w:afterAutospacing="0" w:line="288" w:lineRule="auto"/>
        <w:textAlignment w:val="auto"/>
        <w:rPr>
          <w:rFonts w:hint="eastAsia" w:ascii="仿宋" w:hAnsi="仿宋" w:eastAsia="仿宋" w:cs="仿宋"/>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仿宋_GB18030">
    <w:altName w:val="方正仿宋_GB18030"/>
    <w:panose1 w:val="02000000000000000000"/>
    <w:charset w:val="86"/>
    <w:family w:val="auto"/>
    <w:pitch w:val="default"/>
    <w:sig w:usb0="00000001" w:usb1="08000000" w:usb2="00000000" w:usb3="00000000" w:csb0="00040000" w:csb1="00000000"/>
  </w:font>
  <w:font w:name="方正公文仿宋">
    <w:panose1 w:val="02000500000000000000"/>
    <w:charset w:val="86"/>
    <w:family w:val="auto"/>
    <w:pitch w:val="default"/>
    <w:sig w:usb0="A00002BF" w:usb1="38CF7CFA" w:usb2="00000016" w:usb3="00000000" w:csb0="00040001" w:csb1="00000000"/>
    <w:embedRegular r:id="rId1" w:fontKey="{A8F75DCE-9EAB-435C-9D71-95790AFE1312}"/>
  </w:font>
  <w:font w:name="仿宋">
    <w:panose1 w:val="02010609060101010101"/>
    <w:charset w:val="86"/>
    <w:family w:val="modern"/>
    <w:pitch w:val="default"/>
    <w:sig w:usb0="800002BF" w:usb1="38CF7CFA" w:usb2="00000016" w:usb3="00000000" w:csb0="00040001" w:csb1="00000000"/>
    <w:embedRegular r:id="rId2" w:fontKey="{73CD9A91-2C1F-4774-B8EE-9EF443967082}"/>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547D8"/>
    <w:rsid w:val="64CA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2025-08-04T02:22:00Z</dcterms:created>
  <dc:creator>Lenovo</dc:creator>
  <cp:lastModifiedBy>WPS_1664885210</cp:lastModifiedBy>
  <dcterms:modified xsi:type="dcterms:W3CDTF">2026-01-03T16:27:42Z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ZOTERO_PREF_1">
    <vt:lpwstr>1</vt:lpwstr>
  </property>
  <property fmtid="{D5CDD505-2E9C-101B-9397-08002B2CF9AE}" pid="4" name="ZOTERO_PREF_2">
    <vt:lpwstr>1</vt:lpwstr>
  </property>
  <property fmtid="{D5CDD505-2E9C-101B-9397-08002B2CF9AE}" pid="5" name="KSOTemplateDocerSaveRecord">
    <vt:lpwstr>eyJoZGlkIjoiODRhODQ4N2I2MzAwN2EwYzFkZGVlNTNlZDJmNTExMzkiLCJ1c2VySWQiOiIxNDE3MjU4MTgxIn0=</vt:lpwstr>
  </property>
  <property fmtid="{D5CDD505-2E9C-101B-9397-08002B2CF9AE}" pid="6" name="ICV">
    <vt:lpwstr>3244A9C4626A433D81A7D16DB513A6A6_12</vt:lpwstr>
  </property>
</Properties>
</file>