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AC1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方正公文仿宋" w:hAnsi="方正公文仿宋" w:eastAsia="方正公文仿宋" w:cs="方正公文仿宋"/>
          <w:b/>
          <w:bCs/>
          <w:kern w:val="44"/>
          <w:sz w:val="32"/>
          <w:szCs w:val="32"/>
          <w:lang w:val="en-US" w:eastAsia="zh-CN" w:bidi="ar"/>
        </w:rPr>
        <w:t>基于热压通风原理的北向高侧天窗智能化启闭系统</w:t>
      </w:r>
    </w:p>
    <w:p w14:paraId="2B74251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 绿色技术应用说明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技术定义：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在建筑北向屋顶设置可开启高侧天窗，利用室内外温差产生的热压，引导室内热空气上升排出，促进自然通风。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技术可行性：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天窗产品及电动开启机构成熟，控制策略简单有效。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艺术性：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 窗作为屋顶的构图元素，其排列形式增强建筑韵律。夜间可结合灯光设计，成为视觉焦点。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多专业适配：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与结构专业设计天窗井道及加固；与电气专业设计风雨感温联动控制；与暖通专业界定自然通风与机械通风的切换策略。</w:t>
      </w:r>
    </w:p>
    <w:p w14:paraId="0E9050C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 针对性建筑节点深化阐述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（以北向天窗与屋面交接的防水、保温及启闭机构节点为例）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节点位置：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天窗窗框与混凝土屋面结构连接处。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融入措施：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1. 防水构造：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采用“结构反坎+金属防水板+密封胶”三级防水。窗框安装在反坎上，金属防水板覆盖反坎与屋面防水层搭接。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2. 保温延续：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天窗采用断桥铝合金型材及中空Low-E玻璃，窗框周边填充防火保温材料，避免冷桥。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 启闭机构：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电动推杆或链式开窗机内置于结构井道侧壁，与天窗扇连接，控制中心远程控制。</w:t>
      </w:r>
    </w:p>
    <w:p w14:paraId="7C06E70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3.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节点大样图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drawing>
          <wp:inline distT="0" distB="0" distL="114300" distR="114300">
            <wp:extent cx="5266055" cy="36849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CD98CB64-A132-435B-A46E-D1EA8BB07B85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B8A7F36-341A-4E65-9320-00C905CB6B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CDF9DF-0248-427F-91C9-7C774B6680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A42A0"/>
    <w:rsid w:val="64C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2025-08-04T02:22:00Z</dcterms:created>
  <dc:creator>Lenovo</dc:creator>
  <cp:lastModifiedBy>WPS_1664885210</cp:lastModifiedBy>
  <dcterms:modified xsi:type="dcterms:W3CDTF">2026-01-03T16:42:45Z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ZOTERO_PREF_1">
    <vt:lpwstr>1</vt:lpwstr>
  </property>
  <property fmtid="{D5CDD505-2E9C-101B-9397-08002B2CF9AE}" pid="4" name="ZOTERO_PREF_2">
    <vt:lpwstr>1</vt:lpwstr>
  </property>
  <property fmtid="{D5CDD505-2E9C-101B-9397-08002B2CF9AE}" pid="5" name="KSOTemplateDocerSaveRecord">
    <vt:lpwstr>eyJoZGlkIjoiODRhODQ4N2I2MzAwN2EwYzFkZGVlNTNlZDJmNTExMzkiLCJ1c2VySWQiOiIxNDE3MjU4MTgxIn0=</vt:lpwstr>
  </property>
  <property fmtid="{D5CDD505-2E9C-101B-9397-08002B2CF9AE}" pid="6" name="ICV">
    <vt:lpwstr>3244A9C4626A433D81A7D16DB513A6A6_12</vt:lpwstr>
  </property>
</Properties>
</file>