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7" w:name="_GoBack"/>
      <w:bookmarkEnd w:id="37"/>
    </w:p>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0"/>
              </w:rPr>
              <w:t>结露检查计算</w:t>
            </w:r>
            <w:r>
              <w:rPr>
                <w:rFonts w:hint="eastAsia" w:ascii="微软雅黑" w:hAnsi="微软雅黑" w:eastAsia="微软雅黑"/>
                <w:b/>
                <w:bCs/>
                <w:kern w:val="0"/>
                <w:sz w:val="72"/>
                <w:szCs w:val="52"/>
                <w:fitText w:val="7920" w:id="0"/>
              </w:rPr>
              <w:t>书</w:t>
            </w:r>
          </w:p>
          <w:p>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筑绿未来</w:t>
            </w:r>
            <w:bookmarkEnd w:id="3"/>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2025-AA-BB</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pPr>
              <w:widowControl w:val="0"/>
              <w:jc w:val="center"/>
              <w:rPr>
                <w:rFonts w:ascii="微软雅黑" w:hAnsi="微软雅黑" w:eastAsia="微软雅黑"/>
                <w:b/>
                <w:kern w:val="2"/>
                <w:sz w:val="32"/>
                <w:szCs w:val="52"/>
                <w:lang w:val="en-US"/>
              </w:rPr>
            </w:pPr>
            <w:bookmarkStart w:id="5" w:name="二维码"/>
            <w:bookmarkEnd w:id="5"/>
          </w:p>
        </w:tc>
      </w:tr>
    </w:tbl>
    <w:p>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jc w:val="center"/>
        <w:rPr>
          <w:rFonts w:ascii="等线" w:hAnsi="等线" w:eastAsia="等线"/>
          <w:kern w:val="2"/>
          <w:szCs w:val="22"/>
          <w:lang w:val="en-US"/>
        </w:rPr>
      </w:pPr>
    </w:p>
    <w:p>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福建-福州</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xxxx工程建设有限公司</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xxxx建筑设计研究院有限公司</w:t>
            </w:r>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2025年11月15日</w:t>
            </w:r>
            <w:bookmarkEnd w:id="9"/>
          </w:p>
        </w:tc>
      </w:tr>
    </w:tbl>
    <w:p>
      <w:pPr>
        <w:widowControl w:val="0"/>
        <w:jc w:val="both"/>
        <w:rPr>
          <w:rFonts w:ascii="等线" w:hAnsi="等线" w:eastAsia="等线"/>
          <w:kern w:val="2"/>
          <w:szCs w:val="22"/>
          <w:lang w:val="en-US"/>
        </w:rPr>
      </w:pPr>
    </w:p>
    <w:p>
      <w:pPr>
        <w:widowControl w:val="0"/>
        <w:jc w:val="both"/>
        <w:rPr>
          <w:rFonts w:ascii="等线" w:hAnsi="等线" w:eastAsia="等线"/>
          <w:kern w:val="2"/>
          <w:szCs w:val="22"/>
          <w:lang w:val="en-US"/>
        </w:rPr>
      </w:pPr>
    </w:p>
    <w:p>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76" w:type="dxa"/>
            <w:vAlign w:val="bottom"/>
          </w:tcPr>
          <w:p>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pPr>
              <w:spacing w:line="180" w:lineRule="exact"/>
              <w:rPr>
                <w:rFonts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T18060052160</w:t>
            </w:r>
            <w:bookmarkEnd w:id="12"/>
          </w:p>
        </w:tc>
        <w:tc>
          <w:tcPr>
            <w:tcW w:w="3958" w:type="dxa"/>
            <w:vMerge w:val="continue"/>
          </w:tcPr>
          <w:p>
            <w:pPr>
              <w:spacing w:line="180" w:lineRule="exact"/>
              <w:rPr>
                <w:rFonts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ascii="等线" w:hAnsi="等线" w:eastAsia="等线"/>
                <w:color w:val="767171"/>
                <w:kern w:val="2"/>
                <w:szCs w:val="22"/>
                <w:lang w:val="en-US"/>
              </w:rPr>
            </w:pPr>
          </w:p>
        </w:tc>
      </w:tr>
      <w:bookmarkEnd w:id="1"/>
    </w:tbl>
    <w:p>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p>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r>
              <w:t>筑绿未来</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福建-福州</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夏热冬暖A区</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2068</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37</w:t>
            </w:r>
            <w:bookmarkEnd w:id="18"/>
            <w:r>
              <w:rPr>
                <w:rFonts w:hint="eastAsia" w:ascii="宋体" w:hAnsi="宋体"/>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1</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27.0</w:t>
            </w:r>
            <w:bookmarkEnd w:id="21"/>
            <w:r>
              <w:rPr>
                <w:rFonts w:hint="eastAsia" w:ascii="宋体" w:hAnsi="宋体"/>
                <w:lang w:val="en-US"/>
              </w:rPr>
              <w:t>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3" w:name="累年最低日平均温度"/>
            <w:r>
              <w:t>3.3</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4" w:name="采暖期室外计算温度"/>
            <w:r>
              <w:t>7.4</w:t>
            </w:r>
            <w:bookmarkEnd w:id="24"/>
          </w:p>
        </w:tc>
      </w:tr>
    </w:tbl>
    <w:p>
      <w:pPr>
        <w:pStyle w:val="2"/>
      </w:pPr>
      <w:bookmarkStart w:id="25" w:name="_Toc316568036"/>
      <w:bookmarkStart w:id="26" w:name="TitleFormat"/>
      <w:r>
        <w:rPr>
          <w:rFonts w:hint="eastAsia"/>
        </w:rPr>
        <w:t>评价依据</w:t>
      </w:r>
      <w:bookmarkEnd w:id="25"/>
    </w:p>
    <w:bookmarkEnd w:id="26"/>
    <w:p>
      <w:pPr>
        <w:widowControl w:val="0"/>
        <w:jc w:val="both"/>
        <w:rPr>
          <w:kern w:val="2"/>
          <w:lang w:val="en-US"/>
        </w:rPr>
      </w:pPr>
      <w:bookmarkStart w:id="27" w:name="结露检查评价依据列表"/>
      <w:bookmarkEnd w:id="27"/>
      <w:r>
        <w:rPr>
          <w:kern w:val="2"/>
          <w:lang w:val="en-US"/>
        </w:rPr>
        <w:t>1. 《建筑环境通用规范》GB55016-2021</w:t>
      </w:r>
    </w:p>
    <w:p>
      <w:pPr>
        <w:widowControl w:val="0"/>
        <w:jc w:val="both"/>
        <w:rPr>
          <w:kern w:val="2"/>
          <w:lang w:val="en-US"/>
        </w:rPr>
      </w:pPr>
      <w:r>
        <w:rPr>
          <w:kern w:val="2"/>
          <w:lang w:val="en-US"/>
        </w:rPr>
        <w:t>2. 《绿色建筑评价标准》GB/T 50378-2019（2024年版）</w:t>
      </w:r>
    </w:p>
    <w:p>
      <w:pPr>
        <w:widowControl w:val="0"/>
        <w:jc w:val="both"/>
        <w:rPr>
          <w:kern w:val="2"/>
          <w:lang w:val="en-US"/>
        </w:rPr>
      </w:pPr>
      <w:r>
        <w:rPr>
          <w:kern w:val="2"/>
          <w:lang w:val="en-US"/>
        </w:rPr>
        <w:t>3. 《民用建筑热工设计规范》GB50176-2016</w:t>
      </w:r>
    </w:p>
    <w:p>
      <w:pPr>
        <w:widowControl w:val="0"/>
        <w:jc w:val="both"/>
        <w:rPr>
          <w:kern w:val="2"/>
          <w:lang w:val="en-US"/>
        </w:rPr>
      </w:pPr>
      <w:r>
        <w:rPr>
          <w:kern w:val="2"/>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pPr>
        <w:pStyle w:val="5"/>
      </w:pPr>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bl>
    <w:p>
      <w:pPr>
        <w:pStyle w:val="4"/>
        <w:rPr>
          <w:kern w:val="2"/>
        </w:rPr>
      </w:pPr>
      <w:r>
        <w:rPr>
          <w:rFonts w:hint="eastAsia"/>
          <w:kern w:val="2"/>
        </w:rPr>
        <w:t>评价方法</w:t>
      </w:r>
    </w:p>
    <w:p>
      <w:pPr>
        <w:pStyle w:val="5"/>
      </w:pPr>
      <w:bookmarkStart w:id="32" w:name="热桥部位评价方法"/>
      <w:r>
        <w:rPr>
          <w:rFonts w:hint="eastAsia"/>
        </w:rPr>
        <w:t>热</w:t>
      </w:r>
      <w:r>
        <w:t>桥部位</w:t>
      </w:r>
      <w:r>
        <w:rPr>
          <w:rFonts w:hint="eastAsia"/>
        </w:rPr>
        <w:t>评价方法</w:t>
      </w:r>
    </w:p>
    <w:p>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pPr>
        <w:pStyle w:val="5"/>
      </w:pPr>
      <w:bookmarkStart w:id="35"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地点</w:t>
            </w:r>
          </w:p>
        </w:tc>
        <w:tc>
          <w:tcPr>
            <w:vAlign w:val="center"/>
          </w:tcPr>
          <w:p>
            <w:r>
              <w:t>福建-福州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ai 内表面换热系数W/(m2.K)</w:t>
            </w:r>
          </w:p>
        </w:tc>
        <w:tc>
          <w:tcPr>
            <w:vAlign w:val="center"/>
          </w:tcPr>
          <w:p>
            <w:r>
              <w:t>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ae 外表面换热系数W/(m2.K)</w:t>
            </w:r>
          </w:p>
        </w:tc>
        <w:tc>
          <w:tcPr>
            <w:vAlign w:val="center"/>
          </w:tcPr>
          <w:p>
            <w:r>
              <w:t>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ti 室内计算温度(℃)</w:t>
            </w:r>
          </w:p>
        </w:tc>
        <w:tc>
          <w:tcPr>
            <w:vAlign w:val="center"/>
          </w:tcPr>
          <w:p>
            <w: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te.min 累年最低日平均温度(℃)</w:t>
            </w:r>
          </w:p>
        </w:tc>
        <w:tc>
          <w:tcPr>
            <w:vAlign w:val="center"/>
          </w:tcPr>
          <w:p>
            <w:r>
              <w:t>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tw 采暖室外计算温度(℃)</w:t>
            </w:r>
          </w:p>
        </w:tc>
        <w:tc>
          <w:tcPr>
            <w:vAlign w:val="center"/>
          </w:tcPr>
          <w:p>
            <w:r>
              <w:t>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室内相对湿度 (%)</w:t>
            </w:r>
          </w:p>
        </w:tc>
        <w:tc>
          <w:tcPr>
            <w:vAlign w:val="center"/>
          </w:tcPr>
          <w:p>
            <w: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外墙－屋顶(WR-1)节点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岩棉板</w:t>
            </w:r>
          </w:p>
        </w:tc>
        <w:tc>
          <w:tcPr>
            <w:vAlign w:val="center"/>
          </w:tcPr>
          <w:p>
            <w:r>
              <w:t>50</w:t>
            </w:r>
          </w:p>
        </w:tc>
        <w:tc>
          <w:tcPr>
            <w:vAlign w:val="center"/>
          </w:tcPr>
          <w:p>
            <w:r>
              <w:t>0.040</w:t>
            </w:r>
          </w:p>
        </w:tc>
        <w:tc>
          <w:tcPr>
            <w:vAlign w:val="center"/>
          </w:tcPr>
          <w:p>
            <w:r>
              <w:t>0.750</w:t>
            </w:r>
          </w:p>
        </w:tc>
        <w:tc>
          <w:tcPr>
            <w:vAlign w:val="center"/>
          </w:tcPr>
          <w:p>
            <w:r>
              <w:t>1.250</w:t>
            </w:r>
          </w:p>
        </w:tc>
        <w:tc>
          <w:tcPr>
            <w:vAlign w:val="center"/>
          </w:tcPr>
          <w:p>
            <w:r>
              <w:t>0.938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w:t>
            </w:r>
          </w:p>
        </w:tc>
        <w:tc>
          <w:tcPr>
            <w:vAlign w:val="center"/>
          </w:tcPr>
          <w:p>
            <w:r>
              <w:t>40</w:t>
            </w:r>
          </w:p>
        </w:tc>
        <w:tc>
          <w:tcPr>
            <w:vAlign w:val="center"/>
          </w:tcPr>
          <w:p>
            <w:r>
              <w:t>0.033</w:t>
            </w:r>
          </w:p>
        </w:tc>
        <w:tc>
          <w:tcPr>
            <w:vAlign w:val="center"/>
          </w:tcPr>
          <w:p>
            <w:r>
              <w:t>0.347</w:t>
            </w:r>
          </w:p>
        </w:tc>
        <w:tc>
          <w:tcPr>
            <w:vAlign w:val="center"/>
          </w:tcPr>
          <w:p>
            <w:r>
              <w:t>1.212</w:t>
            </w:r>
          </w:p>
        </w:tc>
        <w:tc>
          <w:tcPr>
            <w:vAlign w:val="center"/>
          </w:tcPr>
          <w:p>
            <w:r>
              <w:t>0.421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17907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790700"/>
                          </a:xfrm>
                          <a:prstGeom prst="rect">
                            <a:avLst/>
                          </a:prstGeom>
                        </pic:spPr>
                      </pic:pic>
                    </a:graphicData>
                  </a:graphic>
                </wp:inline>
              </w:drawing>
            </w:r>
          </w:p>
        </w:tc>
        <w:tc>
          <w:tcPr>
            <w:vAlign w:val="center"/>
          </w:tcPr>
          <w:p>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30</w:t>
            </w:r>
          </w:p>
        </w:tc>
        <w:tc>
          <w:tcPr>
            <w:vAlign w:val="center"/>
          </w:tcPr>
          <w:p>
            <w:r>
              <w:t>0.030</w:t>
            </w:r>
          </w:p>
        </w:tc>
        <w:tc>
          <w:tcPr>
            <w:vAlign w:val="center"/>
          </w:tcPr>
          <w:p>
            <w:r>
              <w:t>0.320</w:t>
            </w:r>
          </w:p>
        </w:tc>
        <w:tc>
          <w:tcPr>
            <w:vAlign w:val="center"/>
          </w:tcPr>
          <w:p>
            <w:r>
              <w:t>1.000</w:t>
            </w:r>
          </w:p>
        </w:tc>
        <w:tc>
          <w:tcPr>
            <w:vAlign w:val="center"/>
          </w:tcPr>
          <w:p>
            <w:r>
              <w:t>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挤塑聚苯板(ρ=25-32)</w:t>
            </w:r>
          </w:p>
        </w:tc>
        <w:tc>
          <w:tcPr>
            <w:vAlign w:val="center"/>
          </w:tcPr>
          <w:p>
            <w:r>
              <w:t>30</w:t>
            </w:r>
          </w:p>
        </w:tc>
        <w:tc>
          <w:tcPr>
            <w:vAlign w:val="center"/>
          </w:tcPr>
          <w:p>
            <w:r>
              <w:t>0.030</w:t>
            </w:r>
          </w:p>
        </w:tc>
        <w:tc>
          <w:tcPr>
            <w:vAlign w:val="center"/>
          </w:tcPr>
          <w:p>
            <w:r>
              <w:t>0.320</w:t>
            </w:r>
          </w:p>
        </w:tc>
        <w:tc>
          <w:tcPr>
            <w:vAlign w:val="center"/>
          </w:tcPr>
          <w:p>
            <w:r>
              <w:t>1.000</w:t>
            </w:r>
          </w:p>
        </w:tc>
        <w:tc>
          <w:tcPr>
            <w:vAlign w:val="center"/>
          </w:tcPr>
          <w:p>
            <w:r>
              <w:t>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14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14650"/>
                          </a:xfrm>
                          <a:prstGeom prst="rect">
                            <a:avLst/>
                          </a:prstGeom>
                        </pic:spPr>
                      </pic:pic>
                    </a:graphicData>
                  </a:graphic>
                </wp:inline>
              </w:drawing>
            </w:r>
          </w:p>
        </w:tc>
        <w:tc>
          <w:tcPr>
            <w:vAlign w:val="center"/>
          </w:tcPr>
          <w:p>
            <w:r>
              <w:drawing>
                <wp:inline distT="0" distB="0" distL="0" distR="0">
                  <wp:extent cx="2962275" cy="23526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3526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外墙－挑空楼板(WA-1)节点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岩棉板</w:t>
            </w:r>
          </w:p>
        </w:tc>
        <w:tc>
          <w:tcPr>
            <w:vAlign w:val="center"/>
          </w:tcPr>
          <w:p>
            <w:r>
              <w:t>40</w:t>
            </w:r>
          </w:p>
        </w:tc>
        <w:tc>
          <w:tcPr>
            <w:vAlign w:val="center"/>
          </w:tcPr>
          <w:p>
            <w:r>
              <w:t>0.040</w:t>
            </w:r>
          </w:p>
        </w:tc>
        <w:tc>
          <w:tcPr>
            <w:vAlign w:val="center"/>
          </w:tcPr>
          <w:p>
            <w:r>
              <w:t>0.750</w:t>
            </w:r>
          </w:p>
        </w:tc>
        <w:tc>
          <w:tcPr>
            <w:vAlign w:val="center"/>
          </w:tcPr>
          <w:p>
            <w:r>
              <w:t>1.000</w:t>
            </w:r>
          </w:p>
        </w:tc>
        <w:tc>
          <w:tcPr>
            <w:vAlign w:val="center"/>
          </w:tcPr>
          <w:p>
            <w:r>
              <w:t>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w:t>
            </w:r>
          </w:p>
        </w:tc>
        <w:tc>
          <w:tcPr>
            <w:vAlign w:val="center"/>
          </w:tcPr>
          <w:p>
            <w:r>
              <w:t>30</w:t>
            </w:r>
          </w:p>
        </w:tc>
        <w:tc>
          <w:tcPr>
            <w:vAlign w:val="center"/>
          </w:tcPr>
          <w:p>
            <w:r>
              <w:t>0.033</w:t>
            </w:r>
          </w:p>
        </w:tc>
        <w:tc>
          <w:tcPr>
            <w:vAlign w:val="center"/>
          </w:tcPr>
          <w:p>
            <w:r>
              <w:t>0.347</w:t>
            </w:r>
          </w:p>
        </w:tc>
        <w:tc>
          <w:tcPr>
            <w:vAlign w:val="center"/>
          </w:tcPr>
          <w:p>
            <w:r>
              <w:t>0.909</w:t>
            </w:r>
          </w:p>
        </w:tc>
        <w:tc>
          <w:tcPr>
            <w:vAlign w:val="center"/>
          </w:tcPr>
          <w:p>
            <w:r>
              <w:t>0.315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7717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771775"/>
                          </a:xfrm>
                          <a:prstGeom prst="rect">
                            <a:avLst/>
                          </a:prstGeom>
                        </pic:spPr>
                      </pic:pic>
                    </a:graphicData>
                  </a:graphic>
                </wp:inline>
              </w:drawing>
            </w:r>
          </w:p>
        </w:tc>
        <w:tc>
          <w:tcPr>
            <w:vAlign w:val="center"/>
          </w:tcPr>
          <w:p>
            <w:r>
              <w:drawing>
                <wp:inline distT="0" distB="0" distL="0" distR="0">
                  <wp:extent cx="2962275" cy="27908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908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外墙－外墙(WO-1)节点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外墙－内墙(WI-1)节点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2</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4.53.</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190750"/>
                          </a:xfrm>
                          <a:prstGeom prst="rect">
                            <a:avLst/>
                          </a:prstGeom>
                        </pic:spPr>
                      </pic:pic>
                    </a:graphicData>
                  </a:graphic>
                </wp:inline>
              </w:drawing>
            </w:r>
          </w:p>
        </w:tc>
        <w:tc>
          <w:tcPr>
            <w:vAlign w:val="center"/>
          </w:tcPr>
          <w:p>
            <w:r>
              <w:drawing>
                <wp:inline distT="0" distB="0" distL="0" distR="0">
                  <wp:extent cx="2962275" cy="1638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383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门窗左右口(WS-1)节点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1914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1914525"/>
                          </a:xfrm>
                          <a:prstGeom prst="rect">
                            <a:avLst/>
                          </a:prstGeom>
                        </pic:spPr>
                      </pic:pic>
                    </a:graphicData>
                  </a:graphic>
                </wp:inline>
              </w:drawing>
            </w:r>
          </w:p>
        </w:tc>
        <w:tc>
          <w:tcPr>
            <w:vAlign w:val="center"/>
          </w:tcPr>
          <w:p>
            <w:r>
              <w:drawing>
                <wp:inline distT="0" distB="0" distL="0" distR="0">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门窗上口(WU-1)节点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窗下口(WD-1)节点</w:t>
      </w:r>
    </w:p>
    <w:p>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室外热工计算温度te</w:t>
            </w:r>
          </w:p>
        </w:tc>
        <w:tc>
          <w:tcPr>
            <w:gridSpan w:val="4"/>
            <w:vAlign w:val="center"/>
          </w:tcPr>
          <w:p>
            <w:r>
              <w:t>te=0.3tw+0.7te.min</w:t>
            </w:r>
          </w:p>
        </w:tc>
        <w:tc>
          <w:tcPr>
            <w:vAlign w:val="center"/>
          </w:tcPr>
          <w:p>
            <w:r>
              <w:t>4.53</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drawing>
                <wp:inline distT="0" distB="0" distL="0" distR="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屋顶构造四</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碎石、卵石混凝土(ρ=2300)</w:t>
            </w:r>
          </w:p>
        </w:tc>
        <w:tc>
          <w:tcPr>
            <w:vAlign w:val="center"/>
          </w:tcPr>
          <w:p>
            <w:r>
              <w:t>50</w:t>
            </w:r>
          </w:p>
        </w:tc>
        <w:tc>
          <w:tcPr>
            <w:vAlign w:val="center"/>
          </w:tcPr>
          <w:p>
            <w:r>
              <w:t>1.740</w:t>
            </w:r>
          </w:p>
        </w:tc>
        <w:tc>
          <w:tcPr>
            <w:vAlign w:val="center"/>
          </w:tcPr>
          <w:p>
            <w:r>
              <w:t>15.360</w:t>
            </w:r>
          </w:p>
        </w:tc>
        <w:tc>
          <w:tcPr>
            <w:vAlign w:val="center"/>
          </w:tcPr>
          <w:p>
            <w:r>
              <w:t>1.00</w:t>
            </w:r>
          </w:p>
        </w:tc>
        <w:tc>
          <w:tcPr>
            <w:vAlign w:val="center"/>
          </w:tcPr>
          <w:p>
            <w:r>
              <w:t>0.029</w:t>
            </w:r>
          </w:p>
        </w:tc>
        <w:tc>
          <w:tcPr>
            <w:vAlign w:val="center"/>
          </w:tcPr>
          <w:p>
            <w:r>
              <w:t>0.441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r>
              <w:t>140</w:t>
            </w:r>
          </w:p>
        </w:tc>
        <w:tc>
          <w:tcPr>
            <w:vAlign w:val="center"/>
          </w:tcPr>
          <w:p>
            <w:r>
              <w:t>0.030</w:t>
            </w:r>
          </w:p>
        </w:tc>
        <w:tc>
          <w:tcPr>
            <w:vAlign w:val="center"/>
          </w:tcPr>
          <w:p>
            <w:r>
              <w:t>0.347</w:t>
            </w:r>
          </w:p>
        </w:tc>
        <w:tc>
          <w:tcPr>
            <w:vAlign w:val="center"/>
          </w:tcPr>
          <w:p>
            <w:r>
              <w:t>1.00</w:t>
            </w:r>
          </w:p>
        </w:tc>
        <w:tc>
          <w:tcPr>
            <w:vAlign w:val="center"/>
          </w:tcPr>
          <w:p>
            <w:r>
              <w:t>4.667</w:t>
            </w:r>
          </w:p>
        </w:tc>
        <w:tc>
          <w:tcPr>
            <w:vAlign w:val="center"/>
          </w:tcPr>
          <w:p>
            <w:r>
              <w:t>1.619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r>
              <w:t>4</w:t>
            </w:r>
          </w:p>
        </w:tc>
        <w:tc>
          <w:tcPr>
            <w:vAlign w:val="center"/>
          </w:tcPr>
          <w:p>
            <w:r>
              <w:t>0.170</w:t>
            </w:r>
          </w:p>
        </w:tc>
        <w:tc>
          <w:tcPr>
            <w:vAlign w:val="center"/>
          </w:tcPr>
          <w:p>
            <w:r>
              <w:t>9.370</w:t>
            </w:r>
          </w:p>
        </w:tc>
        <w:tc>
          <w:tcPr>
            <w:vAlign w:val="center"/>
          </w:tcPr>
          <w:p>
            <w:r>
              <w:t>1.00</w:t>
            </w:r>
          </w:p>
        </w:tc>
        <w:tc>
          <w:tcPr>
            <w:vAlign w:val="center"/>
          </w:tcPr>
          <w:p>
            <w:r>
              <w:t>0.024</w:t>
            </w:r>
          </w:p>
        </w:tc>
        <w:tc>
          <w:tcPr>
            <w:vAlign w:val="center"/>
          </w:tcPr>
          <w:p>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30</w:t>
            </w:r>
          </w:p>
        </w:tc>
        <w:tc>
          <w:tcPr>
            <w:vAlign w:val="center"/>
          </w:tcPr>
          <w:p>
            <w:r>
              <w:t>0.930</w:t>
            </w:r>
          </w:p>
        </w:tc>
        <w:tc>
          <w:tcPr>
            <w:vAlign w:val="center"/>
          </w:tcPr>
          <w:p>
            <w:r>
              <w:t>11.370</w:t>
            </w:r>
          </w:p>
        </w:tc>
        <w:tc>
          <w:tcPr>
            <w:vAlign w:val="center"/>
          </w:tcPr>
          <w:p>
            <w:r>
              <w:t>1.00</w:t>
            </w:r>
          </w:p>
        </w:tc>
        <w:tc>
          <w:tcPr>
            <w:vAlign w:val="center"/>
          </w:tcPr>
          <w:p>
            <w:r>
              <w:t>0.032</w:t>
            </w:r>
          </w:p>
        </w:tc>
        <w:tc>
          <w:tcPr>
            <w:vAlign w:val="center"/>
          </w:tcPr>
          <w:p>
            <w:r>
              <w:t>0.367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r>
              <w:t>60</w:t>
            </w:r>
          </w:p>
        </w:tc>
        <w:tc>
          <w:tcPr>
            <w:vAlign w:val="center"/>
          </w:tcPr>
          <w:p>
            <w:r>
              <w:t>0.280</w:t>
            </w:r>
          </w:p>
        </w:tc>
        <w:tc>
          <w:tcPr>
            <w:vAlign w:val="center"/>
          </w:tcPr>
          <w:p>
            <w:r>
              <w:t>7.500</w:t>
            </w:r>
          </w:p>
        </w:tc>
        <w:tc>
          <w:tcPr>
            <w:vAlign w:val="center"/>
          </w:tcPr>
          <w:p>
            <w:r>
              <w:t>1.00</w:t>
            </w:r>
          </w:p>
        </w:tc>
        <w:tc>
          <w:tcPr>
            <w:vAlign w:val="center"/>
          </w:tcPr>
          <w:p>
            <w:r>
              <w:t>0.214</w:t>
            </w:r>
          </w:p>
        </w:tc>
        <w:tc>
          <w:tcPr>
            <w:vAlign w:val="center"/>
          </w:tcPr>
          <w:p>
            <w:r>
              <w:t>1.607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5.06</w:t>
            </w:r>
          </w:p>
        </w:tc>
        <w:tc>
          <w:tcPr>
            <w:vAlign w:val="center"/>
          </w:tcPr>
          <w:p>
            <w: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5.22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te=0.6tw+0.4te.min</w:t>
            </w:r>
          </w:p>
        </w:tc>
        <w:tc>
          <w:tcPr>
            <w:vAlign w:val="center"/>
          </w:tcPr>
          <w:p>
            <w:r>
              <w:t>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17.74</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0.74</w:t>
            </w:r>
          </w:p>
        </w:tc>
        <w:tc>
          <w:tcPr>
            <w:vAlign w:val="center"/>
          </w:tcPr>
          <w:p>
            <w:r>
              <w:t>2.94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传热阻Ro(㎡.K/W)</w:t>
            </w:r>
          </w:p>
        </w:tc>
        <w:tc>
          <w:tcPr>
            <w:gridSpan w:val="6"/>
            <w:vAlign w:val="center"/>
          </w:tcPr>
          <w:p>
            <w:pPr>
              <w:jc w:val="center"/>
            </w:pPr>
            <w: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室外热工计算温度te（℃）</w:t>
            </w:r>
          </w:p>
        </w:tc>
        <w:tc>
          <w:tcPr>
            <w:gridSpan w:val="5"/>
            <w:vAlign w:val="center"/>
          </w:tcPr>
          <w:p>
            <w:pPr>
              <w:jc w:val="center"/>
            </w:pPr>
            <w:r>
              <w:t>te=0.3tw+0.7te.min</w:t>
            </w:r>
          </w:p>
        </w:tc>
        <w:tc>
          <w:tcPr>
            <w:vAlign w:val="center"/>
          </w:tcPr>
          <w:p>
            <w: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θi=ti-(ti-te)*Ri/Ro</w:t>
            </w:r>
          </w:p>
        </w:tc>
        <w:tc>
          <w:tcPr>
            <w:vAlign w:val="center"/>
          </w:tcPr>
          <w:p>
            <w:r>
              <w:t>16.35</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0.09</w:t>
            </w:r>
          </w:p>
        </w:tc>
        <w:tc>
          <w:tcPr>
            <w:vAlign w:val="center"/>
          </w:tcPr>
          <w:p>
            <w: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热阻Rg(㎡.K/W)</w:t>
            </w:r>
          </w:p>
        </w:tc>
        <w:tc>
          <w:tcPr>
            <w:gridSpan w:val="6"/>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地面与土体接触面温度θe（℃）</w:t>
            </w:r>
          </w:p>
        </w:tc>
        <w:tc>
          <w:tcPr>
            <w:gridSpan w:val="6"/>
            <w:vAlign w:val="center"/>
          </w:tcPr>
          <w:p>
            <w:pPr>
              <w:jc w:val="center"/>
            </w:pPr>
            <w: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θi=(ti*Rg+θe*Ri)/(Rg+Ri)</w:t>
            </w:r>
          </w:p>
        </w:tc>
        <w:tc>
          <w:tcPr>
            <w:vAlign w:val="center"/>
          </w:tcPr>
          <w:p>
            <w:r>
              <w:t>14.49</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0.09</w:t>
            </w:r>
          </w:p>
        </w:tc>
        <w:tc>
          <w:tcPr>
            <w:vAlign w:val="center"/>
          </w:tcPr>
          <w:p>
            <w: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热阻Rg(㎡.K/W)</w:t>
            </w:r>
          </w:p>
        </w:tc>
        <w:tc>
          <w:tcPr>
            <w:gridSpan w:val="6"/>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地面与土体接触面温度θe（℃）</w:t>
            </w:r>
          </w:p>
        </w:tc>
        <w:tc>
          <w:tcPr>
            <w:gridSpan w:val="6"/>
            <w:vAlign w:val="center"/>
          </w:tcPr>
          <w:p>
            <w:pPr>
              <w:jc w:val="center"/>
            </w:pPr>
            <w: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θi=(ti*Rg+θe*Ri)/(Rg+Ri)</w:t>
            </w:r>
          </w:p>
        </w:tc>
        <w:tc>
          <w:tcPr>
            <w:vAlign w:val="center"/>
          </w:tcPr>
          <w:p>
            <w:r>
              <w:t>14.49</w:t>
            </w:r>
          </w:p>
        </w:tc>
      </w:tr>
    </w:tbl>
    <w:p>
      <w:pPr>
        <w:pStyle w:val="5"/>
        <w:autoSpaceDE w:val="0"/>
        <w:autoSpaceDN w:val="0"/>
        <w:adjustRightInd w:val="0"/>
        <w:snapToGrid w:val="0"/>
        <w:rPr>
          <w:kern w:val="2"/>
          <w:szCs w:val="21"/>
          <w:lang w:val="en-US"/>
        </w:rPr>
      </w:pPr>
      <w:r>
        <w:rPr>
          <w:kern w:val="2"/>
          <w:szCs w:val="21"/>
          <w:lang w:val="en-US"/>
        </w:rPr>
        <w:t>地下室外墙</w:t>
      </w:r>
    </w:p>
    <w:p>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0.14</w:t>
            </w:r>
          </w:p>
        </w:tc>
        <w:tc>
          <w:tcPr>
            <w:vAlign w:val="center"/>
          </w:tcPr>
          <w:p>
            <w:r>
              <w:t>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热阻Rb(㎡.K/W)</w:t>
            </w:r>
          </w:p>
        </w:tc>
        <w:tc>
          <w:tcPr>
            <w:gridSpan w:val="6"/>
            <w:vAlign w:val="center"/>
          </w:tcPr>
          <w:p>
            <w:pPr>
              <w:jc w:val="center"/>
            </w:pPr>
            <w:r>
              <w:t>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地下室外墙与土体接触面温度θe（℃）</w:t>
            </w:r>
          </w:p>
        </w:tc>
        <w:tc>
          <w:tcPr>
            <w:gridSpan w:val="6"/>
            <w:vAlign w:val="center"/>
          </w:tcPr>
          <w:p>
            <w:pPr>
              <w:jc w:val="center"/>
            </w:pPr>
            <w: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内表面温度θi（℃）</w:t>
            </w:r>
          </w:p>
        </w:tc>
        <w:tc>
          <w:tcPr>
            <w:gridSpan w:val="5"/>
            <w:vAlign w:val="center"/>
          </w:tcPr>
          <w:p>
            <w:pPr>
              <w:jc w:val="center"/>
            </w:pPr>
            <w:r>
              <w:t>θi=(ti*Rb+θe*Ri)/(Rb+Ri)</w:t>
            </w:r>
          </w:p>
        </w:tc>
        <w:tc>
          <w:tcPr>
            <w:vAlign w:val="center"/>
          </w:tcPr>
          <w:p>
            <w:r>
              <w:t>15.18</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外墙－屋顶</w:t>
            </w:r>
          </w:p>
        </w:tc>
        <w:tc>
          <w:tcPr>
            <w:vAlign w:val="center"/>
          </w:tcPr>
          <w:p>
            <w:r>
              <w:t>WR-1</w:t>
            </w:r>
          </w:p>
        </w:tc>
        <w:tc>
          <w:tcPr>
            <w:vAlign w:val="center"/>
          </w:tcPr>
          <w:p>
            <w:r>
              <w:t>4.53</w:t>
            </w:r>
          </w:p>
        </w:tc>
        <w:tc>
          <w:tcPr>
            <w:vAlign w:val="center"/>
          </w:tcPr>
          <w:p>
            <w:r>
              <w:t>15.51</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外墙－楼板</w:t>
            </w:r>
          </w:p>
        </w:tc>
        <w:tc>
          <w:tcPr>
            <w:vAlign w:val="center"/>
          </w:tcPr>
          <w:p>
            <w:r>
              <w:t>WF-1</w:t>
            </w:r>
          </w:p>
        </w:tc>
        <w:tc>
          <w:tcPr>
            <w:vAlign w:val="center"/>
          </w:tcPr>
          <w:p>
            <w:r>
              <w:t>4.53</w:t>
            </w:r>
          </w:p>
        </w:tc>
        <w:tc>
          <w:tcPr>
            <w:vAlign w:val="center"/>
          </w:tcPr>
          <w:p>
            <w:r>
              <w:t>16.40</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外墙－挑空楼板</w:t>
            </w:r>
          </w:p>
        </w:tc>
        <w:tc>
          <w:tcPr>
            <w:vAlign w:val="center"/>
          </w:tcPr>
          <w:p>
            <w:r>
              <w:t>WA-1</w:t>
            </w:r>
          </w:p>
        </w:tc>
        <w:tc>
          <w:tcPr>
            <w:vAlign w:val="center"/>
          </w:tcPr>
          <w:p>
            <w:r>
              <w:t>4.53</w:t>
            </w:r>
          </w:p>
        </w:tc>
        <w:tc>
          <w:tcPr>
            <w:vAlign w:val="center"/>
          </w:tcPr>
          <w:p>
            <w:r>
              <w:t>14.77</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外墙－外墙</w:t>
            </w:r>
          </w:p>
        </w:tc>
        <w:tc>
          <w:tcPr>
            <w:vAlign w:val="center"/>
          </w:tcPr>
          <w:p>
            <w:r>
              <w:t>WO-1</w:t>
            </w:r>
          </w:p>
        </w:tc>
        <w:tc>
          <w:tcPr>
            <w:vAlign w:val="center"/>
          </w:tcPr>
          <w:p>
            <w:r>
              <w:t>4.53</w:t>
            </w:r>
          </w:p>
        </w:tc>
        <w:tc>
          <w:tcPr>
            <w:vAlign w:val="center"/>
          </w:tcPr>
          <w:p>
            <w:r>
              <w:t>16.16</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外墙－内墙</w:t>
            </w:r>
          </w:p>
        </w:tc>
        <w:tc>
          <w:tcPr>
            <w:vAlign w:val="center"/>
          </w:tcPr>
          <w:p>
            <w:r>
              <w:t>WI-1</w:t>
            </w:r>
          </w:p>
        </w:tc>
        <w:tc>
          <w:tcPr>
            <w:vAlign w:val="center"/>
          </w:tcPr>
          <w:p>
            <w:r>
              <w:t>4.53</w:t>
            </w:r>
          </w:p>
        </w:tc>
        <w:tc>
          <w:tcPr>
            <w:vAlign w:val="center"/>
          </w:tcPr>
          <w:p>
            <w:r>
              <w:t>17.01</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门窗左右口</w:t>
            </w:r>
          </w:p>
        </w:tc>
        <w:tc>
          <w:tcPr>
            <w:vAlign w:val="center"/>
          </w:tcPr>
          <w:p>
            <w:r>
              <w:t>WS-1</w:t>
            </w:r>
          </w:p>
        </w:tc>
        <w:tc>
          <w:tcPr>
            <w:vAlign w:val="center"/>
          </w:tcPr>
          <w:p>
            <w:r>
              <w:t>4.53</w:t>
            </w:r>
          </w:p>
        </w:tc>
        <w:tc>
          <w:tcPr>
            <w:vAlign w:val="center"/>
          </w:tcPr>
          <w:p>
            <w:r>
              <w:t>12.64</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门窗上口</w:t>
            </w:r>
          </w:p>
        </w:tc>
        <w:tc>
          <w:tcPr>
            <w:vAlign w:val="center"/>
          </w:tcPr>
          <w:p>
            <w:r>
              <w:t>WU-1</w:t>
            </w:r>
          </w:p>
        </w:tc>
        <w:tc>
          <w:tcPr>
            <w:vAlign w:val="center"/>
          </w:tcPr>
          <w:p>
            <w:r>
              <w:t>4.53</w:t>
            </w:r>
          </w:p>
        </w:tc>
        <w:tc>
          <w:tcPr>
            <w:vAlign w:val="center"/>
          </w:tcPr>
          <w:p>
            <w:r>
              <w:t>14.83</w:t>
            </w:r>
          </w:p>
        </w:tc>
        <w:tc>
          <w:tcPr>
            <w:vAlign w:val="center"/>
          </w:tcPr>
          <w:p>
            <w:r>
              <w:t>10.12</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窗下口</w:t>
            </w:r>
          </w:p>
        </w:tc>
        <w:tc>
          <w:tcPr>
            <w:vAlign w:val="center"/>
          </w:tcPr>
          <w:p>
            <w:r>
              <w:t>WD-1</w:t>
            </w:r>
          </w:p>
        </w:tc>
        <w:tc>
          <w:tcPr>
            <w:vAlign w:val="center"/>
          </w:tcPr>
          <w:p>
            <w:r>
              <w:t>4.53</w:t>
            </w:r>
          </w:p>
        </w:tc>
        <w:tc>
          <w:tcPr>
            <w:vAlign w:val="center"/>
          </w:tcPr>
          <w:p>
            <w:r>
              <w:t>15.73</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屋顶-屋顶构造四</w:t>
            </w:r>
          </w:p>
        </w:tc>
        <w:tc>
          <w:tcPr>
            <w:vAlign w:val="center"/>
          </w:tcPr>
          <w:p>
            <w:r>
              <w:t>17.74</w:t>
            </w:r>
          </w:p>
        </w:tc>
        <w:tc>
          <w:tcPr>
            <w:vAlign w:val="center"/>
          </w:tcPr>
          <w:p>
            <w:r>
              <w:t>18</w:t>
            </w:r>
          </w:p>
        </w:tc>
        <w:tc>
          <w:tcPr>
            <w:vAlign w:val="center"/>
          </w:tcPr>
          <w:p>
            <w:r>
              <w:t>10.12</w:t>
            </w:r>
          </w:p>
        </w:tc>
        <w:tc>
          <w:tcPr>
            <w:vAlign w:val="center"/>
          </w:tcPr>
          <w:p>
            <w:r>
              <w:t>0.26</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外墙-外墙构造一</w:t>
            </w:r>
          </w:p>
        </w:tc>
        <w:tc>
          <w:tcPr>
            <w:vAlign w:val="center"/>
          </w:tcPr>
          <w:p>
            <w:r>
              <w:t>16.35</w:t>
            </w:r>
          </w:p>
        </w:tc>
        <w:tc>
          <w:tcPr>
            <w:vAlign w:val="center"/>
          </w:tcPr>
          <w:p>
            <w:r>
              <w:t>18</w:t>
            </w:r>
          </w:p>
        </w:tc>
        <w:tc>
          <w:tcPr>
            <w:vAlign w:val="center"/>
          </w:tcPr>
          <w:p>
            <w:r>
              <w:t>10.12</w:t>
            </w:r>
          </w:p>
        </w:tc>
        <w:tc>
          <w:tcPr>
            <w:vAlign w:val="center"/>
          </w:tcPr>
          <w:p>
            <w:r>
              <w:t>1.65</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周边地面-周边地面构造一</w:t>
            </w:r>
          </w:p>
        </w:tc>
        <w:tc>
          <w:tcPr>
            <w:vAlign w:val="center"/>
          </w:tcPr>
          <w:p>
            <w:r>
              <w:t>14.49</w:t>
            </w:r>
          </w:p>
        </w:tc>
        <w:tc>
          <w:tcPr>
            <w:vAlign w:val="center"/>
          </w:tcPr>
          <w:p>
            <w:r>
              <w:t>18</w:t>
            </w:r>
          </w:p>
        </w:tc>
        <w:tc>
          <w:tcPr>
            <w:vAlign w:val="center"/>
          </w:tcPr>
          <w:p>
            <w:r>
              <w:t>10.12</w:t>
            </w:r>
          </w:p>
        </w:tc>
        <w:tc>
          <w:tcPr>
            <w:vAlign w:val="center"/>
          </w:tcPr>
          <w:p>
            <w:r>
              <w:t>3.51</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非周边地面-非周边地面构造一</w:t>
            </w:r>
          </w:p>
        </w:tc>
        <w:tc>
          <w:tcPr>
            <w:vAlign w:val="center"/>
          </w:tcPr>
          <w:p>
            <w:r>
              <w:t>14.49</w:t>
            </w:r>
          </w:p>
        </w:tc>
        <w:tc>
          <w:tcPr>
            <w:vAlign w:val="center"/>
          </w:tcPr>
          <w:p>
            <w:r>
              <w:t>18</w:t>
            </w:r>
          </w:p>
        </w:tc>
        <w:tc>
          <w:tcPr>
            <w:vAlign w:val="center"/>
          </w:tcPr>
          <w:p>
            <w:r>
              <w:t>10.12</w:t>
            </w:r>
          </w:p>
        </w:tc>
        <w:tc>
          <w:tcPr>
            <w:vAlign w:val="center"/>
          </w:tcPr>
          <w:p>
            <w:r>
              <w:t>3.51</w:t>
            </w:r>
          </w:p>
        </w:tc>
        <w:tc>
          <w:tcPr>
            <w:vAlign w:val="center"/>
          </w:tcPr>
          <w:p>
            <w:r>
              <w:t>7.88</w:t>
            </w:r>
          </w:p>
        </w:tc>
        <w:tc>
          <w:tcPr>
            <w:vAlign w:val="center"/>
          </w:tcPr>
          <w:p>
            <w:r>
              <w:t>不结露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地下室外墙-地下墙构造一</w:t>
            </w:r>
          </w:p>
        </w:tc>
        <w:tc>
          <w:tcPr>
            <w:vAlign w:val="center"/>
          </w:tcPr>
          <w:p>
            <w:r>
              <w:t>15.18</w:t>
            </w:r>
          </w:p>
        </w:tc>
        <w:tc>
          <w:tcPr>
            <w:vAlign w:val="center"/>
          </w:tcPr>
          <w:p>
            <w:r>
              <w:t>18</w:t>
            </w:r>
          </w:p>
        </w:tc>
        <w:tc>
          <w:tcPr>
            <w:vAlign w:val="center"/>
          </w:tcPr>
          <w:p>
            <w:r>
              <w:t>10.12</w:t>
            </w:r>
          </w:p>
        </w:tc>
        <w:tc>
          <w:tcPr>
            <w:vAlign w:val="center"/>
          </w:tcPr>
          <w:p>
            <w:r>
              <w:t>2.82</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3C6296"/>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623C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qFormat/>
    <w:uiPriority w:val="0"/>
  </w:style>
  <w:style w:type="paragraph" w:styleId="14">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13</Pages>
  <Words>3517</Words>
  <Characters>5901</Characters>
  <Lines>103</Lines>
  <Paragraphs>118</Paragraphs>
  <TotalTime>111</TotalTime>
  <ScaleCrop>false</ScaleCrop>
  <LinksUpToDate>false</LinksUpToDate>
  <CharactersWithSpaces>5976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2025-11-15T13:23:00Z</dcterms:created>
  <dc:creator>半江芦苇</dc:creator>
  <cp:lastModifiedBy>半江芦苇</cp:lastModifiedBy>
  <dcterms:modified xsi:type="dcterms:W3CDTF">2025-11-15T13:23:22Z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