
<file path=[Content_Types].xml><?xml version="1.0" encoding="utf-8"?>
<Types xmlns="http://schemas.openxmlformats.org/package/2006/content-types">
  <Default Extension="xml" ContentType="application/xml"/>
  <Default Extension="jpeg" ContentType="image/jpe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pPr>
              <w:spacing w:line="240" w:lineRule="auto"/>
              <w:rPr>
                <w:b/>
                <w:spacing w:val="45"/>
                <w:sz w:val="30"/>
                <w:szCs w:val="30"/>
              </w:rPr>
            </w:pPr>
            <w:bookmarkStart w:id="0" w:name="_Hlk172625491"/>
            <w:bookmarkStart w:id="189" w:name="_GoBack"/>
            <w:bookmarkEnd w:id="189"/>
          </w:p>
          <w:p>
            <w:pPr>
              <w:spacing w:before="312" w:beforeLines="100" w:line="240" w:lineRule="auto"/>
              <w:jc w:val="distribute"/>
              <w:rPr>
                <w:b/>
                <w:sz w:val="72"/>
                <w:szCs w:val="52"/>
              </w:rPr>
            </w:pPr>
            <w:r>
              <w:rPr>
                <w:rFonts w:hint="eastAsia"/>
                <w:b/>
                <w:sz w:val="72"/>
                <w:szCs w:val="52"/>
              </w:rPr>
              <w:t>室内声环境分析报告</w:t>
            </w:r>
          </w:p>
          <w:p>
            <w:pPr>
              <w:spacing w:line="240" w:lineRule="auto"/>
              <w:jc w:val="center"/>
              <w:rPr>
                <w:b/>
                <w:sz w:val="48"/>
                <w:szCs w:val="48"/>
              </w:rPr>
            </w:pPr>
            <w:bookmarkStart w:id="1" w:name="地区"/>
            <w:r>
              <w:rPr>
                <w:rFonts w:hint="eastAsia"/>
                <w:b/>
                <w:spacing w:val="80"/>
                <w:sz w:val="48"/>
                <w:szCs w:val="48"/>
                <w:fitText w:val="2400" w:id="0"/>
              </w:rPr>
              <w:t>办公建筑</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before="312" w:beforeLines="100" w:line="240" w:lineRule="auto"/>
              <w:jc w:val="center"/>
              <w:rPr>
                <w:b/>
                <w:sz w:val="36"/>
                <w:szCs w:val="36"/>
              </w:rPr>
            </w:pPr>
            <w:bookmarkStart w:id="2" w:name="项目名称"/>
            <w:r>
              <w:rPr>
                <w:rFonts w:hint="eastAsia"/>
                <w:b/>
                <w:sz w:val="36"/>
                <w:szCs w:val="36"/>
              </w:rPr>
              <w:t>筑绿未来</w:t>
            </w:r>
            <w:bookmarkEnd w:id="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jc w:val="center"/>
              <w:rPr>
                <w:b/>
                <w:sz w:val="32"/>
                <w:szCs w:val="52"/>
              </w:rPr>
            </w:pPr>
            <w:r>
              <w:rPr>
                <w:rFonts w:hint="eastAsia"/>
                <w:b/>
                <w:sz w:val="32"/>
                <w:szCs w:val="52"/>
              </w:rPr>
              <w:t>设计编号：</w:t>
            </w:r>
            <w:bookmarkStart w:id="3" w:name="设计编号"/>
            <w:r>
              <w:rPr>
                <w:rFonts w:hint="eastAsia"/>
                <w:b/>
                <w:sz w:val="32"/>
                <w:szCs w:val="52"/>
              </w:rPr>
              <w:t>2025-AA-BB</w:t>
            </w:r>
            <w:bookmarkEnd w:id="3"/>
          </w:p>
          <w:p>
            <w:pPr>
              <w:spacing w:line="240" w:lineRule="auto"/>
              <w:jc w:val="center"/>
              <w:rPr>
                <w:b/>
                <w:sz w:val="32"/>
                <w:szCs w:val="52"/>
              </w:rPr>
            </w:pPr>
            <w:bookmarkStart w:id="4" w:name="二维码"/>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pPr>
          </w:p>
        </w:tc>
      </w:tr>
    </w:tbl>
    <w:p>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p/>
    <w:bookmarkEnd w:id="0"/>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工程地点</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建设单位</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bookmarkStart w:id="5" w:name="建设单位"/>
            <w:r>
              <w:rPr>
                <w:rFonts w:hint="eastAsia"/>
                <w:sz w:val="24"/>
                <w:szCs w:val="24"/>
              </w:rPr>
              <w:t>xxxx工程建设有限公司</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设计单位</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6" w:name="设计单位"/>
            <w:r>
              <w:rPr>
                <w:rFonts w:hint="eastAsia"/>
                <w:sz w:val="24"/>
                <w:szCs w:val="24"/>
              </w:rPr>
              <w:t>xxxx建筑设计研究院有限公司</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校对人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审定人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报告日期</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7" w:name="计算日期"/>
            <w:bookmarkStart w:id="8" w:name="报告日期"/>
            <w:r>
              <w:rPr>
                <w:rFonts w:hint="eastAsia"/>
                <w:sz w:val="24"/>
                <w:szCs w:val="24"/>
              </w:rPr>
              <w:t>2025年12月4日</w:t>
            </w:r>
            <w:bookmarkEnd w:id="7"/>
            <w:bookmarkEnd w:id="8"/>
          </w:p>
        </w:tc>
      </w:tr>
    </w:tbl>
    <w:p>
      <w:pPr>
        <w:rPr>
          <w:rFonts w:asciiTheme="minorHAnsi" w:hAnsiTheme="minorHAnsi" w:eastAsiaTheme="minorEastAsia" w:cstheme="minorBidi"/>
          <w:kern w:val="2"/>
          <w:szCs w:val="22"/>
        </w:rPr>
      </w:pPr>
    </w:p>
    <w:p/>
    <w:p/>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软件版本</w:t>
            </w:r>
          </w:p>
        </w:tc>
        <w:tc>
          <w:tcPr>
            <w:tcW w:w="3108" w:type="dxa"/>
            <w:tcBorders>
              <w:top w:val="nil"/>
              <w:left w:val="nil"/>
              <w:bottom w:val="nil"/>
              <w:right w:val="nil"/>
            </w:tcBorders>
            <w:vAlign w:val="bottom"/>
          </w:tcPr>
          <w:p>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正版授权码</w:t>
            </w:r>
          </w:p>
        </w:tc>
        <w:tc>
          <w:tcPr>
            <w:tcW w:w="3108" w:type="dxa"/>
            <w:tcBorders>
              <w:top w:val="nil"/>
              <w:left w:val="nil"/>
              <w:bottom w:val="nil"/>
              <w:right w:val="nil"/>
            </w:tcBorders>
            <w:vAlign w:val="bottom"/>
          </w:tcPr>
          <w:p>
            <w:pPr>
              <w:spacing w:line="180" w:lineRule="exact"/>
            </w:pPr>
            <w:r>
              <w:rPr>
                <w:rFonts w:hint="eastAsia"/>
              </w:rPr>
              <w:t>：</w:t>
            </w:r>
            <w:bookmarkStart w:id="12" w:name="加密锁号"/>
            <w:bookmarkStart w:id="13" w:name="正版授权码"/>
            <w:r>
              <w:rPr>
                <w:rFonts w:hint="eastAsia"/>
              </w:rPr>
              <w:t>T18060052160</w:t>
            </w:r>
            <w:bookmarkEnd w:id="12"/>
            <w:bookmarkEnd w:id="13"/>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研发单位</w:t>
            </w:r>
          </w:p>
        </w:tc>
        <w:tc>
          <w:tcPr>
            <w:tcW w:w="3108" w:type="dxa"/>
            <w:tcBorders>
              <w:top w:val="nil"/>
              <w:left w:val="nil"/>
              <w:bottom w:val="nil"/>
              <w:right w:val="nil"/>
            </w:tcBorders>
            <w:vAlign w:val="bottom"/>
          </w:tcPr>
          <w:p>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bl>
    <w:p>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pPr>
        <w:jc w:val="center"/>
        <w:rPr>
          <w:b/>
          <w:sz w:val="24"/>
          <w:szCs w:val="24"/>
        </w:rPr>
      </w:pPr>
      <w:bookmarkStart w:id="14" w:name="目录"/>
      <w:r>
        <w:rPr>
          <w:rFonts w:hint="eastAsia"/>
          <w:b/>
          <w:sz w:val="24"/>
          <w:szCs w:val="24"/>
        </w:rPr>
        <w:t>目  录</w:t>
      </w:r>
    </w:p>
    <w:bookmarkEnd w:id="14"/>
    <w:p>
      <w:pPr>
        <w:pStyle w:val="20"/>
        <w:pBdr>
          <w:bottom w:val="none" w:color="auto" w:sz="0" w:space="0"/>
        </w:pBdr>
        <w:tabs>
          <w:tab w:val="clear" w:pos="4153"/>
          <w:tab w:val="clear" w:pos="8306"/>
        </w:tabs>
        <w:snapToGrid/>
        <w:rPr>
          <w:color w:val="008080"/>
          <w:szCs w:val="20"/>
        </w:rPr>
      </w:pPr>
    </w:p>
    <w:p>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_Toc606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_Toc606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_Toc10865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_Toc10865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_Toc23043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_Toc23043 </w:instrText>
      </w:r>
      <w:r>
        <w:fldChar w:fldCharType="separate"/>
      </w:r>
      <w:r>
        <w:t>2</w:t>
      </w:r>
      <w:r>
        <w:fldChar w:fldCharType="end"/>
      </w:r>
      <w:r>
        <w:fldChar w:fldCharType="end"/>
      </w:r>
    </w:p>
    <w:p>
      <w:pPr>
        <w:pStyle w:val="21"/>
        <w:tabs>
          <w:tab w:val="right" w:leader="dot" w:pos="9070"/>
          <w:tab w:val="clear" w:pos="180"/>
          <w:tab w:val="clear" w:pos="9360"/>
        </w:tabs>
      </w:pPr>
      <w:r>
        <w:fldChar w:fldCharType="begin"/>
      </w:r>
      <w:r>
        <w:instrText xml:space="preserve"> HYPERLINK \l _Toc16994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_Toc16994 </w:instrText>
      </w:r>
      <w:r>
        <w:fldChar w:fldCharType="separate"/>
      </w:r>
      <w:r>
        <w:t>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_Toc6324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_Toc6324 </w:instrText>
      </w:r>
      <w:r>
        <w:fldChar w:fldCharType="separate"/>
      </w:r>
      <w:r>
        <w:t>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_Toc18783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_Toc18783 </w:instrText>
      </w:r>
      <w:r>
        <w:fldChar w:fldCharType="separate"/>
      </w:r>
      <w:r>
        <w:t>4</w:t>
      </w:r>
      <w:r>
        <w:fldChar w:fldCharType="end"/>
      </w:r>
      <w:r>
        <w:fldChar w:fldCharType="end"/>
      </w:r>
    </w:p>
    <w:p>
      <w:pPr>
        <w:pStyle w:val="21"/>
        <w:tabs>
          <w:tab w:val="right" w:leader="dot" w:pos="9070"/>
          <w:tab w:val="clear" w:pos="180"/>
          <w:tab w:val="clear" w:pos="9360"/>
        </w:tabs>
      </w:pPr>
      <w:r>
        <w:fldChar w:fldCharType="begin"/>
      </w:r>
      <w:r>
        <w:instrText xml:space="preserve"> HYPERLINK \l _Toc13996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_Toc13996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_Toc25164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_Toc25164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_Toc28806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_Toc28806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_Toc3961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_Toc3961 </w:instrText>
      </w:r>
      <w:r>
        <w:fldChar w:fldCharType="separate"/>
      </w:r>
      <w:r>
        <w:t>11</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_Toc7919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_Toc7919 </w:instrText>
      </w:r>
      <w:r>
        <w:fldChar w:fldCharType="separate"/>
      </w:r>
      <w:r>
        <w:t>19</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_Toc4113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_Toc4113 </w:instrText>
      </w:r>
      <w:r>
        <w:fldChar w:fldCharType="separate"/>
      </w:r>
      <w:r>
        <w:t>23</w:t>
      </w:r>
      <w:r>
        <w:fldChar w:fldCharType="end"/>
      </w:r>
      <w:r>
        <w:fldChar w:fldCharType="end"/>
      </w:r>
    </w:p>
    <w:p>
      <w:pPr>
        <w:pStyle w:val="21"/>
        <w:tabs>
          <w:tab w:val="right" w:leader="dot" w:pos="9070"/>
          <w:tab w:val="clear" w:pos="180"/>
          <w:tab w:val="clear" w:pos="9360"/>
        </w:tabs>
      </w:pPr>
      <w:r>
        <w:fldChar w:fldCharType="begin"/>
      </w:r>
      <w:r>
        <w:instrText xml:space="preserve"> HYPERLINK \l _Toc28877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_Toc28877 </w:instrText>
      </w:r>
      <w:r>
        <w:fldChar w:fldCharType="separate"/>
      </w:r>
      <w:r>
        <w:t>24</w:t>
      </w:r>
      <w:r>
        <w:fldChar w:fldCharType="end"/>
      </w:r>
      <w:r>
        <w:fldChar w:fldCharType="end"/>
      </w:r>
    </w:p>
    <w:p>
      <w:pPr>
        <w:pStyle w:val="21"/>
      </w:pPr>
      <w:r>
        <w:fldChar w:fldCharType="end"/>
      </w:r>
    </w:p>
    <w:p>
      <w:pPr>
        <w:pStyle w:val="21"/>
      </w:pPr>
      <w:r>
        <w:rPr>
          <w:rFonts w:hint="eastAsia"/>
        </w:rPr>
        <w:t>附录</w:t>
      </w:r>
    </w:p>
    <w:p>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_Toc17319 </w:instrText>
      </w:r>
      <w:r>
        <w:rPr>
          <w:caps/>
        </w:rPr>
        <w:fldChar w:fldCharType="separate"/>
      </w:r>
      <w:r>
        <w:t xml:space="preserve">附录 1 </w:t>
      </w:r>
      <w:r>
        <w:tab/>
      </w:r>
      <w:r>
        <w:rPr>
          <w:rFonts w:hint="eastAsia"/>
        </w:rPr>
        <w:t>声学分区标注图</w:t>
      </w:r>
      <w:r>
        <w:tab/>
      </w:r>
      <w:r>
        <w:fldChar w:fldCharType="begin"/>
      </w:r>
      <w:r>
        <w:instrText xml:space="preserve"> PAGEREF _Toc17319 </w:instrText>
      </w:r>
      <w:r>
        <w:fldChar w:fldCharType="separate"/>
      </w:r>
      <w:r>
        <w:t>27</w:t>
      </w:r>
      <w:r>
        <w:fldChar w:fldCharType="end"/>
      </w:r>
      <w:r>
        <w:rPr>
          <w:caps/>
          <w:color w:val="008080"/>
        </w:rPr>
        <w:fldChar w:fldCharType="end"/>
      </w:r>
    </w:p>
    <w:p>
      <w:pPr>
        <w:pStyle w:val="25"/>
        <w:tabs>
          <w:tab w:val="right" w:pos="2400"/>
          <w:tab w:val="right" w:leader="dot" w:pos="9070"/>
        </w:tabs>
      </w:pPr>
      <w:r>
        <w:fldChar w:fldCharType="begin"/>
      </w:r>
      <w:r>
        <w:instrText xml:space="preserve"> HYPERLINK \l _Toc29787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_Toc29787 </w:instrText>
      </w:r>
      <w:r>
        <w:fldChar w:fldCharType="separate"/>
      </w:r>
      <w:r>
        <w:t>34</w:t>
      </w:r>
      <w:r>
        <w:fldChar w:fldCharType="end"/>
      </w:r>
      <w:r>
        <w:fldChar w:fldCharType="end"/>
      </w:r>
    </w:p>
    <w:p>
      <w:pPr>
        <w:pStyle w:val="25"/>
        <w:tabs>
          <w:tab w:val="right" w:pos="2400"/>
          <w:tab w:val="right" w:leader="dot" w:pos="9070"/>
        </w:tabs>
      </w:pPr>
      <w:r>
        <w:fldChar w:fldCharType="begin"/>
      </w:r>
      <w:r>
        <w:instrText xml:space="preserve"> HYPERLINK \l _Toc4700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_Toc4700 </w:instrText>
      </w:r>
      <w:r>
        <w:fldChar w:fldCharType="separate"/>
      </w:r>
      <w:r>
        <w:t>36</w:t>
      </w:r>
      <w:r>
        <w:fldChar w:fldCharType="end"/>
      </w:r>
      <w:r>
        <w:fldChar w:fldCharType="end"/>
      </w:r>
    </w:p>
    <w:p>
      <w:pPr>
        <w:pStyle w:val="25"/>
        <w:tabs>
          <w:tab w:val="right" w:pos="2400"/>
          <w:tab w:val="right" w:leader="dot" w:pos="9070"/>
        </w:tabs>
      </w:pPr>
      <w:r>
        <w:fldChar w:fldCharType="begin"/>
      </w:r>
      <w:r>
        <w:instrText xml:space="preserve"> HYPERLINK \l _Toc29201 </w:instrText>
      </w:r>
      <w:r>
        <w:fldChar w:fldCharType="separate"/>
      </w:r>
      <w:r>
        <w:t xml:space="preserve">附录 4 </w:t>
      </w:r>
      <w:r>
        <w:tab/>
      </w:r>
      <w:r>
        <w:rPr>
          <w:rFonts w:hint="eastAsia"/>
        </w:rPr>
        <w:t>主要功能房间构件隔声性能表</w:t>
      </w:r>
      <w:r>
        <w:tab/>
      </w:r>
      <w:r>
        <w:fldChar w:fldCharType="begin"/>
      </w:r>
      <w:r>
        <w:instrText xml:space="preserve"> PAGEREF _Toc29201 </w:instrText>
      </w:r>
      <w:r>
        <w:fldChar w:fldCharType="separate"/>
      </w:r>
      <w:r>
        <w:t>38</w:t>
      </w:r>
      <w:r>
        <w:fldChar w:fldCharType="end"/>
      </w:r>
      <w:r>
        <w:fldChar w:fldCharType="end"/>
      </w:r>
    </w:p>
    <w:p>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pPr>
        <w:pStyle w:val="2"/>
      </w:pPr>
      <w:bookmarkStart w:id="15" w:name="_Toc159941230"/>
      <w:bookmarkStart w:id="16" w:name="_Toc161211389"/>
      <w:bookmarkStart w:id="17" w:name="_Toc606"/>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工程名称</w:t>
            </w:r>
          </w:p>
        </w:tc>
        <w:tc>
          <w:tcPr>
            <w:tcW w:w="6056" w:type="dxa"/>
          </w:tcPr>
          <w:p>
            <w:pPr>
              <w:pStyle w:val="3"/>
            </w:pPr>
            <w:bookmarkStart w:id="18" w:name="工程名称"/>
            <w:r>
              <w:rPr>
                <w:rFonts w:hint="eastAsia"/>
              </w:rPr>
              <w:t>筑绿未来</w:t>
            </w:r>
            <w:bookmarkEnd w:id="18"/>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 xml:space="preserve">建筑面积 </w:t>
            </w:r>
            <w:r>
              <w:t>(m</w:t>
            </w:r>
            <w:r>
              <w:rPr>
                <w:vertAlign w:val="superscript"/>
              </w:rPr>
              <w:t>2</w:t>
            </w:r>
            <w:r>
              <w:t>)</w:t>
            </w:r>
          </w:p>
        </w:tc>
        <w:tc>
          <w:tcPr>
            <w:tcW w:w="6056" w:type="dxa"/>
          </w:tcPr>
          <w:p>
            <w:pPr>
              <w:pStyle w:val="3"/>
            </w:pPr>
            <w:r>
              <w:rPr>
                <w:rFonts w:hint="eastAsia"/>
              </w:rPr>
              <w:t xml:space="preserve">地上 </w:t>
            </w:r>
            <w:bookmarkStart w:id="19" w:name="地上建筑面积"/>
            <w:r>
              <w:t>11926</w:t>
            </w:r>
            <w:bookmarkEnd w:id="19"/>
            <w:r>
              <w:rPr>
                <w:rFonts w:hint="eastAsia"/>
              </w:rPr>
              <w:t xml:space="preserve">       地下 </w:t>
            </w:r>
            <w:bookmarkStart w:id="20" w:name="地下建筑面积"/>
            <w:r>
              <w:t>0</w:t>
            </w:r>
            <w:bookmarkEnd w:id="20"/>
            <w:r>
              <w:rPr>
                <w:rFonts w:hint="eastAsia"/>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建筑层数</w:t>
            </w:r>
          </w:p>
        </w:tc>
        <w:tc>
          <w:tcPr>
            <w:tcW w:w="6056" w:type="dxa"/>
          </w:tcPr>
          <w:p>
            <w:pPr>
              <w:pStyle w:val="3"/>
            </w:pPr>
            <w:r>
              <w:rPr>
                <w:rFonts w:hint="eastAsia"/>
              </w:rPr>
              <w:t xml:space="preserve">地上 </w:t>
            </w:r>
            <w:bookmarkStart w:id="21" w:name="地上建筑层数"/>
            <w:r>
              <w:t>7</w:t>
            </w:r>
            <w:bookmarkEnd w:id="21"/>
            <w:r>
              <w:rPr>
                <w:rFonts w:hint="eastAsia"/>
              </w:rPr>
              <w:t xml:space="preserve">        地下</w:t>
            </w:r>
            <w:bookmarkStart w:id="22" w:name="地下建筑层数"/>
            <w:r>
              <w:rPr>
                <w:rFonts w:hint="eastAsia"/>
              </w:rPr>
              <w:t>0</w:t>
            </w:r>
            <w:bookmarkEnd w:id="2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建筑高度（</w:t>
            </w:r>
            <w:r>
              <w:t>m</w:t>
            </w:r>
            <w:r>
              <w:rPr>
                <w:rFonts w:hint="eastAsia"/>
              </w:rPr>
              <w:t>）</w:t>
            </w:r>
          </w:p>
        </w:tc>
        <w:tc>
          <w:tcPr>
            <w:tcW w:w="6056" w:type="dxa"/>
          </w:tcPr>
          <w:p>
            <w:pPr>
              <w:pStyle w:val="3"/>
            </w:pPr>
            <w:r>
              <w:rPr>
                <w:rFonts w:hint="eastAsia"/>
              </w:rPr>
              <w:t>地上</w:t>
            </w:r>
            <w:bookmarkStart w:id="23" w:name="地上建筑高度"/>
            <w:r>
              <w:t>23.9</w:t>
            </w:r>
            <w:bookmarkEnd w:id="23"/>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北向角度（°）</w:t>
            </w:r>
          </w:p>
        </w:tc>
        <w:tc>
          <w:tcPr>
            <w:tcW w:w="6056" w:type="dxa"/>
          </w:tcPr>
          <w:p>
            <w:pPr>
              <w:pStyle w:val="3"/>
            </w:pPr>
            <w:bookmarkStart w:id="24" w:name="北向角度"/>
            <w:r>
              <w:rPr>
                <w:rFonts w:hint="eastAsia"/>
              </w:rPr>
              <w:t>90</w:t>
            </w:r>
            <w:bookmarkEnd w:id="24"/>
          </w:p>
        </w:tc>
      </w:tr>
    </w:tbl>
    <w:p>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50006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67375" cy="5000625"/>
                    </a:xfrm>
                    <a:prstGeom prst="rect">
                      <a:avLst/>
                    </a:prstGeom>
                  </pic:spPr>
                </pic:pic>
              </a:graphicData>
            </a:graphic>
          </wp:inline>
        </w:drawing>
      </w:r>
    </w:p>
    <w:p>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pPr>
        <w:pStyle w:val="2"/>
      </w:pPr>
      <w:bookmarkStart w:id="27" w:name="_Toc159941231"/>
      <w:bookmarkStart w:id="28" w:name="_Toc161211390"/>
      <w:bookmarkStart w:id="29" w:name="_Toc10865"/>
      <w:r>
        <w:rPr>
          <w:rFonts w:hint="eastAsia"/>
        </w:rPr>
        <w:t>评价依据</w:t>
      </w:r>
      <w:bookmarkEnd w:id="27"/>
      <w:bookmarkEnd w:id="28"/>
      <w:bookmarkEnd w:id="29"/>
    </w:p>
    <w:p>
      <w:pPr>
        <w:pStyle w:val="3"/>
        <w:ind w:left="420"/>
        <w:rPr>
          <w:lang w:val="en-US"/>
        </w:rPr>
      </w:pPr>
      <w:r>
        <w:rPr>
          <w:rFonts w:hint="eastAsia"/>
          <w:lang w:val="en-US"/>
        </w:rPr>
        <w:t>《绿色建筑评价标准》G</w:t>
      </w:r>
      <w:r>
        <w:rPr>
          <w:lang w:val="en-US"/>
        </w:rPr>
        <w:t>B/T 50378-</w:t>
      </w:r>
      <w:r>
        <w:rPr>
          <w:rFonts w:hint="eastAsia"/>
          <w:lang w:val="en-US"/>
        </w:rPr>
        <w:t>2019（2024年版）</w:t>
      </w:r>
    </w:p>
    <w:p>
      <w:pPr>
        <w:pStyle w:val="3"/>
        <w:ind w:left="420"/>
        <w:rPr>
          <w:lang w:val="en-US"/>
        </w:rPr>
      </w:pPr>
      <w:r>
        <w:rPr>
          <w:rFonts w:hint="eastAsia"/>
          <w:lang w:val="en-US"/>
        </w:rPr>
        <w:t>《民用建筑隔声设计规范》</w:t>
      </w:r>
      <w:r>
        <w:rPr>
          <w:lang w:val="en-US"/>
        </w:rPr>
        <w:t>GB 50118-2010</w:t>
      </w:r>
    </w:p>
    <w:p>
      <w:pPr>
        <w:pStyle w:val="3"/>
        <w:ind w:left="420"/>
        <w:rPr>
          <w:lang w:val="en-US"/>
        </w:rPr>
      </w:pPr>
      <w:r>
        <w:rPr>
          <w:rFonts w:hint="eastAsia"/>
          <w:lang w:val="en-US"/>
        </w:rPr>
        <w:t>《建筑隔声评价标准》</w:t>
      </w:r>
      <w:r>
        <w:rPr>
          <w:lang w:val="en-US"/>
        </w:rPr>
        <w:t>GB/T 50121-2005</w:t>
      </w:r>
    </w:p>
    <w:p>
      <w:pPr>
        <w:pStyle w:val="3"/>
        <w:ind w:left="420"/>
        <w:rPr>
          <w:lang w:val="en-US"/>
        </w:rPr>
      </w:pPr>
      <w:r>
        <w:rPr>
          <w:rFonts w:hint="eastAsia"/>
          <w:lang w:val="en-US"/>
        </w:rPr>
        <w:t>《建筑声学设计手册》</w:t>
      </w:r>
    </w:p>
    <w:p>
      <w:pPr>
        <w:pStyle w:val="3"/>
        <w:ind w:left="420"/>
        <w:rPr>
          <w:lang w:val="en-US"/>
        </w:rPr>
      </w:pPr>
      <w:r>
        <w:rPr>
          <w:rFonts w:hint="eastAsia"/>
          <w:lang w:val="en-US"/>
        </w:rPr>
        <w:t>《建筑隔声设计</w:t>
      </w:r>
      <w:r>
        <w:rPr>
          <w:lang w:val="en-US"/>
        </w:rPr>
        <w:t>—</w:t>
      </w:r>
      <w:r>
        <w:rPr>
          <w:rFonts w:hint="eastAsia"/>
          <w:lang w:val="en-US"/>
        </w:rPr>
        <w:t>空气声隔声技术》</w:t>
      </w:r>
    </w:p>
    <w:p>
      <w:pPr>
        <w:pStyle w:val="3"/>
        <w:ind w:left="420"/>
        <w:rPr>
          <w:lang w:val="en-US"/>
        </w:rPr>
      </w:pPr>
      <w:r>
        <w:rPr>
          <w:rFonts w:hint="eastAsia"/>
          <w:lang w:val="en-US"/>
        </w:rPr>
        <w:t>《声学手册》</w:t>
      </w:r>
    </w:p>
    <w:p>
      <w:pPr>
        <w:pStyle w:val="3"/>
        <w:ind w:left="420"/>
        <w:rPr>
          <w:lang w:val="en-US"/>
        </w:rPr>
      </w:pPr>
      <w:r>
        <w:rPr>
          <w:rFonts w:hint="eastAsia"/>
          <w:lang w:val="en-US"/>
        </w:rPr>
        <w:t>《噪声与振动控制工程手册 》</w:t>
      </w:r>
    </w:p>
    <w:p>
      <w:pPr>
        <w:pStyle w:val="3"/>
        <w:ind w:left="420"/>
        <w:rPr>
          <w:lang w:val="en-US"/>
        </w:rPr>
      </w:pPr>
      <w:r>
        <w:rPr>
          <w:rFonts w:hint="eastAsia"/>
          <w:lang w:val="en-US"/>
        </w:rPr>
        <w:t>《建筑声学设计原理》</w:t>
      </w:r>
    </w:p>
    <w:p>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ind w:left="420"/>
        <w:rPr>
          <w:lang w:val="en-US"/>
        </w:rPr>
      </w:pPr>
      <w:r>
        <w:rPr>
          <w:rFonts w:hint="eastAsia"/>
          <w:lang w:val="en-US"/>
        </w:rPr>
        <w:t>《建筑设计资料集（</w:t>
      </w:r>
      <w:r>
        <w:rPr>
          <w:lang w:val="en-US"/>
        </w:rPr>
        <w:t>2</w:t>
      </w:r>
      <w:r>
        <w:rPr>
          <w:rFonts w:hint="eastAsia"/>
          <w:lang w:val="en-US"/>
        </w:rPr>
        <w:t>）第二版》</w:t>
      </w:r>
    </w:p>
    <w:p>
      <w:pPr>
        <w:pStyle w:val="2"/>
      </w:pPr>
      <w:bookmarkStart w:id="30" w:name="_Toc159941232"/>
      <w:bookmarkStart w:id="31" w:name="_Toc161211391"/>
      <w:bookmarkStart w:id="32" w:name="_Toc23043"/>
      <w:r>
        <w:rPr>
          <w:rFonts w:hint="eastAsia"/>
        </w:rPr>
        <w:t>标准</w:t>
      </w:r>
      <w:r>
        <w:t>要求</w:t>
      </w:r>
      <w:bookmarkEnd w:id="30"/>
      <w:bookmarkEnd w:id="31"/>
      <w:bookmarkEnd w:id="32"/>
    </w:p>
    <w:p>
      <w:pPr>
        <w:pStyle w:val="3"/>
        <w:numPr>
          <w:ilvl w:val="0"/>
          <w:numId w:val="3"/>
        </w:numPr>
        <w:rPr>
          <w:bCs/>
        </w:rPr>
      </w:pPr>
      <w:r>
        <w:rPr>
          <w:rFonts w:hint="eastAsia"/>
          <w:bCs/>
        </w:rPr>
        <w:t xml:space="preserve">控制项要求： </w:t>
      </w:r>
    </w:p>
    <w:p>
      <w:pPr>
        <w:pStyle w:val="3"/>
        <w:ind w:left="360" w:leftChars="200"/>
      </w:pPr>
      <w:r>
        <w:rPr>
          <w:rFonts w:hint="eastAsia"/>
        </w:rPr>
        <w:t>5.1.4 建筑声环境设计应符合下列要求：</w:t>
      </w:r>
    </w:p>
    <w:p>
      <w:pPr>
        <w:pStyle w:val="3"/>
        <w:ind w:left="420" w:firstLine="289"/>
      </w:pPr>
      <w:r>
        <w:rPr>
          <w:rFonts w:hint="eastAsia"/>
        </w:rPr>
        <w:t xml:space="preserve">1 </w:t>
      </w:r>
      <w:r>
        <w:t>场地规划布局和建筑平面设计时应合理规划噪声源区域和噪声敏感区域，并进行识别和标注；</w:t>
      </w:r>
    </w:p>
    <w:p>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pPr>
        <w:pStyle w:val="3"/>
        <w:ind w:left="420" w:firstLine="289"/>
      </w:pPr>
    </w:p>
    <w:p>
      <w:pPr>
        <w:pStyle w:val="3"/>
        <w:numPr>
          <w:ilvl w:val="0"/>
          <w:numId w:val="4"/>
        </w:numPr>
        <w:rPr>
          <w:bCs/>
        </w:rPr>
      </w:pPr>
      <w:r>
        <w:rPr>
          <w:rFonts w:hint="eastAsia"/>
          <w:bCs/>
        </w:rPr>
        <w:t>评分项要求：</w:t>
      </w:r>
    </w:p>
    <w:p>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pPr>
        <w:pStyle w:val="3"/>
        <w:ind w:firstLine="315" w:firstLineChars="150"/>
        <w:rPr>
          <w:color w:val="0000FF"/>
        </w:rPr>
      </w:pPr>
      <w:r>
        <w:rPr>
          <w:rFonts w:hint="eastAsia"/>
        </w:rPr>
        <w:t>5.2.7 主要功能房间的隔声性能良好，评价总分值为10分，按表5.2.7的规则分别评分并累计：</w:t>
      </w:r>
    </w:p>
    <w:p>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计权标准化声压级差与交通噪声频谱修正量之和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pPr>
              <w:pStyle w:val="3"/>
              <w:spacing w:line="360" w:lineRule="exact"/>
              <w:jc w:val="center"/>
              <w:rPr>
                <w:sz w:val="18"/>
                <w:szCs w:val="18"/>
              </w:rPr>
            </w:pPr>
            <w:r>
              <w:rPr>
                <w:rFonts w:hint="eastAsia"/>
                <w:sz w:val="18"/>
                <w:szCs w:val="18"/>
              </w:rPr>
              <w:t>且计权标准化声压级差与粉红噪声频谱修正量之和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pPr>
        <w:pStyle w:val="3"/>
        <w:ind w:firstLine="315" w:firstLineChars="150"/>
        <w:jc w:val="center"/>
        <w:rPr>
          <w:color w:val="008080"/>
        </w:rPr>
      </w:pPr>
    </w:p>
    <w:p>
      <w:pPr>
        <w:pStyle w:val="2"/>
      </w:pPr>
      <w:bookmarkStart w:id="33" w:name="_Toc151387740"/>
      <w:bookmarkStart w:id="34" w:name="_Toc159941233"/>
      <w:bookmarkStart w:id="35" w:name="_Toc161211392"/>
      <w:bookmarkStart w:id="36" w:name="_Toc16994"/>
      <w:r>
        <w:rPr>
          <w:rFonts w:hint="eastAsia"/>
        </w:rPr>
        <w:t>声学原理</w:t>
      </w:r>
      <w:bookmarkEnd w:id="33"/>
      <w:bookmarkEnd w:id="34"/>
      <w:r>
        <w:rPr>
          <w:rFonts w:hint="eastAsia"/>
        </w:rPr>
        <w:t>及计算方法</w:t>
      </w:r>
      <w:bookmarkEnd w:id="35"/>
      <w:bookmarkEnd w:id="36"/>
    </w:p>
    <w:p>
      <w:pPr>
        <w:pStyle w:val="4"/>
      </w:pPr>
      <w:bookmarkStart w:id="37" w:name="_Toc161211393"/>
      <w:bookmarkStart w:id="38" w:name="_Toc6324"/>
      <w:bookmarkStart w:id="39" w:name="_Hlk498956250"/>
      <w:r>
        <w:rPr>
          <w:rFonts w:hint="eastAsia"/>
        </w:rPr>
        <w:t>原理概要</w:t>
      </w:r>
      <w:bookmarkEnd w:id="37"/>
      <w:bookmarkEnd w:id="38"/>
    </w:p>
    <w:p>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pPr>
        <w:pStyle w:val="3"/>
        <w:numPr>
          <w:ilvl w:val="0"/>
          <w:numId w:val="5"/>
        </w:numPr>
      </w:pPr>
      <w:r>
        <w:rPr>
          <w:rFonts w:hint="eastAsia"/>
        </w:rPr>
        <w:t>空气声：声源经过空气向四周传播的噪声，如室外交通噪声。</w:t>
      </w:r>
    </w:p>
    <w:p>
      <w:pPr>
        <w:pStyle w:val="3"/>
        <w:numPr>
          <w:ilvl w:val="0"/>
          <w:numId w:val="5"/>
        </w:numPr>
      </w:pPr>
      <w:r>
        <w:rPr>
          <w:rFonts w:hint="eastAsia"/>
        </w:rPr>
        <w:t>撞击声：两物体相互撞击产生的噪声，通过固体来传播，如楼板上行走</w:t>
      </w:r>
      <w:r>
        <w:t>的脚步声。</w:t>
      </w:r>
    </w:p>
    <w:p>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pPr>
        <w:pStyle w:val="3"/>
        <w:ind w:firstLine="424" w:firstLineChars="202"/>
      </w:pPr>
    </w:p>
    <w:p>
      <w:pPr>
        <w:pStyle w:val="5"/>
      </w:pPr>
      <w:bookmarkStart w:id="41" w:name="_Toc161211394"/>
      <w:bookmarkStart w:id="42" w:name="_Toc154147335"/>
      <w:r>
        <w:rPr>
          <w:rFonts w:hint="eastAsia"/>
        </w:rPr>
        <w:t>空气声隔声</w:t>
      </w:r>
      <w:bookmarkEnd w:id="41"/>
      <w:bookmarkEnd w:id="42"/>
    </w:p>
    <w:p>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pPr>
        <w:pStyle w:val="12"/>
        <w:spacing w:before="156" w:beforeLines="50" w:after="156" w:afterLines="50"/>
        <w:jc w:val="center"/>
        <w:rPr>
          <w:rFonts w:ascii="微软雅黑" w:hAnsi="微软雅黑" w:eastAsia="微软雅黑"/>
          <w:kern w:val="2"/>
          <w:szCs w:val="22"/>
          <w:lang w:val="en-US"/>
        </w:rPr>
      </w:pPr>
      <m:oMath>
        <m:r>
          <w:rPr>
            <w:rFonts w:ascii="Cambria Math" w:hAnsi="Cambria Math" w:eastAsia="微软雅黑"/>
            <w:sz w:val="22"/>
            <w:szCs w:val="22"/>
          </w:rPr>
          <m:t>R=10</m:t>
        </m:r>
        <m:func>
          <m:funcPr>
            <m:ctrlPr>
              <w:rPr>
                <w:rFonts w:ascii="Cambria Math" w:hAnsi="Cambria Math" w:eastAsia="微软雅黑"/>
                <w:i/>
                <w:sz w:val="22"/>
                <w:szCs w:val="22"/>
              </w:rPr>
            </m:ctrlPr>
          </m:funcPr>
          <m:fName>
            <m: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w:rPr>
                    <w:rFonts w:ascii="Cambria Math" w:hAnsi="Cambria Math" w:eastAsia="微软雅黑"/>
                    <w:sz w:val="22"/>
                    <w:szCs w:val="22"/>
                  </w:rPr>
                  <m:t>1</m:t>
                </m:r>
                <m:ctrlPr>
                  <w:rPr>
                    <w:rFonts w:ascii="Cambria Math" w:hAnsi="Cambria Math" w:eastAsia="微软雅黑"/>
                    <w:i/>
                    <w:sz w:val="22"/>
                    <w:szCs w:val="22"/>
                  </w:rPr>
                </m:ctrlPr>
              </m:num>
              <m:den>
                <m: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pPr>
              <w:pStyle w:val="3"/>
              <w:spacing w:line="300" w:lineRule="exact"/>
            </w:pPr>
            <w:r>
              <w:rPr>
                <w:rFonts w:hint="eastAsia"/>
              </w:rPr>
              <w:t>式中：</w:t>
            </w:r>
          </w:p>
        </w:tc>
        <w:tc>
          <w:tcPr>
            <w:tcW w:w="366" w:type="dxa"/>
          </w:tcPr>
          <w:p>
            <w:pPr>
              <w:pStyle w:val="3"/>
              <w:spacing w:line="300" w:lineRule="exact"/>
            </w:pPr>
            <m:oMathPara>
              <m:oMath>
                <m:r>
                  <m:rPr>
                    <m:sty m:val="p"/>
                  </m:rPr>
                  <w:rPr>
                    <w:rFonts w:ascii="Cambria Math" w:hAnsi="Cambria Math"/>
                  </w:rPr>
                  <m:t>τ</m:t>
                </m:r>
              </m:oMath>
            </m:oMathPara>
          </w:p>
        </w:tc>
        <w:tc>
          <w:tcPr>
            <w:tcW w:w="443" w:type="dxa"/>
          </w:tcPr>
          <w:p>
            <w:pPr>
              <w:pStyle w:val="3"/>
              <w:spacing w:line="300" w:lineRule="exact"/>
            </w:pPr>
            <w:r>
              <w:rPr>
                <w:rFonts w:hint="eastAsia"/>
              </w:rPr>
              <w:t>—</w:t>
            </w:r>
          </w:p>
        </w:tc>
        <w:tc>
          <w:tcPr>
            <w:tcW w:w="7352" w:type="dxa"/>
          </w:tcPr>
          <w:p>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pPr>
        <w:pStyle w:val="3"/>
        <w:ind w:firstLine="360"/>
        <w:rPr>
          <w:lang w:val="en-US"/>
        </w:rPr>
      </w:pPr>
    </w:p>
    <w:p>
      <w:pPr>
        <w:pStyle w:val="5"/>
      </w:pPr>
      <w:bookmarkStart w:id="44" w:name="_Toc161211395"/>
      <w:r>
        <w:rPr>
          <w:rFonts w:hint="eastAsia"/>
        </w:rPr>
        <w:t>撞击声隔声</w:t>
      </w:r>
      <w:bookmarkEnd w:id="44"/>
    </w:p>
    <w:p>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pPr>
        <w:pStyle w:val="3"/>
        <w:ind w:firstLine="420"/>
        <w:rPr>
          <w:lang w:val="en-US"/>
        </w:rPr>
      </w:pPr>
    </w:p>
    <w:p>
      <w:pPr>
        <w:pStyle w:val="4"/>
      </w:pPr>
      <w:bookmarkStart w:id="45" w:name="_Toc159941235"/>
      <w:bookmarkStart w:id="46" w:name="_Toc161211396"/>
      <w:bookmarkStart w:id="47" w:name="_Toc18783"/>
      <w:r>
        <w:rPr>
          <w:rFonts w:hint="eastAsia"/>
        </w:rPr>
        <w:t>计算方法</w:t>
      </w:r>
      <w:bookmarkEnd w:id="45"/>
      <w:bookmarkEnd w:id="46"/>
      <w:bookmarkEnd w:id="47"/>
    </w:p>
    <w:p>
      <w:pPr>
        <w:pStyle w:val="5"/>
      </w:pPr>
      <w:bookmarkStart w:id="48" w:name="_Toc161211397"/>
      <w:r>
        <w:rPr>
          <w:rFonts w:hint="eastAsia"/>
        </w:rPr>
        <w:t>均质构件的空气声隔声量</w:t>
      </w:r>
      <w:bookmarkEnd w:id="48"/>
    </w:p>
    <w:p>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w:rPr>
                <w:rFonts w:ascii="Cambria Math" w:hAnsi="Cambria Math" w:eastAsia="微软雅黑"/>
                <w:sz w:val="22"/>
                <w:szCs w:val="22"/>
              </w:rPr>
              <m:t>&amp;R=23</m:t>
            </m:r>
            <m:r>
              <m:rPr>
                <m:sty m:val="p"/>
              </m:rPr>
              <w:rPr>
                <w:rFonts w:ascii="Cambria Math" w:hAnsi="Cambria Math" w:eastAsia="微软雅黑"/>
                <w:sz w:val="22"/>
                <w:szCs w:val="22"/>
              </w:rPr>
              <m:t>lg</m:t>
            </m:r>
            <m:r>
              <w:rPr>
                <w:rFonts w:ascii="Cambria Math" w:hAnsi="Cambria Math" w:eastAsia="微软雅黑"/>
                <w:sz w:val="22"/>
                <w:szCs w:val="22"/>
              </w:rPr>
              <m:t>⁡m+11</m:t>
            </m:r>
            <m:r>
              <m:rPr>
                <m:sty m:val="p"/>
              </m:rPr>
              <w:rPr>
                <w:rFonts w:ascii="Cambria Math" w:hAnsi="Cambria Math" w:eastAsia="微软雅黑"/>
                <w:sz w:val="22"/>
                <w:szCs w:val="22"/>
              </w:rPr>
              <m:t>lg</m:t>
            </m:r>
            <m:r>
              <w:rPr>
                <w:rFonts w:ascii="Cambria Math" w:hAnsi="Cambria Math" w:eastAsia="微软雅黑"/>
                <w:sz w:val="22"/>
                <w:szCs w:val="22"/>
              </w:rPr>
              <m:t>⁡f-41    &amp;&amp;</m:t>
            </m:r>
            <m:d>
              <m:dPr>
                <m:ctrlPr>
                  <w:rPr>
                    <w:rFonts w:ascii="Cambria Math" w:hAnsi="Cambria Math" w:eastAsia="微软雅黑"/>
                    <w:sz w:val="22"/>
                    <w:szCs w:val="22"/>
                  </w:rPr>
                </m:ctrlPr>
              </m:dPr>
              <m:e>
                <m:r>
                  <w:rPr>
                    <w:rFonts w:ascii="Cambria Math" w:hAnsi="Cambria Math" w:eastAsia="微软雅黑"/>
                    <w:sz w:val="22"/>
                    <w:szCs w:val="22"/>
                  </w:rPr>
                  <m:t>m≥200</m:t>
                </m:r>
                <m:r>
                  <m:rPr>
                    <m:sty m:val="p"/>
                  </m:rPr>
                  <w:rPr>
                    <w:rFonts w:ascii="Cambria Math" w:hAnsi="Cambria Math" w:eastAsia="微软雅黑"/>
                    <w:sz w:val="22"/>
                    <w:szCs w:val="22"/>
                  </w:rPr>
                  <m:t>kg</m:t>
                </m:r>
                <m: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w:rPr>
                <w:rFonts w:ascii="Cambria Math" w:hAnsi="Cambria Math" w:eastAsia="微软雅黑"/>
                <w:sz w:val="22"/>
                <w:szCs w:val="22"/>
              </w:rPr>
              <m:t>&amp;R=13</m:t>
            </m:r>
            <m:r>
              <m:rPr>
                <m:sty m:val="p"/>
              </m:rPr>
              <w:rPr>
                <w:rFonts w:ascii="Cambria Math" w:hAnsi="Cambria Math" w:eastAsia="微软雅黑"/>
                <w:sz w:val="22"/>
                <w:szCs w:val="22"/>
              </w:rPr>
              <m:t>lg</m:t>
            </m:r>
            <m:r>
              <w:rPr>
                <w:rFonts w:ascii="Cambria Math" w:hAnsi="Cambria Math" w:eastAsia="微软雅黑"/>
                <w:sz w:val="22"/>
                <w:szCs w:val="22"/>
              </w:rPr>
              <m:t>⁡m+11</m:t>
            </m:r>
            <m:r>
              <m:rPr>
                <m:sty m:val="p"/>
              </m:rPr>
              <w:rPr>
                <w:rFonts w:ascii="Cambria Math" w:hAnsi="Cambria Math" w:eastAsia="微软雅黑"/>
                <w:sz w:val="22"/>
                <w:szCs w:val="22"/>
              </w:rPr>
              <m:t>lg</m:t>
            </m:r>
            <m:r>
              <w:rPr>
                <w:rFonts w:ascii="Cambria Math" w:hAnsi="Cambria Math" w:eastAsia="微软雅黑"/>
                <w:sz w:val="22"/>
                <w:szCs w:val="22"/>
              </w:rPr>
              <m:t>⁡f-18    &amp;&amp;</m:t>
            </m:r>
            <m:d>
              <m:dPr>
                <m:ctrlPr>
                  <w:rPr>
                    <w:rFonts w:ascii="Cambria Math" w:hAnsi="Cambria Math" w:eastAsia="微软雅黑"/>
                    <w:sz w:val="22"/>
                    <w:szCs w:val="22"/>
                  </w:rPr>
                </m:ctrlPr>
              </m:dPr>
              <m:e>
                <m:r>
                  <w:rPr>
                    <w:rFonts w:ascii="Cambria Math" w:hAnsi="Cambria Math" w:eastAsia="微软雅黑"/>
                    <w:sz w:val="22"/>
                    <w:szCs w:val="22"/>
                  </w:rPr>
                  <m:t>m≤200</m:t>
                </m:r>
                <m:r>
                  <m:rPr>
                    <m:sty m:val="p"/>
                  </m:rPr>
                  <w:rPr>
                    <w:rFonts w:ascii="Cambria Math" w:hAnsi="Cambria Math" w:eastAsia="微软雅黑"/>
                    <w:sz w:val="22"/>
                    <w:szCs w:val="22"/>
                  </w:rPr>
                  <m:t>kg</m:t>
                </m:r>
                <m: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pPr>
        <w:pStyle w:val="3"/>
        <w:ind w:firstLine="420" w:firstLineChars="200"/>
        <w:jc w:val="center"/>
      </w:pPr>
    </w:p>
    <w:p>
      <w:pPr>
        <w:pStyle w:val="5"/>
      </w:pPr>
      <w:bookmarkStart w:id="49" w:name="_Toc161211398"/>
      <w:r>
        <w:rPr>
          <w:rFonts w:hint="eastAsia"/>
        </w:rPr>
        <w:t>组合墙的空气声有效隔声量</w:t>
      </w:r>
      <w:bookmarkEnd w:id="49"/>
    </w:p>
    <w:p>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pPr>
        <w:pStyle w:val="3"/>
        <w:ind w:firstLine="420" w:firstLineChars="200"/>
        <w:rPr>
          <w:lang w:val="en-US"/>
        </w:rPr>
      </w:pPr>
      <w:r>
        <w:rPr>
          <w:rFonts w:hint="eastAsia"/>
          <w:lang w:val="en-US"/>
        </w:rPr>
        <w:t>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τ</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w:rPr>
                <w:rFonts w:ascii="Cambria Math" w:hAnsi="Cambria Math" w:eastAsia="微软雅黑"/>
                <w:sz w:val="22"/>
                <w:szCs w:val="22"/>
                <w:lang w:val="en-US"/>
              </w:rPr>
              <m:t>10</m:t>
            </m:r>
            <m:ctrlPr>
              <w:rPr>
                <w:rFonts w:ascii="Cambria Math" w:hAnsi="Cambria Math" w:eastAsia="微软雅黑" w:cs="微软雅黑"/>
                <w:sz w:val="22"/>
                <w:szCs w:val="22"/>
              </w:rPr>
            </m:ctrlPr>
          </m:e>
          <m:sup>
            <m: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pPr>
        <w:pStyle w:val="3"/>
        <w:ind w:firstLine="420" w:firstLineChars="200"/>
        <w:rPr>
          <w:lang w:val="en-US"/>
        </w:rPr>
      </w:pPr>
      <w:r>
        <w:rPr>
          <w:rFonts w:hint="eastAsia"/>
          <w:lang w:val="en-US"/>
        </w:rPr>
        <w:t>组合墙的平均透射系数：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τ</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pPr>
        <w:pStyle w:val="3"/>
        <w:ind w:firstLine="420" w:firstLineChars="200"/>
        <w:rPr>
          <w:lang w:val="en-US"/>
        </w:rPr>
      </w:pPr>
      <w:r>
        <w:rPr>
          <w:rFonts w:hint="eastAsia"/>
          <w:lang w:val="en-US"/>
        </w:rPr>
        <w:t>实际隔声量：</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jS</m:t>
            </m:r>
            <m:ctrlPr>
              <w:rPr>
                <w:rFonts w:ascii="Cambria Math" w:hAnsi="Cambria Math" w:eastAsia="微软雅黑" w:cs="微软雅黑"/>
                <w:sz w:val="22"/>
                <w:szCs w:val="22"/>
              </w:rPr>
            </m:ctrlPr>
          </m:sub>
        </m:sSub>
        <m: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jY</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jS</m:t>
            </m:r>
            <m:ctrlPr>
              <w:rPr>
                <w:rFonts w:ascii="Cambria Math" w:hAnsi="Cambria Math" w:eastAsia="微软雅黑" w:cs="微软雅黑"/>
                <w:sz w:val="22"/>
                <w:szCs w:val="22"/>
              </w:rPr>
            </m:ctrlPr>
          </m:sub>
        </m:sSub>
        <m: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A</m:t>
                </m:r>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jc w:val="left"/>
              <w:rPr>
                <w:szCs w:val="22"/>
              </w:rPr>
            </w:pPr>
            <m:oMathPara>
              <m:oMath>
                <m:sSub>
                  <m:sSubPr>
                    <m:ctrlPr>
                      <w:rPr>
                        <w:rFonts w:ascii="Cambria Math" w:hAnsi="Cambria Math"/>
                        <w:szCs w:val="22"/>
                        <w:lang w:val="en-US"/>
                      </w:rPr>
                    </m:ctrlPr>
                  </m:sSubPr>
                  <m:e>
                    <m:r>
                      <w:rPr>
                        <w:rFonts w:ascii="Cambria Math" w:hAnsi="Cambria Math"/>
                        <w:szCs w:val="22"/>
                        <w:lang w:val="en-US"/>
                      </w:rPr>
                      <m:t>τ</m:t>
                    </m:r>
                    <m:ctrlPr>
                      <w:rPr>
                        <w:rFonts w:ascii="Cambria Math" w:hAnsi="Cambria Math"/>
                        <w:szCs w:val="22"/>
                        <w:lang w:val="en-US"/>
                      </w:rPr>
                    </m:ctrlPr>
                  </m:e>
                  <m:sub>
                    <m: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隔声构件k在中心频率为j时的透射系数；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R</m:t>
                    </m:r>
                    <m:ctrlPr>
                      <w:rPr>
                        <w:rFonts w:ascii="Cambria Math" w:hAnsi="Cambria Math"/>
                        <w:szCs w:val="22"/>
                        <w:lang w:val="en-US"/>
                      </w:rPr>
                    </m:ctrlPr>
                  </m:e>
                  <m:sub>
                    <m: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隔声构件k在中心频率为j时的空气声隔声量，dB；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S</m:t>
                    </m:r>
                    <m:ctrlPr>
                      <w:rPr>
                        <w:rFonts w:ascii="Cambria Math" w:hAnsi="Cambria Math"/>
                        <w:szCs w:val="22"/>
                        <w:lang w:val="en-US"/>
                      </w:rPr>
                    </m:ctrlPr>
                  </m:e>
                  <m:sub>
                    <m:r>
                      <w:rPr>
                        <w:rFonts w:ascii="Cambria Math" w:hAnsi="Cambria Math"/>
                        <w:szCs w:val="22"/>
                        <w:lang w:val="en-US"/>
                      </w:rPr>
                      <m:t>k</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A</m:t>
                    </m:r>
                    <m:ctrlPr>
                      <w:rPr>
                        <w:rFonts w:ascii="Cambria Math" w:hAnsi="Cambria Math"/>
                        <w:szCs w:val="22"/>
                        <w:lang w:val="en-US"/>
                      </w:rPr>
                    </m:ctrlPr>
                  </m:e>
                  <m:sub>
                    <m:r>
                      <w:rPr>
                        <w:rFonts w:ascii="Cambria Math" w:hAnsi="Cambria Math"/>
                        <w:szCs w:val="22"/>
                        <w:lang w:val="en-US"/>
                      </w:rPr>
                      <m:t>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pPr>
        <w:pStyle w:val="5"/>
      </w:pPr>
      <w:bookmarkStart w:id="50" w:name="_Toc161211399"/>
      <w:bookmarkStart w:id="51" w:name="_Toc147654341"/>
      <w:r>
        <w:t>房间的总吸声量</w:t>
      </w:r>
      <w:bookmarkEnd w:id="50"/>
    </w:p>
    <w:p>
      <w:pPr>
        <w:pStyle w:val="3"/>
        <w:ind w:firstLine="420"/>
        <w:rPr>
          <w:lang w:val="en-US"/>
        </w:rPr>
      </w:pPr>
      <w:r>
        <w:rPr>
          <w:rFonts w:hint="eastAsia"/>
          <w:lang w:val="en-US"/>
        </w:rPr>
        <w:t>各中心频率下的总吸声量，按照下面的公式计算：</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A</m:t>
            </m:r>
            <m:ctrlPr>
              <w:rPr>
                <w:rFonts w:ascii="Cambria Math" w:hAnsi="Cambria Math" w:eastAsia="微软雅黑" w:cs="微软雅黑"/>
                <w:i/>
                <w:sz w:val="22"/>
                <w:szCs w:val="22"/>
              </w:rPr>
            </m:ctrlPr>
          </m:e>
          <m:sub>
            <m:r>
              <w:rPr>
                <w:rFonts w:ascii="Cambria Math" w:hAnsi="Cambria Math" w:eastAsia="微软雅黑"/>
                <w:sz w:val="22"/>
                <w:szCs w:val="22"/>
                <w:lang w:val="en-US"/>
              </w:rPr>
              <m:t>j</m:t>
            </m:r>
            <m:ctrlPr>
              <w:rPr>
                <w:rFonts w:ascii="Cambria Math" w:hAnsi="Cambria Math" w:eastAsia="微软雅黑" w:cs="微软雅黑"/>
                <w:i/>
                <w:sz w:val="22"/>
                <w:szCs w:val="22"/>
              </w:rPr>
            </m:ctrlPr>
          </m:sub>
        </m:sSub>
        <m: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w:rPr>
                <w:rFonts w:ascii="Cambria Math" w:hAnsi="Cambria Math" w:eastAsia="微软雅黑"/>
                <w:sz w:val="22"/>
                <w:szCs w:val="22"/>
                <w:lang w:val="en-US"/>
              </w:rPr>
              <m:t>i=1</m:t>
            </m:r>
            <m:ctrlPr>
              <w:rPr>
                <w:rFonts w:ascii="Cambria Math" w:hAnsi="Cambria Math" w:eastAsia="微软雅黑" w:cs="微软雅黑"/>
                <w:i/>
                <w:sz w:val="22"/>
                <w:szCs w:val="22"/>
              </w:rPr>
            </m:ctrlPr>
          </m:sub>
          <m:sup>
            <m: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α</m:t>
                </m:r>
                <m:ctrlPr>
                  <w:rPr>
                    <w:rFonts w:ascii="Cambria Math" w:hAnsi="Cambria Math" w:eastAsia="微软雅黑" w:cs="微软雅黑"/>
                    <w:i/>
                    <w:sz w:val="22"/>
                    <w:szCs w:val="22"/>
                  </w:rPr>
                </m:ctrlPr>
              </m:e>
              <m:sub>
                <m: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S</m:t>
                </m:r>
                <m:ctrlPr>
                  <w:rPr>
                    <w:rFonts w:ascii="Cambria Math" w:hAnsi="Cambria Math" w:eastAsia="微软雅黑" w:cs="微软雅黑"/>
                    <w:i/>
                    <w:sz w:val="22"/>
                    <w:szCs w:val="22"/>
                  </w:rPr>
                </m:ctrlPr>
              </m:e>
              <m:sub>
                <m: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A</m:t>
                    </m:r>
                    <m:ctrlPr>
                      <w:rPr>
                        <w:rFonts w:ascii="Cambria Math" w:hAnsi="Cambria Math"/>
                        <w:lang w:val="en-US"/>
                      </w:rPr>
                    </m:ctrlPr>
                  </m:e>
                  <m:sub>
                    <m:r>
                      <w:rPr>
                        <w:rFonts w:ascii="Cambria Math" w:hAnsi="Cambria Math"/>
                        <w:lang w:val="en-US"/>
                      </w:rPr>
                      <m:t>j</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房间在中心频率为j时的总吸声量，m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α</m:t>
                    </m:r>
                    <m:ctrlPr>
                      <w:rPr>
                        <w:rFonts w:ascii="Cambria Math" w:hAnsi="Cambria Math"/>
                        <w:szCs w:val="22"/>
                        <w:lang w:val="en-US"/>
                      </w:rPr>
                    </m:ctrlPr>
                  </m:e>
                  <m:sub>
                    <m:r>
                      <w:rPr>
                        <w:rFonts w:ascii="Cambria Math" w:hAnsi="Cambria Math"/>
                        <w:szCs w:val="22"/>
                        <w:lang w:val="en-US"/>
                      </w:rPr>
                      <m:t>ij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S</m:t>
                    </m:r>
                    <m:ctrlPr>
                      <w:rPr>
                        <w:rFonts w:ascii="Cambria Math" w:hAnsi="Cambria Math"/>
                        <w:szCs w:val="22"/>
                        <w:lang w:val="en-US"/>
                      </w:rPr>
                    </m:ctrlPr>
                  </m:e>
                  <m:sub>
                    <m:r>
                      <w:rPr>
                        <w:rFonts w:ascii="Cambria Math" w:hAnsi="Cambria Math"/>
                        <w:szCs w:val="22"/>
                        <w:lang w:val="en-US"/>
                      </w:rPr>
                      <m:t>i</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pPr>
        <w:pStyle w:val="5"/>
      </w:pPr>
      <w:bookmarkStart w:id="52" w:name="_Toc161211400"/>
      <w:r>
        <w:rPr>
          <w:rFonts w:hint="eastAsia"/>
        </w:rPr>
        <w:t>缝隙对组合墙隔声量的影响</w:t>
      </w:r>
      <w:bookmarkEnd w:id="51"/>
      <w:bookmarkEnd w:id="52"/>
    </w:p>
    <w:p>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w:rPr>
            <w:rFonts w:ascii="Cambria Math" w:hAnsi="Cambria Math" w:eastAsia="微软雅黑"/>
            <w:sz w:val="22"/>
            <w:szCs w:val="22"/>
          </w:rPr>
          <m:t>R=10</m:t>
        </m:r>
        <m:r>
          <m:rPr>
            <m:sty m:val="p"/>
          </m:rPr>
          <w:rPr>
            <w:rFonts w:ascii="Cambria Math" w:hAnsi="Cambria Math" w:eastAsia="微软雅黑"/>
            <w:sz w:val="22"/>
            <w:szCs w:val="22"/>
          </w:rPr>
          <m:t>lg</m:t>
        </m:r>
        <m: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C</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r>
              <w:rPr>
                <w:rFonts w:ascii="Cambria Math" w:hAnsi="Cambria Math" w:eastAsia="微软雅黑"/>
                <w:sz w:val="22"/>
                <w:szCs w:val="22"/>
              </w:rPr>
              <m:t>⋅</m:t>
            </m:r>
            <m:sSup>
              <m:sSupPr>
                <m:ctrlPr>
                  <w:rPr>
                    <w:rFonts w:ascii="Cambria Math" w:hAnsi="Cambria Math" w:eastAsia="微软雅黑" w:cs="微软雅黑"/>
                    <w:sz w:val="22"/>
                    <w:szCs w:val="22"/>
                  </w:rPr>
                </m:ctrlPr>
              </m:sSupPr>
              <m:e>
                <m:r>
                  <w:rPr>
                    <w:rFonts w:ascii="Cambria Math" w:hAnsi="Cambria Math" w:eastAsia="微软雅黑"/>
                    <w:sz w:val="22"/>
                    <w:szCs w:val="22"/>
                  </w:rPr>
                  <m:t>10</m:t>
                </m:r>
                <m:ctrlPr>
                  <w:rPr>
                    <w:rFonts w:ascii="Cambria Math" w:hAnsi="Cambria Math" w:eastAsia="微软雅黑" w:cs="微软雅黑"/>
                    <w:sz w:val="22"/>
                    <w:szCs w:val="22"/>
                  </w:rPr>
                </m:ctrlPr>
              </m:e>
              <m:sup>
                <m:r>
                  <w:rPr>
                    <w:rFonts w:ascii="Cambria Math" w:hAnsi="Cambria Math" w:eastAsia="微软雅黑"/>
                    <w:sz w:val="22"/>
                    <w:szCs w:val="22"/>
                  </w:rPr>
                  <m:t>0.1</m:t>
                </m:r>
                <m:sSub>
                  <m:sSubPr>
                    <m:ctrlPr>
                      <w:rPr>
                        <w:rFonts w:ascii="Cambria Math" w:hAnsi="Cambria Math" w:eastAsia="微软雅黑" w:cs="微软雅黑"/>
                        <w:sz w:val="22"/>
                        <w:szCs w:val="22"/>
                      </w:rPr>
                    </m:ctrlPr>
                  </m:sSubPr>
                  <m:e>
                    <m:r>
                      <w:rPr>
                        <w:rFonts w:ascii="Cambria Math" w:hAnsi="Cambria Math" w:eastAsia="微软雅黑"/>
                        <w:sz w:val="22"/>
                        <w:szCs w:val="22"/>
                      </w:rPr>
                      <m:t>R</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C</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lang w:val="en-US"/>
                      </w:rPr>
                    </m:ctrlPr>
                  </m:sSubPr>
                  <m:e>
                    <m:r>
                      <w:rPr>
                        <w:rFonts w:ascii="Cambria Math" w:hAnsi="Cambria Math"/>
                        <w:vertAlign w:val="subscript"/>
                        <w:lang w:val="en-US"/>
                      </w:rPr>
                      <m:t>R</m:t>
                    </m:r>
                    <m:ctrlPr>
                      <w:rPr>
                        <w:rFonts w:ascii="Cambria Math" w:hAnsi="Cambria Math"/>
                        <w:vertAlign w:val="subscript"/>
                        <w:lang w:val="en-US"/>
                      </w:rPr>
                    </m:ctrlPr>
                  </m:e>
                  <m:sub>
                    <m: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隔声结构的隔声量；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0</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缝隙的面积；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c</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组合墙的面积。</w:t>
            </w:r>
          </w:p>
        </w:tc>
      </w:tr>
    </w:tbl>
    <w:p>
      <w:pPr>
        <w:pStyle w:val="5"/>
      </w:pPr>
      <w:bookmarkStart w:id="53" w:name="_Toc161211401"/>
      <w:r>
        <w:rPr>
          <w:rFonts w:hint="eastAsia"/>
        </w:rPr>
        <w:t>撞击声隔声量</w:t>
      </w:r>
      <w:bookmarkEnd w:id="53"/>
    </w:p>
    <w:p>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pPr>
        <w:pStyle w:val="5"/>
      </w:pPr>
      <w:bookmarkStart w:id="54" w:name="_Toc161211402"/>
      <w:r>
        <w:rPr>
          <w:rFonts w:hint="eastAsia"/>
        </w:rPr>
        <w:t>单值评价量</w:t>
      </w:r>
      <w:bookmarkEnd w:id="54"/>
    </w:p>
    <w:p>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pPr>
        <w:pStyle w:val="3"/>
        <w:numPr>
          <w:ilvl w:val="0"/>
          <w:numId w:val="6"/>
        </w:numPr>
        <w:rPr>
          <w:kern w:val="2"/>
          <w:szCs w:val="24"/>
          <w:lang w:val="en-US"/>
        </w:rPr>
      </w:pPr>
      <w:r>
        <w:rPr>
          <w:rFonts w:hint="eastAsia"/>
        </w:rPr>
        <w:t>可采用公式法求得：</w:t>
      </w:r>
    </w:p>
    <w:p>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w:rPr>
                    <w:rFonts w:ascii="Cambria Math" w:hAnsi="Cambria Math" w:eastAsia="微软雅黑"/>
                    <w:sz w:val="22"/>
                    <w:szCs w:val="22"/>
                  </w:rPr>
                  <m:t>i=1</m:t>
                </m:r>
                <m:ctrlPr>
                  <w:rPr>
                    <w:rFonts w:ascii="Cambria Math" w:hAnsi="Cambria Math" w:eastAsia="微软雅黑"/>
                    <w:sz w:val="22"/>
                    <w:szCs w:val="22"/>
                  </w:rPr>
                </m:ctrlPr>
              </m:sub>
              <m:sup>
                <m:r>
                  <w:rPr>
                    <w:rFonts w:ascii="Cambria Math" w:hAnsi="Cambria Math" w:eastAsia="微软雅黑"/>
                    <w:sz w:val="22"/>
                    <w:szCs w:val="22"/>
                  </w:rPr>
                  <m:t>5</m:t>
                </m:r>
                <m:ctrlPr>
                  <w:rPr>
                    <w:rFonts w:ascii="Cambria Math" w:hAnsi="Cambria Math" w:eastAsia="微软雅黑"/>
                    <w:sz w:val="22"/>
                    <w:szCs w:val="22"/>
                  </w:rPr>
                </m:ctrlPr>
              </m:sup>
              <m:e>
                <m: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≤10.0</m:t>
            </m:r>
            <m:ctrlPr>
              <w:rPr>
                <w:rFonts w:ascii="Cambria Math" w:hAnsi="Cambria Math" w:eastAsia="微软雅黑"/>
                <w:sz w:val="22"/>
                <w:szCs w:val="22"/>
              </w:rPr>
            </m:ctrlPr>
          </m:e>
          <m:e>
            <m:r>
              <w:rPr>
                <w:rFonts w:ascii="Cambria Math" w:hAnsi="Cambria Math" w:eastAsia="微软雅黑"/>
                <w:sz w:val="22"/>
                <w:szCs w:val="22"/>
              </w:rPr>
              <m:t>&amp;</m:t>
            </m:r>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&gt;0</m:t>
                      </m:r>
                      <m:ctrlPr>
                        <w:rPr>
                          <w:rFonts w:ascii="Cambria Math" w:hAnsi="Cambria Math" w:eastAsia="微软雅黑"/>
                          <w:sz w:val="22"/>
                          <w:szCs w:val="22"/>
                        </w:rPr>
                      </m:ctrlPr>
                    </m:e>
                  </m:mr>
                  <m:mr>
                    <m:e>
                      <m: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第i个频带的基准值；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pPr>
        <w:rPr>
          <w:sz w:val="20"/>
          <w:szCs w:val="21"/>
        </w:rPr>
      </w:pPr>
    </w:p>
    <w:p>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w:rPr>
                    <w:rFonts w:ascii="Cambria Math" w:hAnsi="Cambria Math" w:eastAsia="微软雅黑"/>
                    <w:sz w:val="22"/>
                    <w:szCs w:val="22"/>
                  </w:rPr>
                  <m:t>&amp;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-5    &amp;&amp;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-5&gt;0</m:t>
                </m:r>
                <m:ctrlPr>
                  <w:rPr>
                    <w:rFonts w:ascii="Cambria Math" w:hAnsi="Cambria Math" w:eastAsia="微软雅黑"/>
                    <w:sz w:val="22"/>
                    <w:szCs w:val="22"/>
                  </w:rPr>
                </m:ctrlPr>
              </m:e>
              <m:e>
                <m:r>
                  <w:rPr>
                    <w:rFonts w:ascii="Cambria Math" w:hAnsi="Cambria Math" w:eastAsia="微软雅黑"/>
                    <w:sz w:val="22"/>
                    <w:szCs w:val="22"/>
                  </w:rPr>
                  <m:t>&amp;0    &amp;&amp;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撞击声隔声计权单值评价量；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第i个频带的撞击声压级，精确到0.1dB。</w:t>
            </w:r>
          </w:p>
        </w:tc>
      </w:tr>
    </w:tbl>
    <w:p>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倍频程中心频率</w:t>
            </w:r>
          </w:p>
        </w:tc>
        <w:tc>
          <w:tcPr>
            <w:tcW w:w="1386" w:type="dxa"/>
            <w:shd w:val="clear" w:color="auto" w:fill="D8D8D8" w:themeFill="background1" w:themeFillShade="D9"/>
            <w:vAlign w:val="center"/>
          </w:tcPr>
          <w:p>
            <w:pPr>
              <w:spacing w:line="360" w:lineRule="exact"/>
              <w:jc w:val="center"/>
            </w:pPr>
            <w:r>
              <w:rPr>
                <w:rFonts w:hint="eastAsia"/>
              </w:rPr>
              <w:t>125</w:t>
            </w:r>
            <w:r>
              <w:t>Hz</w:t>
            </w:r>
          </w:p>
        </w:tc>
        <w:tc>
          <w:tcPr>
            <w:tcW w:w="1387" w:type="dxa"/>
            <w:shd w:val="clear" w:color="auto" w:fill="D8D8D8" w:themeFill="background1" w:themeFillShade="D9"/>
            <w:vAlign w:val="center"/>
          </w:tcPr>
          <w:p>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pPr>
              <w:spacing w:line="360" w:lineRule="exact"/>
              <w:jc w:val="center"/>
            </w:pPr>
            <w:r>
              <w:rPr>
                <w:rFonts w:hint="eastAsia"/>
              </w:rPr>
              <w:t>2000</w:t>
            </w:r>
            <w:r>
              <w:t xml:space="preserve">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空气声基准值</w:t>
            </w:r>
          </w:p>
        </w:tc>
        <w:tc>
          <w:tcPr>
            <w:tcW w:w="1386" w:type="dxa"/>
            <w:vAlign w:val="center"/>
          </w:tcPr>
          <w:p>
            <w:pPr>
              <w:spacing w:line="360" w:lineRule="exact"/>
              <w:jc w:val="center"/>
            </w:pPr>
            <w:r>
              <w:rPr>
                <w:rFonts w:hint="eastAsia"/>
              </w:rPr>
              <w:t>-16</w:t>
            </w:r>
          </w:p>
        </w:tc>
        <w:tc>
          <w:tcPr>
            <w:tcW w:w="1387" w:type="dxa"/>
            <w:vAlign w:val="center"/>
          </w:tcPr>
          <w:p>
            <w:pPr>
              <w:spacing w:line="360" w:lineRule="exact"/>
              <w:jc w:val="center"/>
            </w:pPr>
            <w:r>
              <w:rPr>
                <w:rFonts w:hint="eastAsia"/>
              </w:rPr>
              <w:t>-7</w:t>
            </w:r>
          </w:p>
        </w:tc>
        <w:tc>
          <w:tcPr>
            <w:tcW w:w="1386" w:type="dxa"/>
            <w:vAlign w:val="center"/>
          </w:tcPr>
          <w:p>
            <w:pPr>
              <w:spacing w:line="360" w:lineRule="exact"/>
              <w:jc w:val="center"/>
            </w:pPr>
            <w:r>
              <w:rPr>
                <w:rFonts w:hint="eastAsia"/>
              </w:rPr>
              <w:t>0</w:t>
            </w:r>
          </w:p>
        </w:tc>
        <w:tc>
          <w:tcPr>
            <w:tcW w:w="1387" w:type="dxa"/>
            <w:vAlign w:val="center"/>
          </w:tcPr>
          <w:p>
            <w:pPr>
              <w:spacing w:line="360" w:lineRule="exact"/>
              <w:jc w:val="center"/>
            </w:pPr>
            <w:r>
              <w:rPr>
                <w:rFonts w:hint="eastAsia"/>
              </w:rPr>
              <w:t>3</w:t>
            </w:r>
          </w:p>
        </w:tc>
        <w:tc>
          <w:tcPr>
            <w:tcW w:w="1387" w:type="dxa"/>
            <w:vAlign w:val="center"/>
          </w:tcPr>
          <w:p>
            <w:pPr>
              <w:spacing w:line="360" w:lineRule="exact"/>
              <w:jc w:val="center"/>
            </w:pPr>
            <w:r>
              <w:rPr>
                <w:rFonts w:hint="eastAsia"/>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撞击声基准值</w:t>
            </w:r>
          </w:p>
        </w:tc>
        <w:tc>
          <w:tcPr>
            <w:tcW w:w="1386" w:type="dxa"/>
            <w:vAlign w:val="center"/>
          </w:tcPr>
          <w:p>
            <w:pPr>
              <w:spacing w:line="360" w:lineRule="exact"/>
              <w:jc w:val="center"/>
            </w:pPr>
            <w:r>
              <w:rPr>
                <w:rFonts w:hint="eastAsia"/>
                <w:lang w:val="en-US"/>
              </w:rPr>
              <w:t>2</w:t>
            </w:r>
          </w:p>
        </w:tc>
        <w:tc>
          <w:tcPr>
            <w:tcW w:w="1387" w:type="dxa"/>
            <w:vAlign w:val="center"/>
          </w:tcPr>
          <w:p>
            <w:pPr>
              <w:spacing w:line="360" w:lineRule="exact"/>
              <w:jc w:val="center"/>
            </w:pPr>
            <w:r>
              <w:rPr>
                <w:rFonts w:hint="eastAsia"/>
                <w:lang w:val="en-US"/>
              </w:rPr>
              <w:t>2</w:t>
            </w:r>
          </w:p>
        </w:tc>
        <w:tc>
          <w:tcPr>
            <w:tcW w:w="1386" w:type="dxa"/>
            <w:vAlign w:val="center"/>
          </w:tcPr>
          <w:p>
            <w:pPr>
              <w:spacing w:line="360" w:lineRule="exact"/>
              <w:jc w:val="center"/>
            </w:pPr>
            <w:r>
              <w:rPr>
                <w:rFonts w:hint="eastAsia"/>
                <w:lang w:val="en-US"/>
              </w:rPr>
              <w:t>0</w:t>
            </w:r>
          </w:p>
        </w:tc>
        <w:tc>
          <w:tcPr>
            <w:tcW w:w="1387" w:type="dxa"/>
            <w:vAlign w:val="center"/>
          </w:tcPr>
          <w:p>
            <w:pPr>
              <w:spacing w:line="360" w:lineRule="exact"/>
              <w:jc w:val="center"/>
            </w:pPr>
            <w:r>
              <w:rPr>
                <w:rFonts w:hint="eastAsia"/>
                <w:lang w:val="en-US"/>
              </w:rPr>
              <w:t>-3</w:t>
            </w:r>
          </w:p>
        </w:tc>
        <w:tc>
          <w:tcPr>
            <w:tcW w:w="1387" w:type="dxa"/>
            <w:vAlign w:val="center"/>
          </w:tcPr>
          <w:p>
            <w:pPr>
              <w:spacing w:line="360" w:lineRule="exact"/>
              <w:jc w:val="center"/>
            </w:pPr>
            <w:r>
              <w:rPr>
                <w:rFonts w:hint="eastAsia"/>
                <w:lang w:val="en-US"/>
              </w:rPr>
              <w:t>-16</w:t>
            </w:r>
          </w:p>
        </w:tc>
      </w:tr>
    </w:tbl>
    <w:p/>
    <w:p>
      <w:pPr>
        <w:pStyle w:val="5"/>
      </w:pPr>
      <w:bookmarkStart w:id="56" w:name="_Toc161211403"/>
      <w:r>
        <w:rPr>
          <w:rFonts w:hint="eastAsia"/>
        </w:rPr>
        <w:t>频谱修正量</w:t>
      </w:r>
      <w:bookmarkEnd w:id="56"/>
    </w:p>
    <w:p>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w:rPr>
                <w:rFonts w:ascii="Cambria Math" w:hAnsi="Cambria Math" w:eastAsia="微软雅黑"/>
                <w:sz w:val="22"/>
                <w:szCs w:val="22"/>
                <w:lang w:val="en-US"/>
              </w:rPr>
              <m:t>C</m:t>
            </m:r>
            <m:ctrlPr>
              <w:rPr>
                <w:rFonts w:ascii="Cambria Math" w:hAnsi="Cambria Math" w:eastAsia="微软雅黑"/>
                <w:i/>
                <w:sz w:val="22"/>
                <w:szCs w:val="22"/>
              </w:rPr>
            </m:ctrlPr>
          </m:e>
          <m:sub>
            <m:r>
              <w:rPr>
                <w:rFonts w:ascii="Cambria Math" w:hAnsi="Cambria Math" w:eastAsia="微软雅黑"/>
                <w:sz w:val="22"/>
                <w:szCs w:val="22"/>
                <w:lang w:val="en-US"/>
              </w:rPr>
              <m:t>j</m:t>
            </m:r>
            <m:ctrlPr>
              <w:rPr>
                <w:rFonts w:ascii="Cambria Math" w:hAnsi="Cambria Math" w:eastAsia="微软雅黑"/>
                <w:i/>
                <w:sz w:val="22"/>
                <w:szCs w:val="22"/>
              </w:rPr>
            </m:ctrlPr>
          </m:sub>
        </m:sSub>
        <m:r>
          <w:rPr>
            <w:rFonts w:ascii="Cambria Math" w:hAnsi="Cambria Math" w:eastAsia="微软雅黑"/>
            <w:sz w:val="22"/>
            <w:szCs w:val="22"/>
            <w:lang w:val="en-US"/>
          </w:rPr>
          <m:t>=</m:t>
        </m:r>
        <m:r>
          <w:rPr>
            <w:rFonts w:hint="eastAsia" w:ascii="Cambria Math" w:hAnsi="Cambria Math" w:eastAsia="微软雅黑"/>
            <w:sz w:val="22"/>
            <w:szCs w:val="22"/>
            <w:lang w:val="en-US"/>
          </w:rPr>
          <m:t>-</m:t>
        </m:r>
        <m: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w:rPr>
                    <w:rFonts w:ascii="Cambria Math" w:hAnsi="Cambria Math" w:eastAsia="微软雅黑"/>
                    <w:sz w:val="22"/>
                    <w:szCs w:val="22"/>
                    <w:lang w:val="en-US"/>
                  </w:rPr>
                  <m:t>1</m:t>
                </m:r>
                <m:sSup>
                  <m:sSupPr>
                    <m:ctrlPr>
                      <w:rPr>
                        <w:rFonts w:ascii="Cambria Math" w:hAnsi="Cambria Math" w:eastAsia="微软雅黑"/>
                        <w:i/>
                        <w:sz w:val="22"/>
                        <w:szCs w:val="22"/>
                      </w:rPr>
                    </m:ctrlPr>
                  </m:sSupPr>
                  <m:e>
                    <m:r>
                      <w:rPr>
                        <w:rFonts w:ascii="Cambria Math" w:hAnsi="Cambria Math" w:eastAsia="微软雅黑"/>
                        <w:sz w:val="22"/>
                        <w:szCs w:val="22"/>
                        <w:lang w:val="en-US"/>
                      </w:rPr>
                      <m:t>0</m:t>
                    </m:r>
                    <m:ctrlPr>
                      <w:rPr>
                        <w:rFonts w:ascii="Cambria Math" w:hAnsi="Cambria Math" w:eastAsia="微软雅黑"/>
                        <w:i/>
                        <w:sz w:val="22"/>
                        <w:szCs w:val="22"/>
                      </w:rPr>
                    </m:ctrlPr>
                  </m:e>
                  <m:sup>
                    <m:r>
                      <w:rPr>
                        <w:rFonts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L</m:t>
                        </m:r>
                        <m:ctrlPr>
                          <w:rPr>
                            <w:rFonts w:ascii="Cambria Math" w:hAnsi="Cambria Math" w:eastAsia="微软雅黑"/>
                            <w:i/>
                            <w:sz w:val="22"/>
                            <w:szCs w:val="22"/>
                          </w:rPr>
                        </m:ctrlPr>
                      </m:e>
                      <m:sub>
                        <m:r>
                          <w:rPr>
                            <w:rFonts w:ascii="Cambria Math" w:hAnsi="Cambria Math" w:eastAsia="微软雅黑"/>
                            <w:sz w:val="22"/>
                            <w:szCs w:val="22"/>
                            <w:lang w:val="en-US"/>
                          </w:rPr>
                          <m:t>ij</m:t>
                        </m:r>
                        <m:ctrlPr>
                          <w:rPr>
                            <w:rFonts w:ascii="Cambria Math" w:hAnsi="Cambria Math" w:eastAsia="微软雅黑"/>
                            <w:i/>
                            <w:sz w:val="22"/>
                            <w:szCs w:val="22"/>
                          </w:rPr>
                        </m:ctrlPr>
                      </m:sub>
                    </m:sSub>
                    <m: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X</m:t>
                        </m:r>
                        <m:ctrlPr>
                          <w:rPr>
                            <w:rFonts w:ascii="Cambria Math" w:hAnsi="Cambria Math" w:eastAsia="微软雅黑"/>
                            <w:i/>
                            <w:sz w:val="22"/>
                            <w:szCs w:val="22"/>
                          </w:rPr>
                        </m:ctrlPr>
                      </m:e>
                      <m:sub>
                        <m:r>
                          <w:rPr>
                            <w:rFonts w:ascii="Cambria Math" w:hAnsi="Cambria Math" w:eastAsia="微软雅黑"/>
                            <w:sz w:val="22"/>
                            <w:szCs w:val="22"/>
                            <w:lang w:val="en-US"/>
                          </w:rPr>
                          <m:t>i</m:t>
                        </m:r>
                        <m:ctrlPr>
                          <w:rPr>
                            <w:rFonts w:ascii="Cambria Math" w:hAnsi="Cambria Math" w:eastAsia="微软雅黑"/>
                            <w:i/>
                            <w:sz w:val="22"/>
                            <w:szCs w:val="22"/>
                          </w:rPr>
                        </m:ctrlPr>
                      </m:sub>
                    </m:sSub>
                    <m: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X</m:t>
            </m:r>
            <m:ctrlPr>
              <w:rPr>
                <w:rFonts w:ascii="Cambria Math" w:hAnsi="Cambria Math" w:eastAsia="微软雅黑"/>
                <w:i/>
                <w:sz w:val="22"/>
                <w:szCs w:val="22"/>
              </w:rPr>
            </m:ctrlPr>
          </m:e>
          <m:sub>
            <m: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r>
                  <m:rPr>
                    <m:sty m:val="p"/>
                  </m:rPr>
                  <w:rPr>
                    <w:rFonts w:ascii="Cambria Math" w:hAnsi="Cambria Math"/>
                  </w:rPr>
                  <m:t>j</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L</m:t>
                    </m:r>
                    <m:ctrlPr>
                      <w:rPr>
                        <w:rFonts w:ascii="Cambria Math" w:hAnsi="Cambria Math"/>
                        <w:vertAlign w:val="subscript"/>
                      </w:rPr>
                    </m:ctrlPr>
                  </m:e>
                  <m:sub>
                    <m:r>
                      <w:rPr>
                        <w:rFonts w:ascii="Cambria Math" w:hAnsi="Cambria Math"/>
                        <w:vertAlign w:val="subscript"/>
                      </w:rPr>
                      <m:t>ij</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pPr>
        <w:pStyle w:val="3"/>
        <w:spacing w:before="156" w:beforeLines="50"/>
        <w:ind w:firstLine="420" w:firstLineChars="200"/>
        <w:rPr>
          <w:lang w:val="en-US"/>
        </w:rPr>
      </w:pPr>
      <w:r>
        <w:rPr>
          <w:rFonts w:hint="eastAsia"/>
          <w:lang w:val="en-US"/>
        </w:rPr>
        <w:t>频谱修正量在计算时应精确到0.1dB，得出的结果应修约为整数。</w:t>
      </w:r>
    </w:p>
    <w:p>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2000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pPr>
              <w:pStyle w:val="3"/>
              <w:spacing w:line="360" w:lineRule="exact"/>
              <w:jc w:val="center"/>
              <w:rPr>
                <w:sz w:val="18"/>
                <w:szCs w:val="18"/>
              </w:rPr>
            </w:pPr>
            <w:r>
              <w:rPr>
                <w:sz w:val="18"/>
                <w:szCs w:val="18"/>
              </w:rPr>
              <w:t>-21</w:t>
            </w:r>
          </w:p>
        </w:tc>
        <w:tc>
          <w:tcPr>
            <w:tcW w:w="1228"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-8</w:t>
            </w:r>
          </w:p>
        </w:tc>
        <w:tc>
          <w:tcPr>
            <w:tcW w:w="1228" w:type="dxa"/>
            <w:vAlign w:val="center"/>
          </w:tcPr>
          <w:p>
            <w:pPr>
              <w:pStyle w:val="3"/>
              <w:spacing w:line="360" w:lineRule="exact"/>
              <w:jc w:val="center"/>
              <w:rPr>
                <w:sz w:val="18"/>
                <w:szCs w:val="18"/>
              </w:rPr>
            </w:pPr>
            <w:r>
              <w:rPr>
                <w:sz w:val="18"/>
                <w:szCs w:val="18"/>
              </w:rPr>
              <w:t>-5</w:t>
            </w:r>
          </w:p>
        </w:tc>
        <w:tc>
          <w:tcPr>
            <w:tcW w:w="1228" w:type="dxa"/>
            <w:vAlign w:val="center"/>
          </w:tcPr>
          <w:p>
            <w:pPr>
              <w:pStyle w:val="3"/>
              <w:spacing w:line="360" w:lineRule="exact"/>
              <w:jc w:val="center"/>
              <w:rPr>
                <w:sz w:val="18"/>
                <w:szCs w:val="18"/>
              </w:rPr>
            </w:pPr>
            <w:r>
              <w:rPr>
                <w:sz w:val="18"/>
                <w:szCs w:val="18"/>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-10</w:t>
            </w:r>
          </w:p>
        </w:tc>
        <w:tc>
          <w:tcPr>
            <w:tcW w:w="1228" w:type="dxa"/>
            <w:vAlign w:val="center"/>
          </w:tcPr>
          <w:p>
            <w:pPr>
              <w:pStyle w:val="3"/>
              <w:spacing w:line="360" w:lineRule="exact"/>
              <w:jc w:val="center"/>
              <w:rPr>
                <w:sz w:val="18"/>
                <w:szCs w:val="18"/>
              </w:rPr>
            </w:pPr>
            <w:r>
              <w:rPr>
                <w:sz w:val="18"/>
                <w:szCs w:val="18"/>
              </w:rPr>
              <w:t>-7</w:t>
            </w:r>
          </w:p>
        </w:tc>
        <w:tc>
          <w:tcPr>
            <w:tcW w:w="1228" w:type="dxa"/>
            <w:vAlign w:val="center"/>
          </w:tcPr>
          <w:p>
            <w:pPr>
              <w:pStyle w:val="3"/>
              <w:spacing w:line="360" w:lineRule="exact"/>
              <w:jc w:val="center"/>
              <w:rPr>
                <w:sz w:val="18"/>
                <w:szCs w:val="18"/>
              </w:rPr>
            </w:pPr>
            <w:r>
              <w:rPr>
                <w:sz w:val="18"/>
                <w:szCs w:val="18"/>
              </w:rPr>
              <w:t>-4</w:t>
            </w:r>
          </w:p>
        </w:tc>
        <w:tc>
          <w:tcPr>
            <w:tcW w:w="1228" w:type="dxa"/>
            <w:vAlign w:val="center"/>
          </w:tcPr>
          <w:p>
            <w:pPr>
              <w:pStyle w:val="3"/>
              <w:spacing w:line="360" w:lineRule="exact"/>
              <w:jc w:val="center"/>
              <w:rPr>
                <w:sz w:val="18"/>
                <w:szCs w:val="18"/>
              </w:rPr>
            </w:pPr>
            <w:r>
              <w:rPr>
                <w:sz w:val="18"/>
                <w:szCs w:val="18"/>
              </w:rPr>
              <w:t>-6</w:t>
            </w:r>
          </w:p>
        </w:tc>
      </w:tr>
    </w:tbl>
    <w:p>
      <w:pPr>
        <w:rPr>
          <w:sz w:val="6"/>
        </w:rPr>
      </w:pPr>
    </w:p>
    <w:bookmarkEnd w:id="39"/>
    <w:p>
      <w:pPr>
        <w:pStyle w:val="5"/>
      </w:pPr>
      <w:bookmarkStart w:id="58" w:name="_Toc159941246"/>
      <w:bookmarkStart w:id="59" w:name="_Toc161211404"/>
      <w:bookmarkStart w:id="60" w:name="_Toc151387741"/>
      <w:r>
        <w:rPr>
          <w:rFonts w:hint="eastAsia"/>
        </w:rPr>
        <w:t>声压级叠加</w:t>
      </w:r>
      <w:bookmarkEnd w:id="58"/>
      <w:bookmarkEnd w:id="59"/>
    </w:p>
    <w:p>
      <w:pPr>
        <w:pStyle w:val="3"/>
        <w:ind w:firstLine="420" w:firstLineChars="200"/>
      </w:pPr>
      <w:r>
        <w:rPr>
          <w:rFonts w:hint="eastAsia"/>
        </w:rPr>
        <w:t>确定了声源噪声级、构件隔声量、频谱修正量后，即可算得噪声通过围护结构传到室内的噪声级。</w:t>
      </w:r>
    </w:p>
    <w:p>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w:rPr>
                <w:rFonts w:ascii="Cambria Math" w:hAnsi="Cambria Math" w:eastAsia="微软雅黑"/>
                <w:sz w:val="22"/>
                <w:szCs w:val="22"/>
              </w:rPr>
              <m:t>L</m:t>
            </m:r>
            <m:ctrlPr>
              <w:rPr>
                <w:rFonts w:ascii="Cambria Math" w:hAnsi="Cambria Math" w:eastAsia="微软雅黑" w:cs="微软雅黑"/>
                <w:sz w:val="22"/>
                <w:szCs w:val="22"/>
              </w:rPr>
            </m:ctrlPr>
          </m:e>
          <m:sub>
            <m:r>
              <w:rPr>
                <w:rFonts w:ascii="Cambria Math" w:hAnsi="Cambria Math" w:eastAsia="微软雅黑"/>
                <w:sz w:val="22"/>
                <w:szCs w:val="22"/>
              </w:rPr>
              <m:t>mW-N</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L</m:t>
            </m:r>
            <m:ctrlPr>
              <w:rPr>
                <w:rFonts w:ascii="Cambria Math" w:hAnsi="Cambria Math" w:eastAsia="微软雅黑" w:cs="微软雅黑"/>
                <w:sz w:val="22"/>
                <w:szCs w:val="22"/>
              </w:rPr>
            </m:ctrlPr>
          </m:e>
          <m:sub>
            <m:r>
              <w:rPr>
                <w:rFonts w:ascii="Cambria Math" w:hAnsi="Cambria Math" w:eastAsia="微软雅黑"/>
                <w:sz w:val="22"/>
                <w:szCs w:val="22"/>
              </w:rPr>
              <m:t>mW</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R</m:t>
            </m:r>
            <m:ctrlPr>
              <w:rPr>
                <w:rFonts w:ascii="Cambria Math" w:hAnsi="Cambria Math" w:eastAsia="微软雅黑" w:cs="微软雅黑"/>
                <w:sz w:val="22"/>
                <w:szCs w:val="22"/>
              </w:rPr>
            </m:ctrlPr>
          </m:e>
          <m:sub>
            <m: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W</m:t>
            </m:r>
            <m:r>
              <w:rPr>
                <w:rFonts w:hint="eastAsia" w:ascii="Cambria Math" w:hAnsi="Cambria Math" w:eastAsia="微软雅黑"/>
                <w:sz w:val="22"/>
                <w:szCs w:val="22"/>
              </w:rPr>
              <m:t>-</m:t>
            </m:r>
            <m:r>
              <w:rPr>
                <w:rFonts w:ascii="Cambria Math" w:hAnsi="Cambria Math" w:eastAsia="微软雅黑"/>
                <w:sz w:val="22"/>
                <w:szCs w:val="22"/>
              </w:rPr>
              <m:t>N</m:t>
            </m:r>
            <m:ctrlPr>
              <w:rPr>
                <w:rFonts w:ascii="Cambria Math" w:hAnsi="Cambria Math" w:eastAsia="微软雅黑" w:cs="微软雅黑"/>
                <w:i/>
                <w:sz w:val="22"/>
                <w:szCs w:val="22"/>
              </w:rPr>
            </m:ctrlPr>
          </m:sub>
        </m:sSub>
        <m: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w:rPr>
                    <w:rFonts w:ascii="Cambria Math" w:hAnsi="Cambria Math" w:eastAsia="微软雅黑"/>
                    <w:sz w:val="22"/>
                    <w:szCs w:val="22"/>
                  </w:rPr>
                  <m:t>m=1</m:t>
                </m:r>
                <m:ctrlPr>
                  <w:rPr>
                    <w:rFonts w:ascii="Cambria Math" w:hAnsi="Cambria Math" w:eastAsia="微软雅黑" w:cs="微软雅黑"/>
                    <w:i/>
                    <w:sz w:val="22"/>
                    <w:szCs w:val="22"/>
                  </w:rPr>
                </m:ctrlPr>
              </m:sub>
              <m:sup>
                <m:r>
                  <w:rPr>
                    <w:rFonts w:ascii="Cambria Math" w:hAnsi="Cambria Math" w:eastAsia="微软雅黑"/>
                    <w:sz w:val="22"/>
                    <w:szCs w:val="22"/>
                  </w:rPr>
                  <m:t>n</m:t>
                </m:r>
                <m:ctrlPr>
                  <w:rPr>
                    <w:rFonts w:ascii="Cambria Math" w:hAnsi="Cambria Math" w:eastAsia="微软雅黑" w:cs="微软雅黑"/>
                    <w:i/>
                    <w:sz w:val="22"/>
                    <w:szCs w:val="22"/>
                  </w:rPr>
                </m:ctrlPr>
              </m:sup>
              <m:e>
                <m:r>
                  <w:rPr>
                    <w:rFonts w:ascii="Cambria Math" w:hAnsi="Cambria Math" w:eastAsia="微软雅黑"/>
                    <w:sz w:val="22"/>
                    <w:szCs w:val="22"/>
                  </w:rPr>
                  <m:t>1</m:t>
                </m:r>
                <m:sSup>
                  <m:sSupPr>
                    <m:ctrlPr>
                      <w:rPr>
                        <w:rFonts w:ascii="Cambria Math" w:hAnsi="Cambria Math" w:eastAsia="微软雅黑" w:cs="微软雅黑"/>
                        <w:i/>
                        <w:sz w:val="22"/>
                        <w:szCs w:val="22"/>
                      </w:rPr>
                    </m:ctrlPr>
                  </m:sSupPr>
                  <m:e>
                    <m:r>
                      <w:rPr>
                        <w:rFonts w:ascii="Cambria Math" w:hAnsi="Cambria Math" w:eastAsia="微软雅黑"/>
                        <w:sz w:val="22"/>
                        <w:szCs w:val="22"/>
                      </w:rPr>
                      <m:t>0</m:t>
                    </m:r>
                    <m:ctrlPr>
                      <w:rPr>
                        <w:rFonts w:ascii="Cambria Math" w:hAnsi="Cambria Math" w:eastAsia="微软雅黑" w:cs="微软雅黑"/>
                        <w:i/>
                        <w:sz w:val="22"/>
                        <w:szCs w:val="22"/>
                      </w:rPr>
                    </m:ctrlPr>
                  </m:e>
                  <m:sup>
                    <m:r>
                      <w:rPr>
                        <w:rFonts w:ascii="Cambria Math" w:hAnsi="Cambria Math" w:eastAsia="微软雅黑"/>
                        <w:sz w:val="22"/>
                        <w:szCs w:val="22"/>
                      </w:rPr>
                      <m:t>0.1</m:t>
                    </m:r>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mW</m:t>
                        </m:r>
                        <m:r>
                          <w:rPr>
                            <w:rFonts w:hint="eastAsia" w:ascii="Cambria Math" w:hAnsi="Cambria Math" w:eastAsia="微软雅黑"/>
                            <w:sz w:val="22"/>
                            <w:szCs w:val="22"/>
                          </w:rPr>
                          <m:t>-</m:t>
                        </m:r>
                        <m: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906"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mW-N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噪声源通过围护结构m传到室内的噪声级，dB（A）；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围护结构m对应的噪声源噪声级，dB（A）；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R</m:t>
                    </m:r>
                    <m:ctrlPr>
                      <w:rPr>
                        <w:rFonts w:ascii="Cambria Math" w:hAnsi="Cambria Math"/>
                        <w:lang w:val="en-US"/>
                      </w:rPr>
                    </m:ctrlPr>
                  </m:e>
                  <m:sub>
                    <m: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pPr>
              <w:pStyle w:val="3"/>
              <w:spacing w:line="340" w:lineRule="exact"/>
            </w:pPr>
          </w:p>
        </w:tc>
        <w:tc>
          <w:tcPr>
            <w:tcW w:w="906"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pPr>
        <w:pStyle w:val="5"/>
      </w:pPr>
      <w:bookmarkStart w:id="61" w:name="_Toc161211405"/>
      <w:r>
        <w:rPr>
          <w:rFonts w:hint="eastAsia"/>
        </w:rPr>
        <w:t>声功率级与声压级</w:t>
      </w:r>
      <w:bookmarkEnd w:id="61"/>
    </w:p>
    <w:p>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p</m:t>
            </m:r>
            <m:ctrlPr>
              <w:rPr>
                <w:rFonts w:ascii="Cambria Math" w:hAnsi="Cambria Math" w:eastAsia="微软雅黑" w:cs="微软雅黑"/>
                <w:i/>
                <w:sz w:val="22"/>
                <w:szCs w:val="22"/>
              </w:rPr>
            </m:ctrlPr>
          </m:sub>
        </m:sSub>
        <m:r>
          <w:rPr>
            <w:rFonts w:ascii="Cambria Math" w:hAnsi="Cambria Math" w:eastAsia="微软雅黑"/>
            <w:sz w:val="22"/>
            <w:szCs w:val="22"/>
          </w:rPr>
          <m:t>=</m:t>
        </m:r>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w:rPr>
                <w:rFonts w:ascii="Cambria Math" w:hAnsi="Cambria Math" w:eastAsia="微软雅黑"/>
                <w:sz w:val="22"/>
                <w:szCs w:val="22"/>
              </w:rPr>
              <m:t>lg</m:t>
            </m:r>
            <m:ctrlPr>
              <w:rPr>
                <w:rFonts w:ascii="Cambria Math" w:hAnsi="Cambria Math" w:eastAsia="微软雅黑" w:cs="微软雅黑"/>
                <w:i/>
                <w:sz w:val="22"/>
                <w:szCs w:val="22"/>
              </w:rPr>
            </m:ctrlPr>
          </m:fName>
          <m:e>
            <m: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w:rPr>
                <w:rFonts w:ascii="Cambria Math" w:hAnsi="Cambria Math" w:eastAsia="微软雅黑"/>
                <w:sz w:val="22"/>
                <w:szCs w:val="22"/>
              </w:rPr>
              <m:t>Q</m:t>
            </m:r>
            <m:ctrlPr>
              <w:rPr>
                <w:rFonts w:ascii="Cambria Math" w:hAnsi="Cambria Math" w:eastAsia="微软雅黑" w:cs="微软雅黑"/>
                <w:i/>
                <w:sz w:val="22"/>
                <w:szCs w:val="22"/>
              </w:rPr>
            </m:ctrlPr>
          </m:num>
          <m:den>
            <m: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w:rPr>
                    <w:rFonts w:ascii="Cambria Math" w:hAnsi="Cambria Math" w:eastAsia="微软雅黑"/>
                    <w:sz w:val="22"/>
                    <w:szCs w:val="22"/>
                  </w:rPr>
                  <m:t>r</m:t>
                </m:r>
                <m:ctrlPr>
                  <w:rPr>
                    <w:rFonts w:ascii="Cambria Math" w:hAnsi="Cambria Math" w:eastAsia="微软雅黑" w:cs="微软雅黑"/>
                    <w:i/>
                    <w:sz w:val="22"/>
                    <w:szCs w:val="22"/>
                  </w:rPr>
                </m:ctrlPr>
              </m:e>
              <m:sup>
                <m: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w:rPr>
            <w:rFonts w:ascii="Cambria Math" w:hAnsi="Cambria Math" w:eastAsia="微软雅黑"/>
            <w:sz w:val="22"/>
            <w:szCs w:val="22"/>
          </w:rPr>
          <m:t>+</m:t>
        </m:r>
        <m:f>
          <m:fPr>
            <m:ctrlPr>
              <w:rPr>
                <w:rFonts w:ascii="Cambria Math" w:hAnsi="Cambria Math" w:eastAsia="微软雅黑" w:cs="微软雅黑"/>
                <w:i/>
                <w:sz w:val="22"/>
                <w:szCs w:val="22"/>
              </w:rPr>
            </m:ctrlPr>
          </m:fPr>
          <m:num>
            <m:r>
              <w:rPr>
                <w:rFonts w:ascii="Cambria Math" w:hAnsi="Cambria Math" w:eastAsia="微软雅黑"/>
                <w:sz w:val="22"/>
                <w:szCs w:val="22"/>
              </w:rPr>
              <m:t>4</m:t>
            </m:r>
            <m:ctrlPr>
              <w:rPr>
                <w:rFonts w:ascii="Cambria Math" w:hAnsi="Cambria Math" w:eastAsia="微软雅黑" w:cs="微软雅黑"/>
                <w:i/>
                <w:sz w:val="22"/>
                <w:szCs w:val="22"/>
              </w:rPr>
            </m:ctrlPr>
          </m:num>
          <m:den>
            <m:r>
              <w:rPr>
                <w:rFonts w:ascii="Cambria Math" w:hAnsi="Cambria Math" w:eastAsia="微软雅黑"/>
                <w:sz w:val="22"/>
                <w:szCs w:val="22"/>
              </w:rPr>
              <m:t>R</m:t>
            </m:r>
            <m:ctrlPr>
              <w:rPr>
                <w:rFonts w:ascii="Cambria Math" w:hAnsi="Cambria Math" w:eastAsia="微软雅黑" w:cs="微软雅黑"/>
                <w:i/>
                <w:sz w:val="22"/>
                <w:szCs w:val="22"/>
              </w:rPr>
            </m:ctrlPr>
          </m:den>
        </m:f>
        <m: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pPr>
        <w:pStyle w:val="12"/>
        <w:spacing w:before="156" w:beforeLines="50" w:after="156" w:afterLines="50"/>
        <w:jc w:val="center"/>
        <w:rPr>
          <w:rFonts w:ascii="微软雅黑" w:hAnsi="微软雅黑" w:eastAsia="微软雅黑"/>
          <w:sz w:val="22"/>
          <w:szCs w:val="21"/>
          <w:lang w:val="en-US"/>
        </w:rPr>
      </w:pPr>
      <m:oMath>
        <m:r>
          <w:rPr>
            <w:rFonts w:ascii="Cambria Math" w:hAnsi="Cambria Math" w:eastAsia="微软雅黑"/>
            <w:sz w:val="22"/>
            <w:szCs w:val="22"/>
          </w:rPr>
          <m:t>R=</m:t>
        </m:r>
        <m:f>
          <m:fPr>
            <m:ctrlPr>
              <w:rPr>
                <w:rFonts w:ascii="Cambria Math" w:hAnsi="Cambria Math" w:eastAsia="微软雅黑" w:cs="微软雅黑"/>
                <w:i/>
                <w:sz w:val="22"/>
                <w:szCs w:val="22"/>
              </w:rPr>
            </m:ctrlPr>
          </m:fPr>
          <m:num>
            <m:r>
              <w:rPr>
                <w:rFonts w:ascii="Cambria Math" w:hAnsi="Cambria Math" w:eastAsia="微软雅黑"/>
                <w:sz w:val="22"/>
                <w:szCs w:val="22"/>
              </w:rPr>
              <m:t>S</m:t>
            </m:r>
            <m: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w:rPr>
                <w:rFonts w:ascii="Cambria Math" w:hAnsi="Cambria Math" w:eastAsia="微软雅黑"/>
                <w:sz w:val="22"/>
                <w:szCs w:val="22"/>
              </w:rPr>
              <m:t>1</m:t>
            </m:r>
            <m: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435"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声源的声功率级，dB；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离开声源的距离，m；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声源指向性因数；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pPr>
            <m:oMathPara>
              <m:oMath>
                <m:r>
                  <m:rPr>
                    <m:sty m:val="p"/>
                  </m:rPr>
                  <w:rPr>
                    <w:rFonts w:ascii="Cambria Math" w:hAnsi="Cambria Math"/>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房间常数；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平均室内总表面面积，m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pPr>
            <m:oMathPara>
              <m:oMath>
                <m:acc>
                  <m:accPr>
                    <m:chr m:val="̅"/>
                    <m:ctrlPr>
                      <w:rPr>
                        <w:rFonts w:ascii="Cambria Math" w:hAnsi="Cambria Math"/>
                      </w:rPr>
                    </m:ctrlPr>
                  </m:accPr>
                  <m:e>
                    <m:r>
                      <w:rPr>
                        <w:rFonts w:ascii="Cambria Math" w:hAnsi="Cambria Math"/>
                      </w:rPr>
                      <m:t>α</m:t>
                    </m:r>
                    <m:ctrlPr>
                      <w:rPr>
                        <w:rFonts w:ascii="Cambria Math" w:hAnsi="Cambria Math"/>
                      </w:rPr>
                    </m:ctrlPr>
                  </m:e>
                </m:acc>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吸声系数。</w:t>
            </w:r>
          </w:p>
        </w:tc>
      </w:tr>
    </w:tbl>
    <w:p>
      <w:bookmarkStart w:id="62" w:name="_Toc159941247"/>
      <w:bookmarkStart w:id="63" w:name="_Toc161211406"/>
      <w:bookmarkStart w:id="64" w:name="_Toc151387750"/>
    </w:p>
    <w:p>
      <w:pPr>
        <w:pStyle w:val="2"/>
      </w:pPr>
      <w:bookmarkStart w:id="65" w:name="_Toc13996"/>
      <w:r>
        <w:rPr>
          <w:rFonts w:hint="eastAsia"/>
        </w:rPr>
        <w:t>声环境评价</w:t>
      </w:r>
      <w:bookmarkEnd w:id="62"/>
      <w:bookmarkEnd w:id="63"/>
      <w:bookmarkEnd w:id="65"/>
    </w:p>
    <w:p>
      <w:pPr>
        <w:pStyle w:val="4"/>
      </w:pPr>
      <w:bookmarkStart w:id="66" w:name="_Toc161211407"/>
      <w:bookmarkStart w:id="67" w:name="_Toc159941249"/>
      <w:bookmarkStart w:id="68" w:name="_Toc25164"/>
      <w:r>
        <w:rPr>
          <w:rFonts w:hint="eastAsia"/>
        </w:rPr>
        <w:t>声学分区</w:t>
      </w:r>
      <w:bookmarkEnd w:id="66"/>
      <w:bookmarkEnd w:id="67"/>
      <w:bookmarkEnd w:id="68"/>
    </w:p>
    <w:p>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p>
      <w:pPr>
        <w:pStyle w:val="4"/>
      </w:pPr>
      <w:bookmarkStart w:id="69" w:name="_Toc159941250"/>
      <w:bookmarkStart w:id="70" w:name="_Toc161211408"/>
      <w:bookmarkStart w:id="71" w:name="_Toc28806"/>
      <w:r>
        <w:rPr>
          <w:rFonts w:hint="eastAsia"/>
        </w:rPr>
        <w:t>主要构件隔声性能</w:t>
      </w:r>
      <w:bookmarkEnd w:id="69"/>
      <w:bookmarkEnd w:id="70"/>
      <w:bookmarkEnd w:id="71"/>
    </w:p>
    <w:p>
      <w:pPr>
        <w:pStyle w:val="3"/>
        <w:ind w:firstLine="420" w:firstLineChars="200"/>
      </w:pPr>
      <w:r>
        <w:rPr>
          <w:rFonts w:hint="eastAsia"/>
        </w:rPr>
        <w:t>本项目</w:t>
      </w:r>
      <w:r>
        <w:t>中</w:t>
      </w:r>
      <w:r>
        <w:rPr>
          <w:rFonts w:hint="eastAsia"/>
        </w:rPr>
        <w:t>建筑围护结构详细信息可见下表：</w:t>
      </w:r>
    </w:p>
    <w:p>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shd w:val="clear" w:color="auto" w:fill="E6E6E6"/>
            <w:vAlign w:val="center"/>
          </w:tcPr>
          <w:p>
            <w:pPr>
              <w:jc w:val="center"/>
            </w:pPr>
            <w:r>
              <w:t>材料</w:t>
            </w:r>
          </w:p>
        </w:tc>
        <w:tc>
          <w:tcPr>
            <w:shd w:val="clear" w:color="auto" w:fill="E6E6E6"/>
            <w:vAlign w:val="center"/>
          </w:tcPr>
          <w:p>
            <w:pPr>
              <w:jc w:val="center"/>
            </w:pPr>
            <w:r>
              <w:t>厚度(mm)</w:t>
            </w:r>
          </w:p>
        </w:tc>
        <w:tc>
          <w:tcPr>
            <w:shd w:val="clear" w:color="auto" w:fill="E6E6E6"/>
            <w:vAlign w:val="center"/>
          </w:tcPr>
          <w:p>
            <w:pPr>
              <w:jc w:val="center"/>
            </w:pPr>
            <w:r>
              <w:t>密度(kg/m</w:t>
            </w:r>
            <w:r>
              <w:rPr>
                <w:vertAlign w:val="superscript"/>
              </w:rPr>
              <w:t>3</w:t>
            </w:r>
            <w:r>
              <w:t>)</w:t>
            </w:r>
          </w:p>
        </w:tc>
        <w:tc>
          <w:tcPr>
            <w:shd w:val="clear" w:color="auto" w:fill="E6E6E6"/>
            <w:vAlign w:val="center"/>
          </w:tcPr>
          <w:p>
            <w:pPr>
              <w:jc w:val="center"/>
            </w:pPr>
            <w:r>
              <w:t>面密度(kg/m</w:t>
            </w:r>
            <w:r>
              <w:rPr>
                <w:vertAlign w:val="superscript"/>
              </w:rPr>
              <w:t>2</w:t>
            </w:r>
            <w:r>
              <w:t>)</w:t>
            </w:r>
          </w:p>
        </w:tc>
        <w:tc>
          <w:tcPr>
            <w:shd w:val="clear" w:color="auto" w:fill="E6E6E6"/>
            <w:vAlign w:val="center"/>
          </w:tcPr>
          <w:p>
            <w:pPr>
              <w:jc w:val="center"/>
            </w:pPr>
            <w:r>
              <w:t>总面密度(kg/m</w:t>
            </w:r>
            <w:r>
              <w:rPr>
                <w:vertAlign w:val="superscript"/>
              </w:rPr>
              <w:t>2</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外墙(填充墙)</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605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挤塑聚苯乙烯泡沫塑料（带表皮）(1)</w:t>
            </w:r>
          </w:p>
        </w:tc>
        <w:tc>
          <w:tcPr>
            <w:vAlign w:val="center"/>
          </w:tcPr>
          <w:p>
            <w:pPr>
              <w:jc w:val="center"/>
            </w:pPr>
            <w:r>
              <w:t>20</w:t>
            </w:r>
          </w:p>
        </w:tc>
        <w:tc>
          <w:tcPr>
            <w:vAlign w:val="center"/>
          </w:tcPr>
          <w:p>
            <w:pPr>
              <w:jc w:val="center"/>
            </w:pPr>
            <w:r>
              <w:t>35.0</w:t>
            </w:r>
          </w:p>
        </w:tc>
        <w:tc>
          <w:tcPr>
            <w:vAlign w:val="center"/>
          </w:tcPr>
          <w:p>
            <w:pPr>
              <w:jc w:val="center"/>
            </w:pPr>
            <w:r>
              <w:t>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200</w:t>
            </w:r>
          </w:p>
        </w:tc>
        <w:tc>
          <w:tcPr>
            <w:vAlign w:val="center"/>
          </w:tcPr>
          <w:p>
            <w:pPr>
              <w:jc w:val="center"/>
            </w:pPr>
            <w:r>
              <w:t>2500.0</w:t>
            </w:r>
          </w:p>
        </w:tc>
        <w:tc>
          <w:tcPr>
            <w:vAlign w:val="center"/>
          </w:tcPr>
          <w:p>
            <w:pPr>
              <w:jc w:val="center"/>
            </w:pPr>
            <w:r>
              <w:t>500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石灰砂浆1</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屋顶</w:t>
            </w:r>
          </w:p>
        </w:tc>
        <w:tc>
          <w:tcPr>
            <w:vAlign w:val="center"/>
          </w:tcPr>
          <w:p>
            <w:r>
              <w:t>碎石、卵石混凝土(ρ=2300)(1)</w:t>
            </w:r>
          </w:p>
        </w:tc>
        <w:tc>
          <w:tcPr>
            <w:vAlign w:val="center"/>
          </w:tcPr>
          <w:p>
            <w:pPr>
              <w:jc w:val="center"/>
            </w:pPr>
            <w:r>
              <w:t>50</w:t>
            </w:r>
          </w:p>
        </w:tc>
        <w:tc>
          <w:tcPr>
            <w:vAlign w:val="center"/>
          </w:tcPr>
          <w:p>
            <w:pPr>
              <w:jc w:val="center"/>
            </w:pPr>
            <w:r>
              <w:t>2300.0</w:t>
            </w:r>
          </w:p>
        </w:tc>
        <w:tc>
          <w:tcPr>
            <w:vAlign w:val="center"/>
          </w:tcPr>
          <w:p>
            <w:pPr>
              <w:jc w:val="center"/>
            </w:pPr>
            <w:r>
              <w:t>115</w:t>
            </w:r>
          </w:p>
        </w:tc>
        <w:tc>
          <w:tcPr>
            <w:vMerge w:val="restart"/>
            <w:vAlign w:val="center"/>
          </w:tcPr>
          <w:p>
            <w:pPr>
              <w:jc w:val="center"/>
            </w:pPr>
            <w:r>
              <w:t>607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挤塑聚苯板</w:t>
            </w:r>
          </w:p>
        </w:tc>
        <w:tc>
          <w:tcPr>
            <w:vAlign w:val="center"/>
          </w:tcPr>
          <w:p>
            <w:pPr>
              <w:jc w:val="center"/>
            </w:pPr>
            <w:r>
              <w:t>140</w:t>
            </w:r>
          </w:p>
        </w:tc>
        <w:tc>
          <w:tcPr>
            <w:vAlign w:val="center"/>
          </w:tcPr>
          <w:p>
            <w:pPr>
              <w:jc w:val="center"/>
            </w:pPr>
            <w:r>
              <w:t>28.0</w:t>
            </w:r>
          </w:p>
        </w:tc>
        <w:tc>
          <w:tcPr>
            <w:vAlign w:val="center"/>
          </w:tcPr>
          <w:p>
            <w:pPr>
              <w:jc w:val="center"/>
            </w:pPr>
            <w:r>
              <w:t>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SBS改性沥青防水卷材</w:t>
            </w:r>
          </w:p>
        </w:tc>
        <w:tc>
          <w:tcPr>
            <w:vAlign w:val="center"/>
          </w:tcPr>
          <w:p>
            <w:pPr>
              <w:jc w:val="center"/>
            </w:pPr>
            <w:r>
              <w:t>4</w:t>
            </w:r>
          </w:p>
        </w:tc>
        <w:tc>
          <w:tcPr>
            <w:vAlign w:val="center"/>
          </w:tcPr>
          <w:p>
            <w:pPr>
              <w:jc w:val="center"/>
            </w:pPr>
            <w:r>
              <w:t>900.0</w:t>
            </w:r>
          </w:p>
        </w:tc>
        <w:tc>
          <w:tcPr>
            <w:vAlign w:val="center"/>
          </w:tcPr>
          <w:p>
            <w:pPr>
              <w:jc w:val="center"/>
            </w:pPr>
            <w:r>
              <w:t>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30</w:t>
            </w:r>
          </w:p>
        </w:tc>
        <w:tc>
          <w:tcPr>
            <w:vAlign w:val="center"/>
          </w:tcPr>
          <w:p>
            <w:pPr>
              <w:jc w:val="center"/>
            </w:pPr>
            <w:r>
              <w:t>1800.0</w:t>
            </w:r>
          </w:p>
        </w:tc>
        <w:tc>
          <w:tcPr>
            <w:vAlign w:val="center"/>
          </w:tcPr>
          <w:p>
            <w:pPr>
              <w:jc w:val="center"/>
            </w:pPr>
            <w:r>
              <w:t>54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轻集料混凝土2%找坡层</w:t>
            </w:r>
          </w:p>
        </w:tc>
        <w:tc>
          <w:tcPr>
            <w:vAlign w:val="center"/>
          </w:tcPr>
          <w:p>
            <w:pPr>
              <w:jc w:val="center"/>
            </w:pPr>
            <w:r>
              <w:t>60</w:t>
            </w:r>
          </w:p>
        </w:tc>
        <w:tc>
          <w:tcPr>
            <w:vAlign w:val="center"/>
          </w:tcPr>
          <w:p>
            <w:pPr>
              <w:jc w:val="center"/>
            </w:pPr>
            <w:r>
              <w:t>1600.0</w:t>
            </w:r>
          </w:p>
        </w:tc>
        <w:tc>
          <w:tcPr>
            <w:vAlign w:val="center"/>
          </w:tcPr>
          <w:p>
            <w:pPr>
              <w:jc w:val="center"/>
            </w:pPr>
            <w:r>
              <w:t>96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混合砂浆</w:t>
            </w:r>
          </w:p>
        </w:tc>
        <w:tc>
          <w:tcPr>
            <w:vAlign w:val="center"/>
          </w:tcPr>
          <w:p>
            <w:pPr>
              <w:jc w:val="center"/>
            </w:pPr>
            <w:r>
              <w:t>20</w:t>
            </w:r>
          </w:p>
        </w:tc>
        <w:tc>
          <w:tcPr>
            <w:vAlign w:val="center"/>
          </w:tcPr>
          <w:p>
            <w:pPr>
              <w:jc w:val="center"/>
            </w:pPr>
            <w:r>
              <w:t>1700.0</w:t>
            </w:r>
          </w:p>
        </w:tc>
        <w:tc>
          <w:tcPr>
            <w:vAlign w:val="center"/>
          </w:tcPr>
          <w:p>
            <w:pPr>
              <w:jc w:val="center"/>
            </w:pPr>
            <w:r>
              <w:t>34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楼板</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石灰砂浆1</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挑空楼板</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409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挤塑聚苯乙烯泡沫塑料（带表皮）(1)</w:t>
            </w:r>
          </w:p>
        </w:tc>
        <w:tc>
          <w:tcPr>
            <w:vAlign w:val="center"/>
          </w:tcPr>
          <w:p>
            <w:pPr>
              <w:jc w:val="center"/>
            </w:pPr>
            <w:r>
              <w:t>20</w:t>
            </w:r>
          </w:p>
        </w:tc>
        <w:tc>
          <w:tcPr>
            <w:vAlign w:val="center"/>
          </w:tcPr>
          <w:p>
            <w:pPr>
              <w:jc w:val="center"/>
            </w:pPr>
            <w:r>
              <w:t>35.0</w:t>
            </w:r>
          </w:p>
        </w:tc>
        <w:tc>
          <w:tcPr>
            <w:vAlign w:val="center"/>
          </w:tcPr>
          <w:p>
            <w:pPr>
              <w:jc w:val="center"/>
            </w:pPr>
            <w:r>
              <w:t>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地面</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bl>
    <w:p>
      <w:pPr>
        <w:jc w:val="center"/>
      </w:pPr>
      <w:bookmarkStart w:id="73" w:name="围护结构材料清单"/>
      <w:bookmarkEnd w:id="73"/>
      <w:bookmarkStart w:id="74" w:name="_Toc159941251"/>
      <w:bookmarkStart w:id="75" w:name="_Toc161211409"/>
    </w:p>
    <w:p>
      <w:pPr>
        <w:pStyle w:val="5"/>
      </w:pPr>
      <w:r>
        <w:rPr>
          <w:rFonts w:hint="eastAsia"/>
        </w:rPr>
        <w:t>墙、板空气声隔声量</w:t>
      </w:r>
      <w:bookmarkEnd w:id="74"/>
      <w:r>
        <w:rPr>
          <w:rStyle w:val="37"/>
          <w:rFonts w:ascii="微软雅黑" w:hAnsi="微软雅黑"/>
        </w:rPr>
        <w:footnoteReference w:id="3"/>
      </w:r>
      <w:bookmarkEnd w:id="75"/>
    </w:p>
    <w:p>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教学用房外墙</w:t>
            </w:r>
          </w:p>
        </w:tc>
        <w:tc>
          <w:tcPr>
            <w:shd w:val="clear" w:color="auto" w:fill="E6E6E6"/>
            <w:vAlign w:val="center"/>
          </w:tcPr>
          <w:p>
            <w:r>
              <w:t>构造做法</w:t>
            </w:r>
          </w:p>
        </w:tc>
        <w:tc>
          <w:tcPr>
            <w:gridSpan w:val="5"/>
            <w:vAlign w:val="center"/>
          </w:tcPr>
          <w:p>
            <w:r>
              <w:t>水泥砂浆 20mm＋挤塑聚苯乙烯泡沫塑料（带表皮）(1) 20mm＋水泥砂浆 20mm＋钢筋混凝土1 200mm＋石灰砂浆1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605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46.0</w:t>
            </w:r>
          </w:p>
        </w:tc>
        <w:tc>
          <w:tcPr>
            <w:vAlign w:val="center"/>
          </w:tcPr>
          <w:p>
            <w:r>
              <w:t>49.4</w:t>
            </w:r>
          </w:p>
        </w:tc>
        <w:tc>
          <w:tcPr>
            <w:vAlign w:val="center"/>
          </w:tcPr>
          <w:p>
            <w:r>
              <w:t>52.7</w:t>
            </w:r>
          </w:p>
        </w:tc>
        <w:tc>
          <w:tcPr>
            <w:vAlign w:val="center"/>
          </w:tcPr>
          <w:p>
            <w:r>
              <w:t>56.0</w:t>
            </w:r>
          </w:p>
        </w:tc>
        <w:tc>
          <w:tcPr>
            <w:vAlign w:val="center"/>
          </w:tcPr>
          <w:p>
            <w:r>
              <w:t>59.3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普通教室间隔墙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普通教室间楼板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41.1</w:t>
            </w:r>
          </w:p>
        </w:tc>
        <w:tc>
          <w:tcPr>
            <w:vAlign w:val="center"/>
          </w:tcPr>
          <w:p>
            <w:r>
              <w:t>44.4</w:t>
            </w:r>
          </w:p>
        </w:tc>
        <w:tc>
          <w:tcPr>
            <w:vAlign w:val="center"/>
          </w:tcPr>
          <w:p>
            <w:r>
              <w:t>47.7</w:t>
            </w:r>
          </w:p>
        </w:tc>
        <w:tc>
          <w:tcPr>
            <w:vAlign w:val="center"/>
          </w:tcPr>
          <w:p>
            <w:r>
              <w:t>51.0</w:t>
            </w:r>
          </w:p>
        </w:tc>
        <w:tc>
          <w:tcPr>
            <w:vAlign w:val="center"/>
          </w:tcPr>
          <w:p>
            <w:r>
              <w:t>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77" w:name="墙板空气声隔声量"/>
      <w:bookmarkEnd w:id="77"/>
    </w:p>
    <w:p>
      <w:pPr>
        <w:pStyle w:val="5"/>
      </w:pPr>
      <w:bookmarkStart w:id="78" w:name="_Toc161211410"/>
      <w:bookmarkStart w:id="79" w:name="_Toc159941252"/>
      <w:r>
        <w:rPr>
          <w:rFonts w:hint="eastAsia"/>
        </w:rPr>
        <w:t>门窗的空气声隔声量</w:t>
      </w:r>
      <w:bookmarkEnd w:id="78"/>
      <w:bookmarkEnd w:id="7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构件</w:t>
            </w:r>
          </w:p>
        </w:tc>
        <w:tc>
          <w:tcPr>
            <w:gridSpan w:val="6"/>
            <w:shd w:val="clear" w:color="auto" w:fill="E6E6E6"/>
            <w:vAlign w:val="center"/>
          </w:tcPr>
          <w:p>
            <w:pPr>
              <w:jc w:val="center"/>
              <w:rPr>
                <w:sz w:val="18"/>
                <w:szCs w:val="18"/>
              </w:rPr>
            </w:pPr>
            <w:r>
              <w:rPr>
                <w:sz w:val="18"/>
                <w:szCs w:val="18"/>
              </w:rP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教学用房的门</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保温门（多功能门）,内门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木门</w:t>
            </w:r>
            <w:r>
              <w:rPr>
                <w:sz w:val="18"/>
                <w:szCs w:val="18"/>
              </w:rPr>
              <w:br w:type="textWrapping"/>
            </w:r>
            <w:r>
              <w:rPr>
                <w:sz w:val="18"/>
                <w:szCs w:val="18"/>
              </w:rPr>
              <w:t>[示例]60厚木门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24.0</w:t>
            </w:r>
          </w:p>
        </w:tc>
        <w:tc>
          <w:tcPr>
            <w:vAlign w:val="center"/>
          </w:tcPr>
          <w:p>
            <w:pPr>
              <w:rPr>
                <w:sz w:val="18"/>
                <w:szCs w:val="18"/>
              </w:rPr>
            </w:pPr>
            <w:r>
              <w:rPr>
                <w:sz w:val="18"/>
                <w:szCs w:val="18"/>
              </w:rPr>
              <w:t>24.0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教学用房的其他外窗</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隔热铝合金型材三玻两腔中空玻璃窗（5Low-E 双银+12Ar+5+12Ar+5）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Low-E中空玻璃</w:t>
            </w:r>
            <w:r>
              <w:rPr>
                <w:sz w:val="18"/>
                <w:szCs w:val="18"/>
              </w:rPr>
              <w:br w:type="textWrapping"/>
            </w:r>
            <w:r>
              <w:rPr>
                <w:sz w:val="18"/>
                <w:szCs w:val="18"/>
              </w:rPr>
              <w:t>（5+12Ar+4+12Ar+6）温屏Low-E中空玻璃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22.0</w:t>
            </w:r>
          </w:p>
        </w:tc>
        <w:tc>
          <w:tcPr>
            <w:vAlign w:val="center"/>
          </w:tcPr>
          <w:p>
            <w:pPr>
              <w:rPr>
                <w:sz w:val="18"/>
                <w:szCs w:val="18"/>
              </w:rPr>
            </w:pPr>
            <w:r>
              <w:rPr>
                <w:sz w:val="18"/>
                <w:szCs w:val="18"/>
              </w:rPr>
              <w:t>27.0</w:t>
            </w:r>
          </w:p>
        </w:tc>
        <w:tc>
          <w:tcPr>
            <w:vAlign w:val="center"/>
          </w:tcPr>
          <w:p>
            <w:pPr>
              <w:rPr>
                <w:sz w:val="18"/>
                <w:szCs w:val="18"/>
              </w:rPr>
            </w:pPr>
            <w:r>
              <w:rPr>
                <w:sz w:val="18"/>
                <w:szCs w:val="18"/>
              </w:rPr>
              <w:t>33.0</w:t>
            </w:r>
          </w:p>
        </w:tc>
        <w:tc>
          <w:tcPr>
            <w:vAlign w:val="center"/>
          </w:tcPr>
          <w:p>
            <w:pPr>
              <w:rPr>
                <w:sz w:val="18"/>
                <w:szCs w:val="18"/>
              </w:rPr>
            </w:pPr>
            <w:r>
              <w:rPr>
                <w:sz w:val="18"/>
                <w:szCs w:val="18"/>
              </w:rPr>
              <w:t>44.0</w:t>
            </w:r>
          </w:p>
        </w:tc>
        <w:tc>
          <w:tcPr>
            <w:vAlign w:val="center"/>
          </w:tcPr>
          <w:p>
            <w:pPr>
              <w:rPr>
                <w:sz w:val="18"/>
                <w:szCs w:val="18"/>
              </w:rPr>
            </w:pPr>
            <w:r>
              <w:rPr>
                <w:sz w:val="18"/>
                <w:szCs w:val="18"/>
              </w:rPr>
              <w:t>43.0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4.0</w:t>
            </w:r>
          </w:p>
        </w:tc>
        <w:tc>
          <w:tcPr>
            <w:vAlign w:val="center"/>
          </w:tcPr>
          <w:p>
            <w:pPr>
              <w:rPr>
                <w:sz w:val="18"/>
                <w:szCs w:val="18"/>
              </w:rPr>
            </w:pPr>
            <w:r>
              <w:rPr>
                <w:sz w:val="18"/>
                <w:szCs w:val="18"/>
              </w:rPr>
              <w:t>5.0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bl>
    <w:p>
      <w:pPr>
        <w:pStyle w:val="15"/>
        <w:ind w:firstLine="420" w:firstLineChars="0"/>
        <w:jc w:val="center"/>
        <w:rPr>
          <w:kern w:val="0"/>
          <w:sz w:val="18"/>
          <w:szCs w:val="18"/>
        </w:rPr>
      </w:pPr>
      <w:bookmarkStart w:id="81" w:name="门窗空气声隔声量"/>
      <w:bookmarkEnd w:id="81"/>
    </w:p>
    <w:p>
      <w:pPr>
        <w:pStyle w:val="5"/>
      </w:pPr>
      <w:bookmarkStart w:id="82" w:name="_Toc161211411"/>
      <w:r>
        <w:rPr>
          <w:rFonts w:hint="eastAsia"/>
        </w:rPr>
        <w:t>楼板的撞击声隔声量</w:t>
      </w:r>
      <w:r>
        <w:rPr>
          <w:rStyle w:val="37"/>
          <w:rFonts w:ascii="微软雅黑" w:hAnsi="微软雅黑"/>
        </w:rPr>
        <w:footnoteReference w:id="5"/>
      </w:r>
      <w:bookmarkEnd w:id="82"/>
    </w:p>
    <w:p>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gridSpan w:val="6"/>
            <w:shd w:val="clear" w:color="auto" w:fill="E6E6E6"/>
            <w:vAlign w:val="center"/>
          </w:tcPr>
          <w:p>
            <w:pPr>
              <w:jc w:val="center"/>
            </w:pPr>
            <w:r>
              <w:t>构造参数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普通教室之间楼板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参照构造做法</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125Hz</w:t>
            </w:r>
          </w:p>
        </w:tc>
        <w:tc>
          <w:tcPr>
            <w:shd w:val="clear" w:color="auto" w:fill="E6E6E6"/>
            <w:vAlign w:val="center"/>
          </w:tcPr>
          <w:p>
            <w:r>
              <w:t>250Hz</w:t>
            </w:r>
          </w:p>
        </w:tc>
        <w:tc>
          <w:tcPr>
            <w:shd w:val="clear" w:color="auto" w:fill="E6E6E6"/>
            <w:vAlign w:val="center"/>
          </w:tcPr>
          <w:p>
            <w:r>
              <w:t>500Hz</w:t>
            </w:r>
          </w:p>
        </w:tc>
        <w:tc>
          <w:tcPr>
            <w:shd w:val="clear" w:color="auto" w:fill="E6E6E6"/>
            <w:vAlign w:val="center"/>
          </w:tcPr>
          <w:p>
            <w:r>
              <w:t>1000Hz</w:t>
            </w:r>
          </w:p>
        </w:tc>
        <w:tc>
          <w:tcPr>
            <w:shd w:val="clear" w:color="auto" w:fill="E6E6E6"/>
            <w:vAlign w:val="center"/>
          </w:tcPr>
          <w:p>
            <w:r>
              <w:t>2000Hz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29.0</w:t>
            </w:r>
          </w:p>
        </w:tc>
        <w:tc>
          <w:tcPr>
            <w:vAlign w:val="center"/>
          </w:tcPr>
          <w:p>
            <w:r>
              <w:t>36.0</w:t>
            </w:r>
          </w:p>
        </w:tc>
        <w:tc>
          <w:tcPr>
            <w:vAlign w:val="center"/>
          </w:tcPr>
          <w:p>
            <w:r>
              <w:t>39.0</w:t>
            </w:r>
          </w:p>
        </w:tc>
        <w:tc>
          <w:tcPr>
            <w:vAlign w:val="center"/>
          </w:tcPr>
          <w:p>
            <w:r>
              <w:t>46.0</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0.0</w:t>
            </w:r>
          </w:p>
        </w:tc>
        <w:tc>
          <w:tcPr>
            <w:vAlign w:val="center"/>
          </w:tcPr>
          <w:p>
            <w:r>
              <w:t>0.0</w:t>
            </w:r>
          </w:p>
        </w:tc>
        <w:tc>
          <w:tcPr>
            <w:vAlign w:val="center"/>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数据来源</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计权标准化撞击声压级</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标准限值</w:t>
            </w:r>
          </w:p>
        </w:tc>
        <w:tc>
          <w:tcPr>
            <w:gridSpan w:val="5"/>
            <w:vAlign w:val="center"/>
          </w:tcPr>
          <w:p>
            <w:r>
              <w:t>&lt;75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84" w:name="撞击声隔声"/>
      <w:bookmarkEnd w:id="84"/>
    </w:p>
    <w:p>
      <w:pPr>
        <w:jc w:val="center"/>
        <w:rPr>
          <w:lang w:val="en-US"/>
        </w:rPr>
      </w:pPr>
    </w:p>
    <w:p>
      <w:pPr>
        <w:pStyle w:val="5"/>
      </w:pPr>
      <w:r>
        <w:rPr>
          <w:rFonts w:hint="eastAsia"/>
        </w:rPr>
        <w:t>小结—构件隔声</w:t>
      </w:r>
    </w:p>
    <w:p>
      <w:pPr>
        <w:pStyle w:val="3"/>
        <w:ind w:firstLine="420" w:firstLineChars="200"/>
      </w:pPr>
      <w:r>
        <w:rPr>
          <w:rFonts w:hint="eastAsia"/>
        </w:rPr>
        <w:t>根据上述计算可知，本项目围护结构隔声结果如下表所示：</w:t>
      </w:r>
    </w:p>
    <w:p>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单值评价量+频谱修正量</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教学用房外墙</w:t>
            </w:r>
          </w:p>
        </w:tc>
        <w:tc>
          <w:tcPr>
            <w:vAlign w:val="center"/>
          </w:tcPr>
          <w:p>
            <w:r>
              <w:rPr>
                <w:b/>
              </w:rPr>
              <w:t>53</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普通教室间隔墙</w:t>
            </w:r>
          </w:p>
        </w:tc>
        <w:tc>
          <w:tcPr>
            <w:vAlign w:val="center"/>
          </w:tcPr>
          <w:p>
            <w:r>
              <w:rPr>
                <w:b/>
              </w:rPr>
              <w:t>50</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普通教室间楼板</w:t>
            </w:r>
          </w:p>
        </w:tc>
        <w:tc>
          <w:tcPr>
            <w:vAlign w:val="center"/>
          </w:tcPr>
          <w:p>
            <w:r>
              <w:rPr>
                <w:b/>
              </w:rPr>
              <w:t>51</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教学用房的门</w:t>
            </w:r>
          </w:p>
        </w:tc>
        <w:tc>
          <w:tcPr>
            <w:vAlign w:val="center"/>
          </w:tcPr>
          <w:p>
            <w:r>
              <w:rPr>
                <w:b/>
              </w:rPr>
              <w:t>33</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教学用房的其他外窗</w:t>
            </w:r>
          </w:p>
        </w:tc>
        <w:tc>
          <w:tcPr>
            <w:vAlign w:val="center"/>
          </w:tcPr>
          <w:p>
            <w:r>
              <w:rPr>
                <w:b/>
              </w:rPr>
              <w:t>32</w:t>
            </w:r>
          </w:p>
        </w:tc>
        <w:tc>
          <w:tcPr>
            <w:vAlign w:val="center"/>
          </w:tcPr>
          <w:p>
            <w:r>
              <w:t>≥25</w:t>
            </w:r>
          </w:p>
        </w:tc>
        <w:tc>
          <w:tcPr>
            <w:vAlign w:val="center"/>
          </w:tcPr>
          <w:p>
            <w:r>
              <w:t>满足</w:t>
            </w:r>
          </w:p>
        </w:tc>
      </w:tr>
    </w:tbl>
    <w:p>
      <w:pPr>
        <w:jc w:val="center"/>
      </w:pPr>
      <w:bookmarkStart w:id="85" w:name="构件隔声性能统计"/>
      <w:bookmarkEnd w:id="85"/>
    </w:p>
    <w:p>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pPr>
              <w:jc w:val="center"/>
            </w:pPr>
            <w:r>
              <w:t>构件</w:t>
            </w:r>
          </w:p>
        </w:tc>
        <w:tc>
          <w:tcPr>
            <w:shd w:val="clear" w:color="auto" w:fill="E6E6E6"/>
            <w:vAlign w:val="center"/>
          </w:tcPr>
          <w:p>
            <w:pPr>
              <w:jc w:val="center"/>
            </w:pPr>
            <w:r>
              <w:t>计权标准化撞击声压级</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普通教室之间楼板</w:t>
            </w:r>
          </w:p>
        </w:tc>
        <w:tc>
          <w:tcPr>
            <w:vAlign w:val="center"/>
          </w:tcPr>
          <w:p>
            <w:r>
              <w:rPr>
                <w:b/>
              </w:rPr>
              <w:t>55</w:t>
            </w:r>
          </w:p>
        </w:tc>
        <w:tc>
          <w:tcPr>
            <w:vAlign w:val="center"/>
          </w:tcPr>
          <w:p>
            <w:r>
              <w:t>&lt;75</w:t>
            </w:r>
          </w:p>
        </w:tc>
        <w:tc>
          <w:tcPr>
            <w:vAlign w:val="center"/>
          </w:tcPr>
          <w:p>
            <w:r>
              <w:t>满足</w:t>
            </w:r>
          </w:p>
        </w:tc>
      </w:tr>
    </w:tbl>
    <w:p>
      <w:pPr>
        <w:jc w:val="center"/>
        <w:rPr>
          <w:lang w:val="en-US"/>
        </w:rPr>
      </w:pPr>
      <w:bookmarkStart w:id="86" w:name="撞击声隔声性能统计"/>
      <w:bookmarkEnd w:id="86"/>
    </w:p>
    <w:p>
      <w:pPr>
        <w:pStyle w:val="4"/>
      </w:pPr>
      <w:bookmarkStart w:id="87" w:name="_Toc161211412"/>
      <w:bookmarkStart w:id="88" w:name="_Toc159941255"/>
      <w:bookmarkStart w:id="89" w:name="_Toc3961"/>
      <w:r>
        <w:rPr>
          <w:rFonts w:hint="eastAsia"/>
        </w:rPr>
        <w:t>建筑物外部噪声源对主要功能房间的影响评估</w:t>
      </w:r>
      <w:bookmarkEnd w:id="64"/>
      <w:bookmarkEnd w:id="87"/>
      <w:bookmarkEnd w:id="88"/>
      <w:bookmarkEnd w:id="89"/>
    </w:p>
    <w:p>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1017房间,房间类型[普通教室]</w:t>
      </w:r>
      <w:bookmarkEnd w:id="90"/>
      <w:r>
        <w:rPr>
          <w:rFonts w:hint="eastAsia"/>
          <w:lang w:val="en-US"/>
        </w:rPr>
        <w:t>为例，进行逐步计算说明。典型房间所处位置如下图</w:t>
      </w:r>
      <w:r>
        <w:rPr>
          <w:lang w:val="en-US"/>
        </w:rPr>
        <w:t>5-1</w:t>
      </w:r>
      <w:r>
        <w:rPr>
          <w:rFonts w:hint="eastAsia"/>
          <w:lang w:val="en-US"/>
        </w:rPr>
        <w:t>所示。</w:t>
      </w:r>
    </w:p>
    <w:p>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pPr>
        <w:jc w:val="center"/>
        <w:rPr>
          <w:lang w:val="en-US"/>
        </w:rPr>
      </w:pPr>
      <w:bookmarkStart w:id="91" w:name="最不利房间楼层平面图"/>
      <w:bookmarkEnd w:id="91"/>
      <w:r>
        <w:drawing>
          <wp:inline distT="0" distB="0" distL="0" distR="0">
            <wp:extent cx="5372100" cy="80105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372100" cy="8010525"/>
                    </a:xfrm>
                    <a:prstGeom prst="rect">
                      <a:avLst/>
                    </a:prstGeom>
                  </pic:spPr>
                </pic:pic>
              </a:graphicData>
            </a:graphic>
          </wp:inline>
        </w:drawing>
      </w:r>
    </w:p>
    <w:p>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pPr>
        <w:pStyle w:val="5"/>
      </w:pPr>
      <w:bookmarkStart w:id="93" w:name="_Toc161211413"/>
      <w:r>
        <w:rPr>
          <w:rFonts w:hint="eastAsia"/>
        </w:rPr>
        <w:t>典型房间总吸声量</w:t>
      </w:r>
    </w:p>
    <w:p>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构件</w:t>
            </w:r>
          </w:p>
        </w:tc>
        <w:tc>
          <w:tcPr>
            <w:vMerge w:val="restart"/>
            <w:shd w:val="clear" w:color="auto" w:fill="E6E6E6"/>
            <w:vAlign w:val="center"/>
          </w:tcPr>
          <w:p>
            <w:pPr>
              <w:jc w:val="center"/>
            </w:pPr>
            <w:r>
              <w:t>面积</w:t>
            </w:r>
            <w:r>
              <w:br w:type="textWrapping"/>
            </w:r>
            <w:r>
              <w:t>(㎡)</w:t>
            </w:r>
          </w:p>
        </w:tc>
        <w:tc>
          <w:tcPr>
            <w:gridSpan w:val="5"/>
            <w:shd w:val="clear" w:color="auto" w:fill="E6E6E6"/>
            <w:vAlign w:val="center"/>
          </w:tcPr>
          <w:p>
            <w:pPr>
              <w:jc w:val="center"/>
            </w:pPr>
            <w:r>
              <w:t>各中心频率下的吸声系数</w:t>
            </w:r>
          </w:p>
        </w:tc>
        <w:tc>
          <w:tcPr>
            <w:vMerge w:val="restart"/>
            <w:shd w:val="clear" w:color="auto" w:fill="E6E6E6"/>
            <w:vAlign w:val="center"/>
          </w:tcPr>
          <w:p>
            <w:pPr>
              <w:jc w:val="center"/>
            </w:pPr>
            <w: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c>
          <w:tcPr>
            <w:vMerge w:val="continue"/>
            <w:shd w:val="clear" w:color="auto" w:fill="E6E6E6"/>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内墙</w:t>
            </w:r>
          </w:p>
        </w:tc>
        <w:tc>
          <w:tcPr>
            <w:shd w:val="clear" w:color="auto" w:fill="E6E6E6"/>
            <w:vAlign w:val="center"/>
          </w:tcPr>
          <w:p>
            <w:r>
              <w:t>92.9</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外墙（填充墙）</w:t>
            </w:r>
          </w:p>
        </w:tc>
        <w:tc>
          <w:tcPr>
            <w:shd w:val="clear" w:color="auto" w:fill="E6E6E6"/>
            <w:vAlign w:val="center"/>
          </w:tcPr>
          <w:p>
            <w:r>
              <w:t>35.4</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内窗(C6921)</w:t>
            </w:r>
          </w:p>
        </w:tc>
        <w:tc>
          <w:tcPr>
            <w:shd w:val="clear" w:color="auto" w:fill="E6E6E6"/>
            <w:vAlign w:val="center"/>
          </w:tcPr>
          <w:p>
            <w:r>
              <w:t>14.5</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内门(M1123)</w:t>
            </w:r>
          </w:p>
        </w:tc>
        <w:tc>
          <w:tcPr>
            <w:shd w:val="clear" w:color="auto" w:fill="E6E6E6"/>
            <w:vAlign w:val="center"/>
          </w:tcPr>
          <w:p>
            <w:r>
              <w:t>2.5</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外窗(C4013)</w:t>
            </w:r>
          </w:p>
        </w:tc>
        <w:tc>
          <w:tcPr>
            <w:shd w:val="clear" w:color="auto" w:fill="E6E6E6"/>
            <w:vAlign w:val="center"/>
          </w:tcPr>
          <w:p>
            <w:r>
              <w:t>5.2</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外门(M1227)</w:t>
            </w:r>
          </w:p>
        </w:tc>
        <w:tc>
          <w:tcPr>
            <w:shd w:val="clear" w:color="auto" w:fill="E6E6E6"/>
            <w:vAlign w:val="center"/>
          </w:tcPr>
          <w:p>
            <w:r>
              <w:t>6.5</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楼板</w:t>
            </w:r>
          </w:p>
        </w:tc>
        <w:tc>
          <w:tcPr>
            <w:shd w:val="clear" w:color="auto" w:fill="E6E6E6"/>
            <w:vAlign w:val="center"/>
          </w:tcPr>
          <w:p>
            <w:r>
              <w:t>93.4</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屋顶</w:t>
            </w:r>
          </w:p>
        </w:tc>
        <w:tc>
          <w:tcPr>
            <w:shd w:val="clear" w:color="auto" w:fill="E6E6E6"/>
            <w:vAlign w:val="center"/>
          </w:tcPr>
          <w:p>
            <w:r>
              <w:t>93.3</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屋顶</w:t>
            </w:r>
          </w:p>
        </w:tc>
        <w:tc>
          <w:tcPr>
            <w:shd w:val="clear" w:color="auto" w:fill="E6E6E6"/>
            <w:vAlign w:val="center"/>
          </w:tcPr>
          <w:p>
            <w:r>
              <w:t>0.1</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r>
              <w:t>总吸声量(㎡)</w:t>
            </w:r>
          </w:p>
        </w:tc>
        <w:tc>
          <w:tcPr>
            <w:vAlign w:val="center"/>
          </w:tcPr>
          <w:p>
            <w:r>
              <w:t>37.1</w:t>
            </w:r>
          </w:p>
        </w:tc>
        <w:tc>
          <w:tcPr>
            <w:vAlign w:val="center"/>
          </w:tcPr>
          <w:p>
            <w:r>
              <w:t>20.6</w:t>
            </w:r>
          </w:p>
        </w:tc>
        <w:tc>
          <w:tcPr>
            <w:vAlign w:val="center"/>
          </w:tcPr>
          <w:p>
            <w:r>
              <w:t>22.2</w:t>
            </w:r>
          </w:p>
        </w:tc>
        <w:tc>
          <w:tcPr>
            <w:vAlign w:val="center"/>
          </w:tcPr>
          <w:p>
            <w:r>
              <w:t>25.0</w:t>
            </w:r>
          </w:p>
        </w:tc>
        <w:tc>
          <w:tcPr>
            <w:vAlign w:val="center"/>
          </w:tcPr>
          <w:p>
            <w:r>
              <w:t>31.1</w:t>
            </w:r>
          </w:p>
        </w:tc>
        <w:tc>
          <w:tcPr>
            <w:vAlign w:val="center"/>
          </w:tcPr>
          <w:p/>
        </w:tc>
      </w:tr>
    </w:tbl>
    <w:p>
      <w:pPr>
        <w:pStyle w:val="3"/>
        <w:jc w:val="center"/>
        <w:rPr>
          <w:lang w:val="en-US"/>
        </w:rPr>
      </w:pPr>
      <w:bookmarkStart w:id="94" w:name="围护结构吸声量"/>
      <w:bookmarkEnd w:id="94"/>
    </w:p>
    <w:p>
      <w:pPr>
        <w:pStyle w:val="5"/>
      </w:pPr>
      <w:r>
        <w:rPr>
          <w:rFonts w:hint="eastAsia"/>
        </w:rPr>
        <w:t>典型房间室外噪声级</w:t>
      </w:r>
      <w:bookmarkEnd w:id="93"/>
    </w:p>
    <w:p>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pPr>
        <w:pStyle w:val="3"/>
        <w:ind w:firstLine="420"/>
        <w:rPr>
          <w:kern w:val="2"/>
          <w:lang w:val="en-US"/>
        </w:rPr>
      </w:pPr>
      <w:r>
        <w:rPr>
          <w:rFonts w:hint="eastAsia"/>
          <w:kern w:val="2"/>
          <w:lang w:val="en-US"/>
        </w:rPr>
        <w:t>场地水平噪声面（高度</w:t>
      </w:r>
      <w:r>
        <w:rPr>
          <w:kern w:val="2"/>
          <w:lang w:val="en-US"/>
        </w:rPr>
        <w:t>1.5m）模拟计算分析图如下图所示：</w:t>
      </w:r>
    </w:p>
    <w:p>
      <w:pPr>
        <w:pStyle w:val="3"/>
        <w:ind w:firstLine="420"/>
        <w:jc w:val="center"/>
        <w:rPr>
          <w:kern w:val="2"/>
          <w:lang w:val="en-US"/>
        </w:rPr>
      </w:pPr>
    </w:p>
    <w:p>
      <w:pPr>
        <w:jc w:val="center"/>
      </w:pPr>
      <w:bookmarkStart w:id="98" w:name="场地噪声分布俯瞰昼"/>
      <w:bookmarkEnd w:id="98"/>
      <w:r>
        <w:drawing>
          <wp:inline distT="0" distB="0" distL="0" distR="0">
            <wp:extent cx="5667375" cy="48291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482917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pPr>
        <w:jc w:val="center"/>
        <w:rPr>
          <w:szCs w:val="20"/>
        </w:rPr>
      </w:pPr>
    </w:p>
    <w:p>
      <w:pPr>
        <w:jc w:val="center"/>
      </w:pPr>
      <w:bookmarkStart w:id="99" w:name="场地噪声分布俯瞰夜"/>
      <w:bookmarkEnd w:id="99"/>
      <w:r>
        <w:drawing>
          <wp:inline distT="0" distB="0" distL="0" distR="0">
            <wp:extent cx="5667375" cy="48291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482917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pPr>
        <w:pStyle w:val="3"/>
        <w:rPr>
          <w:kern w:val="2"/>
          <w:lang w:val="en-US"/>
        </w:rPr>
      </w:pPr>
    </w:p>
    <w:p>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pPr>
        <w:jc w:val="center"/>
        <w:rPr>
          <w:sz w:val="21"/>
          <w:szCs w:val="21"/>
          <w:lang w:val="en-US"/>
        </w:rPr>
      </w:pPr>
      <w:bookmarkStart w:id="101" w:name="参评建筑边界噪声图昼间"/>
      <w:bookmarkEnd w:id="101"/>
      <w:r>
        <w:drawing>
          <wp:inline distT="0" distB="0" distL="0" distR="0">
            <wp:extent cx="5667375" cy="41624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416242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pPr>
        <w:jc w:val="center"/>
        <w:rPr>
          <w:sz w:val="21"/>
          <w:szCs w:val="21"/>
          <w:lang w:val="en-US"/>
        </w:rPr>
      </w:pPr>
      <w:bookmarkStart w:id="102" w:name="参评建筑边界噪声图夜间"/>
      <w:bookmarkEnd w:id="102"/>
      <w:r>
        <w:drawing>
          <wp:inline distT="0" distB="0" distL="0" distR="0">
            <wp:extent cx="5667375" cy="41624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5667375" cy="416242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pPr>
        <w:pStyle w:val="3"/>
        <w:ind w:firstLine="420"/>
      </w:pPr>
    </w:p>
    <w:bookmarkEnd w:id="95"/>
    <w:p>
      <w:pPr>
        <w:pStyle w:val="5"/>
      </w:pPr>
      <w:r>
        <w:rPr>
          <w:rFonts w:hint="eastAsia"/>
        </w:rPr>
        <w:t>典型房间外围护结构隔声量</w:t>
      </w:r>
      <w:bookmarkEnd w:id="100"/>
    </w:p>
    <w:p>
      <w:pPr>
        <w:pStyle w:val="3"/>
        <w:ind w:firstLine="420"/>
        <w:rPr>
          <w:lang w:val="en-US"/>
        </w:rPr>
      </w:pPr>
      <w:r>
        <w:rPr>
          <w:rFonts w:hint="eastAsia"/>
          <w:lang w:val="en-US"/>
        </w:rPr>
        <w:t>典型房间外围护结构如下图所示。</w:t>
      </w:r>
    </w:p>
    <w:p>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pPr>
        <w:rPr>
          <w:color w:val="FF00FF"/>
          <w:sz w:val="21"/>
          <w:szCs w:val="21"/>
          <w:lang w:val="en-US"/>
        </w:rPr>
      </w:pPr>
      <w:r>
        <w:rPr>
          <w:color w:val="FF00FF"/>
          <w:sz w:val="21"/>
          <w:szCs w:val="21"/>
          <w:lang w:val="en-US"/>
        </w:rPr>
        <w:tab/>
      </w:r>
    </w:p>
    <w:p>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外墙1+外门(M1227)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46.0</w:t>
            </w:r>
          </w:p>
        </w:tc>
        <w:tc>
          <w:tcPr>
            <w:vAlign w:val="center"/>
          </w:tcPr>
          <w:p>
            <w:r>
              <w:t>49.4</w:t>
            </w:r>
          </w:p>
        </w:tc>
        <w:tc>
          <w:tcPr>
            <w:vAlign w:val="center"/>
          </w:tcPr>
          <w:p>
            <w:r>
              <w:t>52.7</w:t>
            </w:r>
          </w:p>
        </w:tc>
        <w:tc>
          <w:tcPr>
            <w:vAlign w:val="center"/>
          </w:tcPr>
          <w:p>
            <w:r>
              <w:t>56.0</w:t>
            </w:r>
          </w:p>
        </w:tc>
        <w:tc>
          <w:tcPr>
            <w:vAlign w:val="center"/>
          </w:tcPr>
          <w:p>
            <w:r>
              <w:t>59.3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外门(M1227)隔声量(dB)</w:t>
            </w:r>
          </w:p>
        </w:tc>
        <w:tc>
          <w:tcPr>
            <w:vAlign w:val="center"/>
          </w:tcPr>
          <w:p>
            <w:r>
              <w:t>24.0</w:t>
            </w:r>
          </w:p>
        </w:tc>
        <w:tc>
          <w:tcPr>
            <w:vAlign w:val="center"/>
          </w:tcPr>
          <w:p>
            <w:r>
              <w:t>24.0</w:t>
            </w:r>
          </w:p>
        </w:tc>
        <w:tc>
          <w:tcPr>
            <w:vAlign w:val="center"/>
          </w:tcPr>
          <w:p>
            <w:r>
              <w:t>31.0</w:t>
            </w:r>
          </w:p>
        </w:tc>
        <w:tc>
          <w:tcPr>
            <w:vAlign w:val="center"/>
          </w:tcPr>
          <w:p>
            <w:r>
              <w:t>35.0</w:t>
            </w:r>
          </w:p>
        </w:tc>
        <w:tc>
          <w:tcPr>
            <w:vAlign w:val="center"/>
          </w:tcPr>
          <w:p>
            <w: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27.6</w:t>
            </w:r>
          </w:p>
        </w:tc>
        <w:tc>
          <w:tcPr>
            <w:vAlign w:val="center"/>
          </w:tcPr>
          <w:p>
            <w:r>
              <w:t>27.6</w:t>
            </w:r>
          </w:p>
        </w:tc>
        <w:tc>
          <w:tcPr>
            <w:vAlign w:val="center"/>
          </w:tcPr>
          <w:p>
            <w:r>
              <w:t>34.6</w:t>
            </w:r>
          </w:p>
        </w:tc>
        <w:tc>
          <w:tcPr>
            <w:vAlign w:val="center"/>
          </w:tcPr>
          <w:p>
            <w:r>
              <w:t>38.6</w:t>
            </w:r>
          </w:p>
        </w:tc>
        <w:tc>
          <w:tcPr>
            <w:vAlign w:val="center"/>
          </w:tcPr>
          <w:p>
            <w:r>
              <w:t>42.6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34.6</w:t>
            </w:r>
          </w:p>
        </w:tc>
        <w:tc>
          <w:tcPr>
            <w:vAlign w:val="center"/>
          </w:tcPr>
          <w:p>
            <w:r>
              <w:t>32.0</w:t>
            </w:r>
          </w:p>
        </w:tc>
        <w:tc>
          <w:tcPr>
            <w:vAlign w:val="center"/>
          </w:tcPr>
          <w:p>
            <w:r>
              <w:t>39.3</w:t>
            </w:r>
          </w:p>
        </w:tc>
        <w:tc>
          <w:tcPr>
            <w:vAlign w:val="center"/>
          </w:tcPr>
          <w:p>
            <w:r>
              <w:t>43.8</w:t>
            </w:r>
          </w:p>
        </w:tc>
        <w:tc>
          <w:tcPr>
            <w:vAlign w:val="center"/>
          </w:tcPr>
          <w:p>
            <w:r>
              <w:t>48.8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46.0</w:t>
            </w:r>
          </w:p>
        </w:tc>
        <w:tc>
          <w:tcPr>
            <w:vAlign w:val="center"/>
          </w:tcPr>
          <w:p>
            <w:r>
              <w:t>49.4</w:t>
            </w:r>
          </w:p>
        </w:tc>
        <w:tc>
          <w:tcPr>
            <w:vAlign w:val="center"/>
          </w:tcPr>
          <w:p>
            <w:r>
              <w:t>52.7</w:t>
            </w:r>
          </w:p>
        </w:tc>
        <w:tc>
          <w:tcPr>
            <w:vAlign w:val="center"/>
          </w:tcPr>
          <w:p>
            <w:r>
              <w:t>56.0</w:t>
            </w:r>
          </w:p>
        </w:tc>
        <w:tc>
          <w:tcPr>
            <w:vAlign w:val="center"/>
          </w:tcPr>
          <w:p>
            <w:r>
              <w:t>59.3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46.0</w:t>
            </w:r>
          </w:p>
        </w:tc>
        <w:tc>
          <w:tcPr>
            <w:vAlign w:val="center"/>
          </w:tcPr>
          <w:p>
            <w:r>
              <w:t>49.4</w:t>
            </w:r>
          </w:p>
        </w:tc>
        <w:tc>
          <w:tcPr>
            <w:vAlign w:val="center"/>
          </w:tcPr>
          <w:p>
            <w:r>
              <w:t>52.7</w:t>
            </w:r>
          </w:p>
        </w:tc>
        <w:tc>
          <w:tcPr>
            <w:vAlign w:val="center"/>
          </w:tcPr>
          <w:p>
            <w:r>
              <w:t>56.0</w:t>
            </w:r>
          </w:p>
        </w:tc>
        <w:tc>
          <w:tcPr>
            <w:vAlign w:val="center"/>
          </w:tcPr>
          <w:p>
            <w:r>
              <w:t>59.3</w:t>
            </w:r>
          </w:p>
        </w:tc>
      </w:tr>
      <w:tr>
        <w:tblPrEx>
          <w:tblCellMar>
            <w:top w:w="0" w:type="dxa"/>
            <w:left w:w="108" w:type="dxa"/>
            <w:bottom w:w="0" w:type="dxa"/>
            <w:right w:w="108" w:type="dxa"/>
          </w:tblCellMar>
        </w:tblPrEx>
        <w:tc>
          <w:tcPr>
            <w:shd w:val="clear" w:color="auto" w:fill="E6E6E6"/>
            <w:vAlign w:val="center"/>
          </w:tcPr>
          <w:p>
            <w:r>
              <w:t>组合墙有效隔声量(dB)</w:t>
            </w:r>
          </w:p>
        </w:tc>
        <w:tc>
          <w:tcPr>
            <w:vAlign w:val="center"/>
          </w:tcPr>
          <w:p>
            <w:r>
              <w:t>58.7</w:t>
            </w:r>
          </w:p>
        </w:tc>
        <w:tc>
          <w:tcPr>
            <w:vAlign w:val="center"/>
          </w:tcPr>
          <w:p>
            <w:r>
              <w:t>59.5</w:t>
            </w:r>
          </w:p>
        </w:tc>
        <w:tc>
          <w:tcPr>
            <w:vAlign w:val="center"/>
          </w:tcPr>
          <w:p>
            <w:r>
              <w:t>63.1</w:t>
            </w:r>
          </w:p>
        </w:tc>
        <w:tc>
          <w:tcPr>
            <w:vAlign w:val="center"/>
          </w:tcPr>
          <w:p>
            <w:r>
              <w:t>66.9</w:t>
            </w:r>
          </w:p>
        </w:tc>
        <w:tc>
          <w:tcPr>
            <w:vAlign w:val="center"/>
          </w:tcPr>
          <w:p>
            <w:r>
              <w:t>71.2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64</w:t>
            </w:r>
          </w:p>
        </w:tc>
      </w:tr>
      <w:tr>
        <w:tblPrEx>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外墙3+外窗(C4013)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46.0</w:t>
            </w:r>
          </w:p>
        </w:tc>
        <w:tc>
          <w:tcPr>
            <w:vAlign w:val="center"/>
          </w:tcPr>
          <w:p>
            <w:r>
              <w:t>49.4</w:t>
            </w:r>
          </w:p>
        </w:tc>
        <w:tc>
          <w:tcPr>
            <w:vAlign w:val="center"/>
          </w:tcPr>
          <w:p>
            <w:r>
              <w:t>52.7</w:t>
            </w:r>
          </w:p>
        </w:tc>
        <w:tc>
          <w:tcPr>
            <w:vAlign w:val="center"/>
          </w:tcPr>
          <w:p>
            <w:r>
              <w:t>56.0</w:t>
            </w:r>
          </w:p>
        </w:tc>
        <w:tc>
          <w:tcPr>
            <w:vAlign w:val="center"/>
          </w:tcPr>
          <w:p>
            <w:r>
              <w:t>59.3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外窗(C4013)隔声量(dB)</w:t>
            </w:r>
          </w:p>
        </w:tc>
        <w:tc>
          <w:tcPr>
            <w:vAlign w:val="center"/>
          </w:tcPr>
          <w:p>
            <w:r>
              <w:t>22.0</w:t>
            </w:r>
          </w:p>
        </w:tc>
        <w:tc>
          <w:tcPr>
            <w:vAlign w:val="center"/>
          </w:tcPr>
          <w:p>
            <w:r>
              <w:t>27.0</w:t>
            </w:r>
          </w:p>
        </w:tc>
        <w:tc>
          <w:tcPr>
            <w:vAlign w:val="center"/>
          </w:tcPr>
          <w:p>
            <w:r>
              <w:t>33.0</w:t>
            </w:r>
          </w:p>
        </w:tc>
        <w:tc>
          <w:tcPr>
            <w:vAlign w:val="center"/>
          </w:tcPr>
          <w:p>
            <w:r>
              <w:t>44.0</w:t>
            </w:r>
          </w:p>
        </w:tc>
        <w:tc>
          <w:tcPr>
            <w:vAlign w:val="center"/>
          </w:tcPr>
          <w:p>
            <w:r>
              <w:t>43.0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29.1</w:t>
            </w:r>
          </w:p>
        </w:tc>
        <w:tc>
          <w:tcPr>
            <w:vAlign w:val="center"/>
          </w:tcPr>
          <w:p>
            <w:r>
              <w:t>34.1</w:t>
            </w:r>
          </w:p>
        </w:tc>
        <w:tc>
          <w:tcPr>
            <w:vAlign w:val="center"/>
          </w:tcPr>
          <w:p>
            <w:r>
              <w:t>40.0</w:t>
            </w:r>
          </w:p>
        </w:tc>
        <w:tc>
          <w:tcPr>
            <w:vAlign w:val="center"/>
          </w:tcPr>
          <w:p>
            <w:r>
              <w:t>50.2</w:t>
            </w:r>
          </w:p>
        </w:tc>
        <w:tc>
          <w:tcPr>
            <w:vAlign w:val="center"/>
          </w:tcPr>
          <w:p>
            <w:r>
              <w:t>49.8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30.5</w:t>
            </w:r>
          </w:p>
        </w:tc>
        <w:tc>
          <w:tcPr>
            <w:vAlign w:val="center"/>
          </w:tcPr>
          <w:p>
            <w:r>
              <w:t>32.9</w:t>
            </w:r>
          </w:p>
        </w:tc>
        <w:tc>
          <w:tcPr>
            <w:vAlign w:val="center"/>
          </w:tcPr>
          <w:p>
            <w:r>
              <w:t>39.1</w:t>
            </w:r>
          </w:p>
        </w:tc>
        <w:tc>
          <w:tcPr>
            <w:vAlign w:val="center"/>
          </w:tcPr>
          <w:p>
            <w:r>
              <w:t>49.8</w:t>
            </w:r>
          </w:p>
        </w:tc>
        <w:tc>
          <w:tcPr>
            <w:vAlign w:val="center"/>
          </w:tcPr>
          <w:p>
            <w:r>
              <w:t>50.3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0.106</w:t>
            </w:r>
          </w:p>
        </w:tc>
      </w:tr>
      <w:tr>
        <w:tblPrEx>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46.0</w:t>
            </w:r>
          </w:p>
        </w:tc>
        <w:tc>
          <w:tcPr>
            <w:vAlign w:val="center"/>
          </w:tcPr>
          <w:p>
            <w:r>
              <w:t>49.4</w:t>
            </w:r>
          </w:p>
        </w:tc>
        <w:tc>
          <w:tcPr>
            <w:vAlign w:val="center"/>
          </w:tcPr>
          <w:p>
            <w:r>
              <w:t>52.7</w:t>
            </w:r>
          </w:p>
        </w:tc>
        <w:tc>
          <w:tcPr>
            <w:vAlign w:val="center"/>
          </w:tcPr>
          <w:p>
            <w:r>
              <w:t>56.0</w:t>
            </w:r>
          </w:p>
        </w:tc>
        <w:tc>
          <w:tcPr>
            <w:vAlign w:val="center"/>
          </w:tcPr>
          <w:p>
            <w:r>
              <w:t>59.3</w:t>
            </w:r>
          </w:p>
        </w:tc>
      </w:tr>
      <w:tr>
        <w:tblPrEx>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46.0</w:t>
            </w:r>
          </w:p>
        </w:tc>
        <w:tc>
          <w:tcPr>
            <w:vAlign w:val="center"/>
          </w:tcPr>
          <w:p>
            <w:r>
              <w:t>49.4</w:t>
            </w:r>
          </w:p>
        </w:tc>
        <w:tc>
          <w:tcPr>
            <w:vAlign w:val="center"/>
          </w:tcPr>
          <w:p>
            <w:r>
              <w:t>52.7</w:t>
            </w:r>
          </w:p>
        </w:tc>
        <w:tc>
          <w:tcPr>
            <w:vAlign w:val="center"/>
          </w:tcPr>
          <w:p>
            <w:r>
              <w:t>56.0</w:t>
            </w:r>
          </w:p>
        </w:tc>
        <w:tc>
          <w:tcPr>
            <w:vAlign w:val="center"/>
          </w:tcPr>
          <w:p>
            <w:r>
              <w:t>59.3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58.7</w:t>
            </w:r>
          </w:p>
        </w:tc>
        <w:tc>
          <w:tcPr>
            <w:vAlign w:val="center"/>
          </w:tcPr>
          <w:p>
            <w:r>
              <w:t>59.5</w:t>
            </w:r>
          </w:p>
        </w:tc>
        <w:tc>
          <w:tcPr>
            <w:vAlign w:val="center"/>
          </w:tcPr>
          <w:p>
            <w:r>
              <w:t>63.1</w:t>
            </w:r>
          </w:p>
        </w:tc>
        <w:tc>
          <w:tcPr>
            <w:vAlign w:val="center"/>
          </w:tcPr>
          <w:p>
            <w:r>
              <w:t>66.9</w:t>
            </w:r>
          </w:p>
        </w:tc>
        <w:tc>
          <w:tcPr>
            <w:vAlign w:val="center"/>
          </w:tcPr>
          <w:p>
            <w:r>
              <w:t>71.2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64</w:t>
            </w:r>
          </w:p>
        </w:tc>
      </w:tr>
      <w:tr>
        <w:tblPrEx>
          <w:tblCellMar>
            <w:top w:w="0" w:type="dxa"/>
            <w:left w:w="108" w:type="dxa"/>
            <w:bottom w:w="0" w:type="dxa"/>
            <w:right w:w="108" w:type="dxa"/>
          </w:tblCellMar>
        </w:tblPrEx>
        <w:tc>
          <w:tcPr>
            <w:gridSpan w:val="6"/>
            <w:shd w:val="clear" w:color="auto" w:fill="E6E6E6"/>
            <w:vAlign w:val="center"/>
          </w:tcPr>
          <w:p>
            <w:pPr>
              <w:jc w:val="center"/>
            </w:pPr>
            <w:r>
              <w:t>外墙5+外门(M1227)</w:t>
            </w:r>
          </w:p>
        </w:tc>
      </w:tr>
      <w:tr>
        <w:tblPrEx>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46.0</w:t>
            </w:r>
          </w:p>
        </w:tc>
        <w:tc>
          <w:tcPr>
            <w:vAlign w:val="center"/>
          </w:tcPr>
          <w:p>
            <w:r>
              <w:t>49.4</w:t>
            </w:r>
          </w:p>
        </w:tc>
        <w:tc>
          <w:tcPr>
            <w:vAlign w:val="center"/>
          </w:tcPr>
          <w:p>
            <w:r>
              <w:t>52.7</w:t>
            </w:r>
          </w:p>
        </w:tc>
        <w:tc>
          <w:tcPr>
            <w:vAlign w:val="center"/>
          </w:tcPr>
          <w:p>
            <w:r>
              <w:t>56.0</w:t>
            </w:r>
          </w:p>
        </w:tc>
        <w:tc>
          <w:tcPr>
            <w:vAlign w:val="center"/>
          </w:tcPr>
          <w:p>
            <w:r>
              <w:t>59.3</w:t>
            </w:r>
          </w:p>
        </w:tc>
      </w:tr>
      <w:tr>
        <w:tblPrEx>
          <w:tblCellMar>
            <w:top w:w="0" w:type="dxa"/>
            <w:left w:w="108" w:type="dxa"/>
            <w:bottom w:w="0" w:type="dxa"/>
            <w:right w:w="108" w:type="dxa"/>
          </w:tblCellMar>
        </w:tblPrEx>
        <w:tc>
          <w:tcPr>
            <w:shd w:val="clear" w:color="auto" w:fill="E6E6E6"/>
            <w:vAlign w:val="center"/>
          </w:tcPr>
          <w:p>
            <w:r>
              <w:t>外门(M1227)隔声量(dB)</w:t>
            </w:r>
          </w:p>
        </w:tc>
        <w:tc>
          <w:tcPr>
            <w:vAlign w:val="center"/>
          </w:tcPr>
          <w:p>
            <w:r>
              <w:t>24.0</w:t>
            </w:r>
          </w:p>
        </w:tc>
        <w:tc>
          <w:tcPr>
            <w:vAlign w:val="center"/>
          </w:tcPr>
          <w:p>
            <w:r>
              <w:t>24.0</w:t>
            </w:r>
          </w:p>
        </w:tc>
        <w:tc>
          <w:tcPr>
            <w:vAlign w:val="center"/>
          </w:tcPr>
          <w:p>
            <w:r>
              <w:t>31.0</w:t>
            </w:r>
          </w:p>
        </w:tc>
        <w:tc>
          <w:tcPr>
            <w:vAlign w:val="center"/>
          </w:tcPr>
          <w:p>
            <w:r>
              <w:t>35.0</w:t>
            </w:r>
          </w:p>
        </w:tc>
        <w:tc>
          <w:tcPr>
            <w:vAlign w:val="center"/>
          </w:tcPr>
          <w:p>
            <w: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28.0</w:t>
            </w:r>
          </w:p>
        </w:tc>
        <w:tc>
          <w:tcPr>
            <w:vAlign w:val="center"/>
          </w:tcPr>
          <w:p>
            <w:r>
              <w:t>28.0</w:t>
            </w:r>
          </w:p>
        </w:tc>
        <w:tc>
          <w:tcPr>
            <w:vAlign w:val="center"/>
          </w:tcPr>
          <w:p>
            <w:r>
              <w:t>35.0</w:t>
            </w:r>
          </w:p>
        </w:tc>
        <w:tc>
          <w:tcPr>
            <w:vAlign w:val="center"/>
          </w:tcPr>
          <w:p>
            <w:r>
              <w:t>39.0</w:t>
            </w:r>
          </w:p>
        </w:tc>
        <w:tc>
          <w:tcPr>
            <w:vAlign w:val="center"/>
          </w:tcPr>
          <w:p>
            <w:r>
              <w:t>43.0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34.5</w:t>
            </w:r>
          </w:p>
        </w:tc>
        <w:tc>
          <w:tcPr>
            <w:vAlign w:val="center"/>
          </w:tcPr>
          <w:p>
            <w:r>
              <w:t>32.0</w:t>
            </w:r>
          </w:p>
        </w:tc>
        <w:tc>
          <w:tcPr>
            <w:vAlign w:val="center"/>
          </w:tcPr>
          <w:p>
            <w:r>
              <w:t>39.3</w:t>
            </w:r>
          </w:p>
        </w:tc>
        <w:tc>
          <w:tcPr>
            <w:vAlign w:val="center"/>
          </w:tcPr>
          <w:p>
            <w:r>
              <w:t>43.8</w:t>
            </w:r>
          </w:p>
        </w:tc>
        <w:tc>
          <w:tcPr>
            <w:vAlign w:val="center"/>
          </w:tcPr>
          <w:p>
            <w:r>
              <w:t>48.8</w:t>
            </w:r>
          </w:p>
        </w:tc>
      </w:tr>
      <w:tr>
        <w:tblPrEx>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0.078</w:t>
            </w:r>
          </w:p>
        </w:tc>
      </w:tr>
      <w:tr>
        <w:tblPrEx>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20</w:t>
            </w:r>
          </w:p>
        </w:tc>
      </w:tr>
    </w:tbl>
    <w:p>
      <w:pPr>
        <w:jc w:val="center"/>
        <w:rPr>
          <w:color w:val="FF0000"/>
          <w:lang w:val="en-US"/>
        </w:rPr>
      </w:pPr>
      <w:bookmarkStart w:id="105" w:name="组合墙隔声量"/>
      <w:bookmarkEnd w:id="105"/>
    </w:p>
    <w:p>
      <w:pPr>
        <w:pStyle w:val="5"/>
      </w:pPr>
      <w:bookmarkStart w:id="106" w:name="_Toc161211415"/>
      <w:r>
        <w:rPr>
          <w:rFonts w:hint="eastAsia"/>
        </w:rPr>
        <w:t>典型房间建筑外部噪声传播至室内的噪声级</w:t>
      </w:r>
      <w:bookmarkEnd w:id="106"/>
    </w:p>
    <w:p>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pPr>
        <w:pStyle w:val="3"/>
        <w:numPr>
          <w:ilvl w:val="0"/>
          <w:numId w:val="7"/>
        </w:numPr>
        <w:rPr>
          <w:lang w:val="en-US"/>
        </w:rPr>
      </w:pPr>
      <w:r>
        <w:rPr>
          <w:rFonts w:hint="eastAsia"/>
          <w:lang w:val="en-US"/>
        </w:rPr>
        <w:t>昼间为</w:t>
      </w:r>
      <w:bookmarkStart w:id="107" w:name="昼间室外传声"/>
      <w:r>
        <w:rPr>
          <w:rFonts w:hint="eastAsia"/>
          <w:b/>
        </w:rPr>
        <w:t>32</w:t>
      </w:r>
      <w:bookmarkEnd w:id="107"/>
      <w:r>
        <w:rPr>
          <w:b/>
        </w:rPr>
        <w:t xml:space="preserve"> </w:t>
      </w:r>
      <w:r>
        <w:rPr>
          <w:rFonts w:hint="eastAsia"/>
          <w:b/>
        </w:rPr>
        <w:t>dB（A）</w:t>
      </w:r>
    </w:p>
    <w:p>
      <w:pPr>
        <w:pStyle w:val="3"/>
        <w:numPr>
          <w:ilvl w:val="0"/>
          <w:numId w:val="7"/>
        </w:numPr>
        <w:rPr>
          <w:lang w:val="en-US"/>
        </w:rPr>
      </w:pPr>
      <w:r>
        <w:rPr>
          <w:rFonts w:hint="eastAsia"/>
          <w:lang w:val="en-US"/>
        </w:rPr>
        <w:t>夜间为</w:t>
      </w:r>
      <w:bookmarkStart w:id="108" w:name="夜间室外传声"/>
      <w:r>
        <w:rPr>
          <w:rFonts w:hint="eastAsia"/>
          <w:b/>
        </w:rPr>
        <w:t>7</w:t>
      </w:r>
      <w:bookmarkEnd w:id="108"/>
      <w:r>
        <w:rPr>
          <w:rFonts w:hint="eastAsia"/>
          <w:b/>
          <w:lang w:val="en-US"/>
        </w:rPr>
        <w:t xml:space="preserve"> </w:t>
      </w:r>
      <w:r>
        <w:rPr>
          <w:rFonts w:hint="eastAsia"/>
          <w:b/>
        </w:rPr>
        <w:t>dB（A）</w:t>
      </w:r>
    </w:p>
    <w:p>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外围护结构</w:t>
            </w:r>
          </w:p>
        </w:tc>
        <w:tc>
          <w:tcPr>
            <w:gridSpan w:val="2"/>
            <w:shd w:val="clear" w:color="auto" w:fill="E6E6E6"/>
            <w:vAlign w:val="center"/>
          </w:tcPr>
          <w:p>
            <w:pPr>
              <w:jc w:val="center"/>
            </w:pPr>
            <w:r>
              <w:t>室外噪声级(dBA)</w:t>
            </w:r>
          </w:p>
        </w:tc>
        <w:tc>
          <w:tcPr>
            <w:gridSpan w:val="2"/>
            <w:shd w:val="clear" w:color="auto" w:fill="E6E6E6"/>
            <w:vAlign w:val="center"/>
          </w:tcPr>
          <w:p>
            <w:pPr>
              <w:jc w:val="center"/>
            </w:pPr>
            <w:r>
              <w:t>隔声量(dB)</w:t>
            </w:r>
          </w:p>
        </w:tc>
        <w:tc>
          <w:tcPr>
            <w:gridSpan w:val="2"/>
            <w:shd w:val="clear" w:color="auto" w:fill="E6E6E6"/>
            <w:vAlign w:val="center"/>
          </w:tcPr>
          <w:p>
            <w:pPr>
              <w:jc w:val="center"/>
            </w:pPr>
            <w:r>
              <w:t>传到室内噪声级(dBA)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外墙1+外门(M1227)</w:t>
            </w:r>
          </w:p>
        </w:tc>
        <w:tc>
          <w:tcPr>
            <w:vAlign w:val="center"/>
          </w:tcPr>
          <w:p>
            <w:r>
              <w:t>48</w:t>
            </w:r>
          </w:p>
        </w:tc>
        <w:tc>
          <w:tcPr>
            <w:vAlign w:val="center"/>
          </w:tcPr>
          <w:p>
            <w:r>
              <w:t>22</w:t>
            </w:r>
          </w:p>
        </w:tc>
        <w:tc>
          <w:tcPr>
            <w:vAlign w:val="center"/>
          </w:tcPr>
          <w:p>
            <w:r>
              <w:t>20</w:t>
            </w:r>
          </w:p>
        </w:tc>
        <w:tc>
          <w:tcPr>
            <w:vAlign w:val="center"/>
          </w:tcPr>
          <w:p>
            <w:r>
              <w:t>20</w:t>
            </w:r>
          </w:p>
        </w:tc>
        <w:tc>
          <w:tcPr>
            <w:vAlign w:val="center"/>
          </w:tcPr>
          <w:p>
            <w:r>
              <w:t>28</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w:t>
            </w:r>
          </w:p>
        </w:tc>
        <w:tc>
          <w:tcPr>
            <w:vAlign w:val="center"/>
          </w:tcPr>
          <w:p>
            <w:r>
              <w:t>48</w:t>
            </w:r>
          </w:p>
        </w:tc>
        <w:tc>
          <w:tcPr>
            <w:vAlign w:val="center"/>
          </w:tcPr>
          <w:p>
            <w:r>
              <w:t>23</w:t>
            </w:r>
          </w:p>
        </w:tc>
        <w:tc>
          <w:tcPr>
            <w:vAlign w:val="center"/>
          </w:tcPr>
          <w:p>
            <w:r>
              <w:t>64</w:t>
            </w:r>
          </w:p>
        </w:tc>
        <w:tc>
          <w:tcPr>
            <w:vAlign w:val="center"/>
          </w:tcPr>
          <w:p>
            <w:r>
              <w:t>64</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外墙3+外窗(C4013)</w:t>
            </w:r>
          </w:p>
        </w:tc>
        <w:tc>
          <w:tcPr>
            <w:vAlign w:val="center"/>
          </w:tcPr>
          <w:p>
            <w:r>
              <w:t>48</w:t>
            </w:r>
          </w:p>
        </w:tc>
        <w:tc>
          <w:tcPr>
            <w:vAlign w:val="center"/>
          </w:tcPr>
          <w:p>
            <w:r>
              <w:t>24</w:t>
            </w:r>
          </w:p>
        </w:tc>
        <w:tc>
          <w:tcPr>
            <w:vAlign w:val="center"/>
          </w:tcPr>
          <w:p>
            <w:r>
              <w:t>24</w:t>
            </w:r>
          </w:p>
        </w:tc>
        <w:tc>
          <w:tcPr>
            <w:vAlign w:val="center"/>
          </w:tcPr>
          <w:p>
            <w:r>
              <w:t>24</w:t>
            </w:r>
          </w:p>
        </w:tc>
        <w:tc>
          <w:tcPr>
            <w:vAlign w:val="center"/>
          </w:tcPr>
          <w:p>
            <w:r>
              <w:t>24</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外墙4</w:t>
            </w:r>
          </w:p>
        </w:tc>
        <w:tc>
          <w:tcPr>
            <w:vAlign w:val="center"/>
          </w:tcPr>
          <w:p>
            <w:r>
              <w:t>48</w:t>
            </w:r>
          </w:p>
        </w:tc>
        <w:tc>
          <w:tcPr>
            <w:vAlign w:val="center"/>
          </w:tcPr>
          <w:p>
            <w:r>
              <w:t>24</w:t>
            </w:r>
          </w:p>
        </w:tc>
        <w:tc>
          <w:tcPr>
            <w:vAlign w:val="center"/>
          </w:tcPr>
          <w:p>
            <w:r>
              <w:t>64</w:t>
            </w:r>
          </w:p>
        </w:tc>
        <w:tc>
          <w:tcPr>
            <w:vAlign w:val="center"/>
          </w:tcPr>
          <w:p>
            <w:r>
              <w:t>64</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外墙5+外门(M1227)</w:t>
            </w:r>
          </w:p>
        </w:tc>
        <w:tc>
          <w:tcPr>
            <w:vAlign w:val="center"/>
          </w:tcPr>
          <w:p>
            <w:r>
              <w:t>48</w:t>
            </w:r>
          </w:p>
        </w:tc>
        <w:tc>
          <w:tcPr>
            <w:vAlign w:val="center"/>
          </w:tcPr>
          <w:p>
            <w:r>
              <w:t>24</w:t>
            </w:r>
          </w:p>
        </w:tc>
        <w:tc>
          <w:tcPr>
            <w:vAlign w:val="center"/>
          </w:tcPr>
          <w:p>
            <w:r>
              <w:t>20</w:t>
            </w:r>
          </w:p>
        </w:tc>
        <w:tc>
          <w:tcPr>
            <w:vAlign w:val="center"/>
          </w:tcPr>
          <w:p>
            <w:r>
              <w:t>20</w:t>
            </w:r>
          </w:p>
        </w:tc>
        <w:tc>
          <w:tcPr>
            <w:vAlign w:val="center"/>
          </w:tcPr>
          <w:p>
            <w:r>
              <w:t>28</w:t>
            </w:r>
          </w:p>
        </w:tc>
        <w:tc>
          <w:tcPr>
            <w:vAlign w:val="center"/>
          </w:tcPr>
          <w:p>
            <w:r>
              <w:t>＜5</w:t>
            </w:r>
          </w:p>
        </w:tc>
      </w:tr>
    </w:tbl>
    <w:p>
      <w:pPr>
        <w:jc w:val="center"/>
        <w:rPr>
          <w:color w:val="FF0000"/>
        </w:rPr>
      </w:pPr>
      <w:bookmarkStart w:id="110" w:name="组合墙传到室内噪声级"/>
      <w:bookmarkEnd w:id="110"/>
    </w:p>
    <w:p>
      <w:pPr>
        <w:pStyle w:val="5"/>
      </w:pPr>
      <w:r>
        <w:rPr>
          <w:rFonts w:hint="eastAsia"/>
        </w:rPr>
        <w:t>小结—建筑外部噪声影响</w:t>
      </w:r>
    </w:p>
    <w:p>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18"/>
                <w:szCs w:val="18"/>
              </w:rPr>
            </w:pPr>
            <w:r>
              <w:rPr>
                <w:sz w:val="18"/>
                <w:szCs w:val="18"/>
              </w:rPr>
              <w:t>房间类型</w:t>
            </w:r>
          </w:p>
        </w:tc>
        <w:tc>
          <w:tcPr>
            <w:vMerge w:val="restart"/>
            <w:shd w:val="clear" w:color="auto" w:fill="E6E6E6"/>
            <w:vAlign w:val="center"/>
          </w:tcPr>
          <w:p>
            <w:pPr>
              <w:jc w:val="center"/>
              <w:rPr>
                <w:sz w:val="18"/>
                <w:szCs w:val="18"/>
              </w:rPr>
            </w:pPr>
            <w:r>
              <w:rPr>
                <w:sz w:val="18"/>
                <w:szCs w:val="18"/>
              </w:rPr>
              <w:t>对标功能</w:t>
            </w:r>
          </w:p>
        </w:tc>
        <w:tc>
          <w:tcPr>
            <w:vMerge w:val="restart"/>
            <w:shd w:val="clear" w:color="auto" w:fill="E6E6E6"/>
            <w:vAlign w:val="center"/>
          </w:tcPr>
          <w:p>
            <w:pPr>
              <w:jc w:val="center"/>
              <w:rPr>
                <w:sz w:val="18"/>
                <w:szCs w:val="18"/>
              </w:rPr>
            </w:pPr>
            <w:r>
              <w:rPr>
                <w:sz w:val="18"/>
                <w:szCs w:val="18"/>
              </w:rPr>
              <w:t>房间编号</w:t>
            </w:r>
          </w:p>
        </w:tc>
        <w:tc>
          <w:tcPr>
            <w:gridSpan w:val="2"/>
            <w:shd w:val="clear" w:color="auto" w:fill="E6E6E6"/>
            <w:vAlign w:val="center"/>
          </w:tcPr>
          <w:p>
            <w:pPr>
              <w:jc w:val="center"/>
              <w:rPr>
                <w:sz w:val="18"/>
                <w:szCs w:val="18"/>
              </w:rPr>
            </w:pPr>
            <w:r>
              <w:rPr>
                <w:sz w:val="18"/>
                <w:szCs w:val="18"/>
              </w:rPr>
              <w:t>最大值</w:t>
            </w:r>
          </w:p>
        </w:tc>
        <w:tc>
          <w:tcPr>
            <w:gridSpan w:val="2"/>
            <w:shd w:val="clear" w:color="auto" w:fill="E6E6E6"/>
            <w:vAlign w:val="center"/>
          </w:tcPr>
          <w:p>
            <w:pPr>
              <w:jc w:val="center"/>
              <w:rPr>
                <w:sz w:val="18"/>
                <w:szCs w:val="18"/>
              </w:rPr>
            </w:pPr>
            <w:r>
              <w:rPr>
                <w:sz w:val="18"/>
                <w:szCs w:val="18"/>
              </w:rPr>
              <w:t>限值</w:t>
            </w:r>
          </w:p>
        </w:tc>
        <w:tc>
          <w:tcPr>
            <w:vMerge w:val="restart"/>
            <w:shd w:val="clear" w:color="auto" w:fill="E6E6E6"/>
            <w:vAlign w:val="center"/>
          </w:tcPr>
          <w:p>
            <w:pPr>
              <w:jc w:val="center"/>
              <w:rPr>
                <w:sz w:val="18"/>
                <w:szCs w:val="18"/>
              </w:rPr>
            </w:pPr>
            <w:r>
              <w:rPr>
                <w:sz w:val="18"/>
                <w:szCs w:val="18"/>
              </w:rPr>
              <w:t>达标</w:t>
            </w:r>
            <w:r>
              <w:rPr>
                <w:sz w:val="18"/>
                <w:szCs w:val="18"/>
              </w:rPr>
              <w:br w:type="textWrapping"/>
            </w:r>
            <w:r>
              <w:rPr>
                <w:sz w:val="18"/>
                <w:szCs w:val="18"/>
              </w:rPr>
              <w:t>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普通教室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1017,3018,2021</w:t>
            </w:r>
            <w:r>
              <w:rPr>
                <w:sz w:val="18"/>
                <w:szCs w:val="18"/>
              </w:rPr>
              <w:br w:type="textWrapping"/>
            </w:r>
            <w:r>
              <w:rPr>
                <w:sz w:val="18"/>
                <w:szCs w:val="18"/>
              </w:rPr>
              <w:t>等30个房间</w:t>
            </w:r>
          </w:p>
        </w:tc>
        <w:tc>
          <w:tcPr>
            <w:vAlign w:val="center"/>
          </w:tcPr>
          <w:p>
            <w:pPr>
              <w:jc w:val="center"/>
              <w:rPr>
                <w:sz w:val="18"/>
                <w:szCs w:val="18"/>
              </w:rPr>
            </w:pPr>
            <w:r>
              <w:rPr>
                <w:b/>
                <w:sz w:val="18"/>
                <w:szCs w:val="18"/>
              </w:rPr>
              <w:t>32</w:t>
            </w:r>
          </w:p>
        </w:tc>
        <w:tc>
          <w:tcPr>
            <w:vAlign w:val="center"/>
          </w:tcPr>
          <w:p>
            <w:pPr>
              <w:jc w:val="center"/>
              <w:rPr>
                <w:sz w:val="18"/>
                <w:szCs w:val="18"/>
              </w:rPr>
            </w:pPr>
            <w:r>
              <w:rPr>
                <w:b/>
                <w:sz w:val="18"/>
                <w:szCs w:val="18"/>
              </w:rPr>
              <w:t>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会议室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1001</w:t>
            </w:r>
          </w:p>
        </w:tc>
        <w:tc>
          <w:tcPr>
            <w:vAlign w:val="center"/>
          </w:tcPr>
          <w:p>
            <w:pPr>
              <w:jc w:val="center"/>
              <w:rPr>
                <w:sz w:val="18"/>
                <w:szCs w:val="18"/>
              </w:rPr>
            </w:pPr>
            <w:r>
              <w:rPr>
                <w:b/>
                <w:sz w:val="18"/>
                <w:szCs w:val="18"/>
              </w:rPr>
              <w:t>31</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教师办公室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5046,4035,3066</w:t>
            </w:r>
            <w:r>
              <w:rPr>
                <w:sz w:val="18"/>
                <w:szCs w:val="18"/>
              </w:rPr>
              <w:br w:type="textWrapping"/>
            </w:r>
            <w:r>
              <w:rPr>
                <w:sz w:val="18"/>
                <w:szCs w:val="18"/>
              </w:rPr>
              <w:t>等10个房间</w:t>
            </w:r>
          </w:p>
        </w:tc>
        <w:tc>
          <w:tcPr>
            <w:vAlign w:val="center"/>
          </w:tcPr>
          <w:p>
            <w:pPr>
              <w:jc w:val="center"/>
              <w:rPr>
                <w:sz w:val="18"/>
                <w:szCs w:val="18"/>
              </w:rPr>
            </w:pPr>
            <w:r>
              <w:rPr>
                <w:b/>
                <w:sz w:val="18"/>
                <w:szCs w:val="18"/>
              </w:rPr>
              <w:t>30</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美术教室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2007</w:t>
            </w:r>
          </w:p>
        </w:tc>
        <w:tc>
          <w:tcPr>
            <w:vAlign w:val="center"/>
          </w:tcPr>
          <w:p>
            <w:pPr>
              <w:jc w:val="center"/>
              <w:rPr>
                <w:sz w:val="18"/>
                <w:szCs w:val="18"/>
              </w:rPr>
            </w:pPr>
            <w:r>
              <w:rPr>
                <w:b/>
                <w:sz w:val="18"/>
                <w:szCs w:val="18"/>
              </w:rPr>
              <w:t>29</w:t>
            </w:r>
          </w:p>
        </w:tc>
        <w:tc>
          <w:tcPr>
            <w:vAlign w:val="center"/>
          </w:tcPr>
          <w:p>
            <w:pPr>
              <w:jc w:val="center"/>
              <w:rPr>
                <w:sz w:val="18"/>
                <w:szCs w:val="18"/>
              </w:rPr>
            </w:pPr>
            <w:r>
              <w:rPr>
                <w:b/>
                <w:sz w:val="18"/>
                <w:szCs w:val="18"/>
              </w:rPr>
              <w:t>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12" w:name="外部噪声源主要功能房间噪声值表"/>
      <w:bookmarkEnd w:id="112"/>
    </w:p>
    <w:p>
      <w:pPr>
        <w:pStyle w:val="3"/>
        <w:jc w:val="center"/>
        <w:rPr>
          <w:lang w:val="en-US"/>
        </w:rPr>
      </w:pPr>
    </w:p>
    <w:bookmarkEnd w:id="60"/>
    <w:p>
      <w:pPr>
        <w:pStyle w:val="4"/>
      </w:pPr>
      <w:bookmarkStart w:id="113" w:name="_Toc159941256"/>
      <w:bookmarkStart w:id="114" w:name="_Toc151387752"/>
      <w:bookmarkStart w:id="115" w:name="_Toc161211416"/>
      <w:bookmarkStart w:id="116" w:name="_Toc7919"/>
      <w:r>
        <w:rPr>
          <w:rFonts w:hint="eastAsia"/>
        </w:rPr>
        <w:t>建筑物内部设备噪声对主要功能房间</w:t>
      </w:r>
      <w:bookmarkEnd w:id="113"/>
      <w:bookmarkEnd w:id="114"/>
      <w:bookmarkEnd w:id="115"/>
      <w:r>
        <w:rPr>
          <w:rFonts w:hint="eastAsia"/>
        </w:rPr>
        <w:t>的影响评估</w:t>
      </w:r>
      <w:bookmarkEnd w:id="116"/>
    </w:p>
    <w:p>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pPr>
        <w:pStyle w:val="3"/>
        <w:ind w:firstLine="420"/>
        <w:rPr>
          <w:lang w:val="en-US"/>
        </w:rPr>
      </w:pPr>
      <w:r>
        <w:rPr>
          <w:rFonts w:hint="eastAsia"/>
        </w:rPr>
        <w:t>本项目中，以典型房间</w:t>
      </w:r>
      <w:bookmarkStart w:id="117" w:name="内部建筑设备最不利房间编号"/>
      <w:r>
        <w:rPr>
          <w:rFonts w:hint="eastAsia"/>
          <w:b/>
          <w:bCs/>
        </w:rPr>
        <w:t>1001房间,房间类型[会议室]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pPr>
        <w:pStyle w:val="3"/>
        <w:ind w:firstLine="420"/>
        <w:rPr>
          <w:lang w:val="en-US"/>
        </w:rPr>
      </w:pPr>
    </w:p>
    <w:p>
      <w:pPr>
        <w:pStyle w:val="3"/>
        <w:ind w:firstLine="420" w:firstLineChars="200"/>
        <w:jc w:val="center"/>
        <w:rPr>
          <w:lang w:val="en-US"/>
        </w:rPr>
      </w:pPr>
      <w:bookmarkStart w:id="118" w:name="内部设备典型房间楼层平面图"/>
      <w:bookmarkEnd w:id="118"/>
      <w:r>
        <w:drawing>
          <wp:inline distT="0" distB="0" distL="0" distR="0">
            <wp:extent cx="5372100" cy="80105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stretch>
                      <a:fillRect/>
                    </a:stretch>
                  </pic:blipFill>
                  <pic:spPr>
                    <a:xfrm>
                      <a:off x="0" y="0"/>
                      <a:ext cx="5372100" cy="8010525"/>
                    </a:xfrm>
                    <a:prstGeom prst="rect">
                      <a:avLst/>
                    </a:prstGeom>
                  </pic:spPr>
                </pic:pic>
              </a:graphicData>
            </a:graphic>
          </wp:inline>
        </w:drawing>
      </w:r>
    </w:p>
    <w:p>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pPr>
        <w:pStyle w:val="5"/>
      </w:pPr>
      <w:bookmarkStart w:id="120" w:name="_Toc161211417"/>
      <w:r>
        <w:rPr>
          <w:rFonts w:hint="eastAsia"/>
        </w:rPr>
        <w:t>典型房间总吸声量</w:t>
      </w:r>
      <w:bookmarkEnd w:id="120"/>
    </w:p>
    <w:p>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构件</w:t>
            </w:r>
          </w:p>
        </w:tc>
        <w:tc>
          <w:tcPr>
            <w:vMerge w:val="restart"/>
            <w:shd w:val="clear" w:color="auto" w:fill="E6E6E6"/>
            <w:vAlign w:val="center"/>
          </w:tcPr>
          <w:p>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pPr>
              <w:jc w:val="center"/>
              <w:rPr>
                <w:sz w:val="18"/>
                <w:szCs w:val="18"/>
              </w:rPr>
            </w:pPr>
            <w:r>
              <w:rPr>
                <w:sz w:val="18"/>
                <w:szCs w:val="18"/>
              </w:rPr>
              <w:t>各中心频率下的吸声系数</w:t>
            </w:r>
          </w:p>
        </w:tc>
        <w:tc>
          <w:tcPr>
            <w:vMerge w:val="restart"/>
            <w:shd w:val="clear" w:color="auto" w:fill="E6E6E6"/>
            <w:vAlign w:val="center"/>
          </w:tcPr>
          <w:p>
            <w:pPr>
              <w:jc w:val="center"/>
              <w:rPr>
                <w:sz w:val="18"/>
                <w:szCs w:val="18"/>
              </w:rPr>
            </w:pPr>
            <w:r>
              <w:rPr>
                <w:sz w:val="18"/>
                <w:szCs w:val="18"/>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125</w:t>
            </w:r>
          </w:p>
        </w:tc>
        <w:tc>
          <w:tcPr>
            <w:shd w:val="clear" w:color="auto" w:fill="E6E6E6"/>
            <w:vAlign w:val="center"/>
          </w:tcPr>
          <w:p>
            <w:pPr>
              <w:rPr>
                <w:sz w:val="18"/>
                <w:szCs w:val="18"/>
              </w:rPr>
            </w:pPr>
            <w:r>
              <w:rPr>
                <w:sz w:val="18"/>
                <w:szCs w:val="18"/>
              </w:rPr>
              <w:t>250</w:t>
            </w:r>
          </w:p>
        </w:tc>
        <w:tc>
          <w:tcPr>
            <w:shd w:val="clear" w:color="auto" w:fill="E6E6E6"/>
            <w:vAlign w:val="center"/>
          </w:tcPr>
          <w:p>
            <w:pPr>
              <w:rPr>
                <w:sz w:val="18"/>
                <w:szCs w:val="18"/>
              </w:rPr>
            </w:pPr>
            <w:r>
              <w:rPr>
                <w:sz w:val="18"/>
                <w:szCs w:val="18"/>
              </w:rPr>
              <w:t>500</w:t>
            </w:r>
          </w:p>
        </w:tc>
        <w:tc>
          <w:tcPr>
            <w:shd w:val="clear" w:color="auto" w:fill="E6E6E6"/>
            <w:vAlign w:val="center"/>
          </w:tcPr>
          <w:p>
            <w:pPr>
              <w:rPr>
                <w:sz w:val="18"/>
                <w:szCs w:val="18"/>
              </w:rPr>
            </w:pPr>
            <w:r>
              <w:rPr>
                <w:sz w:val="18"/>
                <w:szCs w:val="18"/>
              </w:rPr>
              <w:t>1000</w:t>
            </w:r>
          </w:p>
        </w:tc>
        <w:tc>
          <w:tcPr>
            <w:shd w:val="clear" w:color="auto" w:fill="E6E6E6"/>
            <w:vAlign w:val="center"/>
          </w:tcPr>
          <w:p>
            <w:pPr>
              <w:rPr>
                <w:sz w:val="18"/>
                <w:szCs w:val="18"/>
              </w:rPr>
            </w:pPr>
            <w:r>
              <w:rPr>
                <w:sz w:val="18"/>
                <w:szCs w:val="18"/>
              </w:rPr>
              <w:t>2000</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内墙</w:t>
            </w:r>
          </w:p>
        </w:tc>
        <w:tc>
          <w:tcPr>
            <w:shd w:val="clear" w:color="auto" w:fill="E6E6E6"/>
            <w:vAlign w:val="center"/>
          </w:tcPr>
          <w:p>
            <w:pPr>
              <w:rPr>
                <w:sz w:val="18"/>
                <w:szCs w:val="18"/>
              </w:rPr>
            </w:pPr>
            <w:r>
              <w:rPr>
                <w:sz w:val="18"/>
                <w:szCs w:val="18"/>
              </w:rPr>
              <w:t>118.0</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外墙（填充墙）</w:t>
            </w:r>
          </w:p>
        </w:tc>
        <w:tc>
          <w:tcPr>
            <w:shd w:val="clear" w:color="auto" w:fill="E6E6E6"/>
            <w:vAlign w:val="center"/>
          </w:tcPr>
          <w:p>
            <w:pPr>
              <w:rPr>
                <w:sz w:val="18"/>
                <w:szCs w:val="18"/>
              </w:rPr>
            </w:pPr>
            <w:r>
              <w:rPr>
                <w:sz w:val="18"/>
                <w:szCs w:val="18"/>
              </w:rPr>
              <w:t>67.4</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内窗(C6621)</w:t>
            </w:r>
          </w:p>
        </w:tc>
        <w:tc>
          <w:tcPr>
            <w:shd w:val="clear" w:color="auto" w:fill="E6E6E6"/>
            <w:vAlign w:val="center"/>
          </w:tcPr>
          <w:p>
            <w:pPr>
              <w:rPr>
                <w:sz w:val="18"/>
                <w:szCs w:val="18"/>
              </w:rPr>
            </w:pPr>
            <w:r>
              <w:rPr>
                <w:sz w:val="18"/>
                <w:szCs w:val="18"/>
              </w:rPr>
              <w:t>27.7</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内门(M1123)</w:t>
            </w:r>
          </w:p>
        </w:tc>
        <w:tc>
          <w:tcPr>
            <w:shd w:val="clear" w:color="auto" w:fill="E6E6E6"/>
            <w:vAlign w:val="center"/>
          </w:tcPr>
          <w:p>
            <w:pPr>
              <w:rPr>
                <w:sz w:val="18"/>
                <w:szCs w:val="18"/>
              </w:rPr>
            </w:pPr>
            <w:r>
              <w:rPr>
                <w:sz w:val="18"/>
                <w:szCs w:val="18"/>
              </w:rPr>
              <w:t>5.1</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外窗(C4013)</w:t>
            </w:r>
          </w:p>
        </w:tc>
        <w:tc>
          <w:tcPr>
            <w:shd w:val="clear" w:color="auto" w:fill="E6E6E6"/>
            <w:vAlign w:val="center"/>
          </w:tcPr>
          <w:p>
            <w:pPr>
              <w:rPr>
                <w:sz w:val="18"/>
                <w:szCs w:val="18"/>
              </w:rPr>
            </w:pPr>
            <w:r>
              <w:rPr>
                <w:sz w:val="18"/>
                <w:szCs w:val="18"/>
              </w:rPr>
              <w:t>10.4</w:t>
            </w:r>
          </w:p>
        </w:tc>
        <w:tc>
          <w:tcPr>
            <w:vAlign w:val="center"/>
          </w:tcPr>
          <w:p>
            <w:pPr>
              <w:rPr>
                <w:sz w:val="18"/>
                <w:szCs w:val="18"/>
              </w:rPr>
            </w:pPr>
            <w:r>
              <w:rPr>
                <w:sz w:val="18"/>
                <w:szCs w:val="18"/>
              </w:rPr>
              <w:t>0.35</w:t>
            </w:r>
          </w:p>
        </w:tc>
        <w:tc>
          <w:tcPr>
            <w:vAlign w:val="center"/>
          </w:tcPr>
          <w:p>
            <w:pPr>
              <w:rPr>
                <w:sz w:val="18"/>
                <w:szCs w:val="18"/>
              </w:rPr>
            </w:pPr>
            <w:r>
              <w:rPr>
                <w:sz w:val="18"/>
                <w:szCs w:val="18"/>
              </w:rPr>
              <w:t>0.25</w:t>
            </w:r>
          </w:p>
        </w:tc>
        <w:tc>
          <w:tcPr>
            <w:vAlign w:val="center"/>
          </w:tcPr>
          <w:p>
            <w:pPr>
              <w:rPr>
                <w:sz w:val="18"/>
                <w:szCs w:val="18"/>
              </w:rPr>
            </w:pPr>
            <w:r>
              <w:rPr>
                <w:sz w:val="18"/>
                <w:szCs w:val="18"/>
              </w:rPr>
              <w:t>0.18</w:t>
            </w:r>
          </w:p>
        </w:tc>
        <w:tc>
          <w:tcPr>
            <w:vAlign w:val="center"/>
          </w:tcPr>
          <w:p>
            <w:pPr>
              <w:rPr>
                <w:sz w:val="18"/>
                <w:szCs w:val="18"/>
              </w:rPr>
            </w:pPr>
            <w:r>
              <w:rPr>
                <w:sz w:val="18"/>
                <w:szCs w:val="18"/>
              </w:rPr>
              <w:t>0.12</w:t>
            </w:r>
          </w:p>
        </w:tc>
        <w:tc>
          <w:tcPr>
            <w:vAlign w:val="center"/>
          </w:tcPr>
          <w:p>
            <w:pPr>
              <w:rPr>
                <w:sz w:val="18"/>
                <w:szCs w:val="18"/>
              </w:rPr>
            </w:pPr>
            <w:r>
              <w:rPr>
                <w:sz w:val="18"/>
                <w:szCs w:val="18"/>
              </w:rPr>
              <w:t>0.07</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外门(M1227)</w:t>
            </w:r>
          </w:p>
        </w:tc>
        <w:tc>
          <w:tcPr>
            <w:shd w:val="clear" w:color="auto" w:fill="E6E6E6"/>
            <w:vAlign w:val="center"/>
          </w:tcPr>
          <w:p>
            <w:pPr>
              <w:rPr>
                <w:sz w:val="18"/>
                <w:szCs w:val="18"/>
              </w:rPr>
            </w:pPr>
            <w:r>
              <w:rPr>
                <w:sz w:val="18"/>
                <w:szCs w:val="18"/>
              </w:rPr>
              <w:t>13.0</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楼板</w:t>
            </w:r>
          </w:p>
        </w:tc>
        <w:tc>
          <w:tcPr>
            <w:shd w:val="clear" w:color="auto" w:fill="E6E6E6"/>
            <w:vAlign w:val="center"/>
          </w:tcPr>
          <w:p>
            <w:pPr>
              <w:rPr>
                <w:sz w:val="18"/>
                <w:szCs w:val="18"/>
              </w:rPr>
            </w:pPr>
            <w:r>
              <w:rPr>
                <w:sz w:val="18"/>
                <w:szCs w:val="18"/>
              </w:rPr>
              <w:t>181.8</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屋顶</w:t>
            </w:r>
          </w:p>
        </w:tc>
        <w:tc>
          <w:tcPr>
            <w:shd w:val="clear" w:color="auto" w:fill="E6E6E6"/>
            <w:vAlign w:val="center"/>
          </w:tcPr>
          <w:p>
            <w:pPr>
              <w:rPr>
                <w:sz w:val="18"/>
                <w:szCs w:val="18"/>
              </w:rPr>
            </w:pPr>
            <w:r>
              <w:rPr>
                <w:sz w:val="18"/>
                <w:szCs w:val="18"/>
              </w:rPr>
              <w:t>181.8</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18"/>
                <w:szCs w:val="18"/>
              </w:rPr>
            </w:pPr>
            <w:r>
              <w:rPr>
                <w:sz w:val="18"/>
                <w:szCs w:val="18"/>
              </w:rPr>
              <w:t>总吸声量(㎡)</w:t>
            </w:r>
          </w:p>
        </w:tc>
        <w:tc>
          <w:tcPr>
            <w:vAlign w:val="center"/>
          </w:tcPr>
          <w:p>
            <w:pPr>
              <w:rPr>
                <w:sz w:val="18"/>
                <w:szCs w:val="18"/>
              </w:rPr>
            </w:pPr>
            <w:r>
              <w:rPr>
                <w:sz w:val="18"/>
                <w:szCs w:val="18"/>
              </w:rPr>
              <w:t>65.9</w:t>
            </w:r>
          </w:p>
        </w:tc>
        <w:tc>
          <w:tcPr>
            <w:vAlign w:val="center"/>
          </w:tcPr>
          <w:p>
            <w:pPr>
              <w:rPr>
                <w:sz w:val="18"/>
                <w:szCs w:val="18"/>
              </w:rPr>
            </w:pPr>
            <w:r>
              <w:rPr>
                <w:sz w:val="18"/>
                <w:szCs w:val="18"/>
              </w:rPr>
              <w:t>36.9</w:t>
            </w:r>
          </w:p>
        </w:tc>
        <w:tc>
          <w:tcPr>
            <w:vAlign w:val="center"/>
          </w:tcPr>
          <w:p>
            <w:pPr>
              <w:rPr>
                <w:sz w:val="18"/>
                <w:szCs w:val="18"/>
              </w:rPr>
            </w:pPr>
            <w:r>
              <w:rPr>
                <w:sz w:val="18"/>
                <w:szCs w:val="18"/>
              </w:rPr>
              <w:t>39.4</w:t>
            </w:r>
          </w:p>
        </w:tc>
        <w:tc>
          <w:tcPr>
            <w:vAlign w:val="center"/>
          </w:tcPr>
          <w:p>
            <w:pPr>
              <w:rPr>
                <w:sz w:val="18"/>
                <w:szCs w:val="18"/>
              </w:rPr>
            </w:pPr>
            <w:r>
              <w:rPr>
                <w:sz w:val="18"/>
                <w:szCs w:val="18"/>
              </w:rPr>
              <w:t>44.3</w:t>
            </w:r>
          </w:p>
        </w:tc>
        <w:tc>
          <w:tcPr>
            <w:vAlign w:val="center"/>
          </w:tcPr>
          <w:p>
            <w:pPr>
              <w:rPr>
                <w:sz w:val="18"/>
                <w:szCs w:val="18"/>
              </w:rPr>
            </w:pPr>
            <w:r>
              <w:rPr>
                <w:sz w:val="18"/>
                <w:szCs w:val="18"/>
              </w:rPr>
              <w:t>54.7</w:t>
            </w:r>
          </w:p>
        </w:tc>
        <w:tc>
          <w:tcPr>
            <w:vAlign w:val="center"/>
          </w:tcPr>
          <w:p>
            <w:pPr>
              <w:rPr>
                <w:sz w:val="18"/>
                <w:szCs w:val="18"/>
              </w:rPr>
            </w:pPr>
          </w:p>
        </w:tc>
      </w:tr>
    </w:tbl>
    <w:p>
      <w:pPr>
        <w:pStyle w:val="3"/>
        <w:jc w:val="center"/>
        <w:rPr>
          <w:sz w:val="18"/>
          <w:szCs w:val="18"/>
          <w:lang w:val="en-US"/>
        </w:rPr>
      </w:pPr>
      <w:bookmarkStart w:id="122" w:name="内部建筑设备围护结构吸声量表"/>
      <w:bookmarkEnd w:id="122"/>
    </w:p>
    <w:p>
      <w:pPr>
        <w:pStyle w:val="5"/>
      </w:pPr>
      <w:bookmarkStart w:id="123" w:name="_Toc161211418"/>
      <w:r>
        <w:rPr>
          <w:rFonts w:hint="eastAsia"/>
        </w:rPr>
        <w:t>典型房间内部设备</w:t>
      </w:r>
      <w:bookmarkEnd w:id="123"/>
      <w:r>
        <w:rPr>
          <w:rFonts w:hint="eastAsia"/>
        </w:rPr>
        <w:t>影响</w:t>
      </w:r>
    </w:p>
    <w:p>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pPr>
        <w:jc w:val="center"/>
      </w:pPr>
      <w:bookmarkStart w:id="125" w:name="内部建筑设备表"/>
      <w:bookmarkEnd w:id="125"/>
      <w:r>
        <w:t>参评房间无内部建筑设备</w:t>
      </w:r>
    </w:p>
    <w:p/>
    <w:p>
      <w:pPr>
        <w:pStyle w:val="5"/>
      </w:pPr>
      <w:bookmarkStart w:id="126" w:name="_Toc161211419"/>
      <w:r>
        <w:rPr>
          <w:rFonts w:hint="eastAsia"/>
        </w:rPr>
        <w:t>典型房间受相邻房间设备</w:t>
      </w:r>
      <w:bookmarkEnd w:id="126"/>
      <w:r>
        <w:rPr>
          <w:rFonts w:hint="eastAsia"/>
        </w:rPr>
        <w:t>影响</w:t>
      </w:r>
    </w:p>
    <w:p>
      <w:pPr>
        <w:pStyle w:val="3"/>
        <w:ind w:firstLine="420"/>
        <w:rPr>
          <w:lang w:val="en-US"/>
        </w:rPr>
      </w:pPr>
      <w:r>
        <w:rPr>
          <w:rFonts w:hint="eastAsia"/>
          <w:lang w:val="en-US"/>
        </w:rPr>
        <w:t>典型房间分隔结构如下图所示。</w:t>
      </w:r>
    </w:p>
    <w:p>
      <w:pPr>
        <w:pStyle w:val="3"/>
        <w:jc w:val="center"/>
        <w:rPr>
          <w:lang w:val="en-US"/>
        </w:rPr>
      </w:pPr>
      <w:bookmarkStart w:id="127" w:name="内部设备最不利房间平面图"/>
      <w:bookmarkEnd w:id="127"/>
      <w:r>
        <w:drawing>
          <wp:inline distT="0" distB="0" distL="0" distR="0">
            <wp:extent cx="5667375" cy="36385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分隔构件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 xml:space="preserve"> [1224]</w:t>
            </w:r>
            <w:r>
              <w:br w:type="textWrapping"/>
            </w:r>
            <w:r>
              <w:t>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 xml:space="preserve"> [1213]</w:t>
            </w:r>
            <w:r>
              <w:br w:type="textWrapping"/>
            </w:r>
            <w:r>
              <w:t>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bl>
    <w:p>
      <w:pPr>
        <w:jc w:val="center"/>
      </w:pPr>
      <w:bookmarkStart w:id="129" w:name="相邻房间分隔构件做法和隔声量表"/>
      <w:bookmarkEnd w:id="129"/>
    </w:p>
    <w:p>
      <w:pPr>
        <w:ind w:firstLine="420"/>
        <w:rPr>
          <w:sz w:val="21"/>
          <w:szCs w:val="21"/>
          <w:lang w:val="en-US"/>
        </w:rPr>
      </w:pPr>
      <w:r>
        <w:rPr>
          <w:rFonts w:hint="eastAsia"/>
          <w:sz w:val="21"/>
          <w:szCs w:val="21"/>
          <w:lang w:val="en-US"/>
        </w:rPr>
        <w:t>相邻房间设备噪声经过分隔结构，对典型房间室内噪声级的影响结果如下：</w:t>
      </w:r>
    </w:p>
    <w:p>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pPr>
              <w:jc w:val="center"/>
            </w:pPr>
            <w:bookmarkStart w:id="131" w:name="相邻房间设备噪声表"/>
            <w:r>
              <w:rPr>
                <w:rFonts w:hint="eastAsia"/>
              </w:rPr>
              <w:t>房间编号</w:t>
            </w:r>
          </w:p>
        </w:tc>
        <w:tc>
          <w:tcPr>
            <w:tcW w:w="1701" w:type="dxa"/>
            <w:vMerge w:val="restart"/>
            <w:shd w:val="clear" w:color="auto" w:fill="D8D8D8" w:themeFill="background1" w:themeFillShade="D9"/>
            <w:vAlign w:val="center"/>
          </w:tcPr>
          <w:p>
            <w:pPr>
              <w:jc w:val="center"/>
            </w:pPr>
            <w:r>
              <w:rPr>
                <w:rFonts w:hint="eastAsia"/>
              </w:rPr>
              <w:t>声源</w:t>
            </w:r>
          </w:p>
        </w:tc>
        <w:tc>
          <w:tcPr>
            <w:tcW w:w="1857" w:type="dxa"/>
            <w:gridSpan w:val="2"/>
            <w:shd w:val="clear" w:color="auto" w:fill="D8D8D8" w:themeFill="background1" w:themeFillShade="D9"/>
            <w:vAlign w:val="center"/>
          </w:tcPr>
          <w:p>
            <w:pPr>
              <w:jc w:val="center"/>
            </w:pPr>
            <w:r>
              <w:rPr>
                <w:rFonts w:hint="eastAsia"/>
              </w:rPr>
              <w:t>设备声功率级</w:t>
            </w:r>
          </w:p>
        </w:tc>
        <w:tc>
          <w:tcPr>
            <w:tcW w:w="1588" w:type="dxa"/>
            <w:gridSpan w:val="2"/>
            <w:shd w:val="clear" w:color="auto" w:fill="D8D8D8" w:themeFill="background1" w:themeFillShade="D9"/>
            <w:vAlign w:val="center"/>
          </w:tcPr>
          <w:p>
            <w:pPr>
              <w:jc w:val="center"/>
            </w:pPr>
            <w:r>
              <w:rPr>
                <w:rFonts w:hint="eastAsia"/>
              </w:rPr>
              <w:t>设备总声压级</w:t>
            </w:r>
          </w:p>
        </w:tc>
        <w:tc>
          <w:tcPr>
            <w:tcW w:w="1091" w:type="dxa"/>
            <w:vMerge w:val="restart"/>
            <w:shd w:val="clear" w:color="auto" w:fill="D8D8D8" w:themeFill="background1" w:themeFillShade="D9"/>
            <w:vAlign w:val="center"/>
          </w:tcPr>
          <w:p>
            <w:pPr>
              <w:jc w:val="center"/>
            </w:pPr>
            <w:r>
              <w:rPr>
                <w:rFonts w:hint="eastAsia"/>
              </w:rPr>
              <w:t>分隔构件</w:t>
            </w:r>
          </w:p>
          <w:p>
            <w:pPr>
              <w:jc w:val="center"/>
            </w:pPr>
            <w:r>
              <w:rPr>
                <w:rFonts w:hint="eastAsia"/>
              </w:rPr>
              <w:t>隔声量</w:t>
            </w:r>
          </w:p>
        </w:tc>
        <w:tc>
          <w:tcPr>
            <w:tcW w:w="1801" w:type="dxa"/>
            <w:gridSpan w:val="2"/>
            <w:shd w:val="clear" w:color="auto" w:fill="D8D8D8" w:themeFill="background1" w:themeFillShade="D9"/>
            <w:vAlign w:val="center"/>
          </w:tcPr>
          <w:p>
            <w:pPr>
              <w:jc w:val="center"/>
            </w:pPr>
            <w:r>
              <w:rPr>
                <w:rFonts w:hint="eastAsia"/>
              </w:rPr>
              <w:t>目标房间声压级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pPr>
              <w:snapToGrid/>
              <w:jc w:val="center"/>
            </w:pPr>
          </w:p>
        </w:tc>
        <w:tc>
          <w:tcPr>
            <w:tcW w:w="1701" w:type="dxa"/>
            <w:vMerge w:val="continue"/>
            <w:shd w:val="clear" w:color="auto" w:fill="D8D8D8" w:themeFill="background1" w:themeFillShade="D9"/>
            <w:vAlign w:val="center"/>
          </w:tcPr>
          <w:p>
            <w:pPr>
              <w:snapToGrid/>
              <w:jc w:val="center"/>
            </w:pPr>
          </w:p>
        </w:tc>
        <w:tc>
          <w:tcPr>
            <w:tcW w:w="851" w:type="dxa"/>
            <w:shd w:val="clear" w:color="auto" w:fill="D8D8D8" w:themeFill="background1" w:themeFillShade="D9"/>
            <w:vAlign w:val="center"/>
          </w:tcPr>
          <w:p>
            <w:pPr>
              <w:jc w:val="center"/>
            </w:pPr>
            <w:r>
              <w:rPr>
                <w:rFonts w:hint="eastAsia"/>
              </w:rPr>
              <w:t>昼间</w:t>
            </w:r>
          </w:p>
        </w:tc>
        <w:tc>
          <w:tcPr>
            <w:tcW w:w="1006" w:type="dxa"/>
            <w:shd w:val="clear" w:color="auto" w:fill="D8D8D8" w:themeFill="background1" w:themeFillShade="D9"/>
            <w:vAlign w:val="center"/>
          </w:tcPr>
          <w:p>
            <w:pPr>
              <w:jc w:val="center"/>
            </w:pPr>
            <w:r>
              <w:rPr>
                <w:rFonts w:hint="eastAsia"/>
              </w:rPr>
              <w:t>夜间</w:t>
            </w:r>
          </w:p>
        </w:tc>
        <w:tc>
          <w:tcPr>
            <w:tcW w:w="794" w:type="dxa"/>
            <w:shd w:val="clear" w:color="auto" w:fill="D8D8D8" w:themeFill="background1" w:themeFillShade="D9"/>
            <w:vAlign w:val="center"/>
          </w:tcPr>
          <w:p>
            <w:pPr>
              <w:snapToGrid/>
              <w:jc w:val="center"/>
            </w:pPr>
            <w:r>
              <w:rPr>
                <w:rFonts w:hint="eastAsia"/>
              </w:rPr>
              <w:t>昼间</w:t>
            </w:r>
          </w:p>
        </w:tc>
        <w:tc>
          <w:tcPr>
            <w:tcW w:w="794" w:type="dxa"/>
            <w:shd w:val="clear" w:color="auto" w:fill="D8D8D8" w:themeFill="background1" w:themeFillShade="D9"/>
            <w:vAlign w:val="center"/>
          </w:tcPr>
          <w:p>
            <w:pPr>
              <w:snapToGrid/>
              <w:jc w:val="center"/>
            </w:pPr>
            <w:r>
              <w:rPr>
                <w:rFonts w:hint="eastAsia"/>
              </w:rPr>
              <w:t>夜间</w:t>
            </w:r>
          </w:p>
        </w:tc>
        <w:tc>
          <w:tcPr>
            <w:tcW w:w="1091" w:type="dxa"/>
            <w:vMerge w:val="continue"/>
            <w:shd w:val="clear" w:color="auto" w:fill="D8D8D8" w:themeFill="background1" w:themeFillShade="D9"/>
            <w:vAlign w:val="center"/>
          </w:tcPr>
          <w:p>
            <w:pPr>
              <w:snapToGrid/>
              <w:jc w:val="center"/>
            </w:pPr>
          </w:p>
        </w:tc>
        <w:tc>
          <w:tcPr>
            <w:tcW w:w="1007" w:type="dxa"/>
            <w:shd w:val="clear" w:color="auto" w:fill="D8D8D8" w:themeFill="background1" w:themeFillShade="D9"/>
            <w:vAlign w:val="center"/>
          </w:tcPr>
          <w:p>
            <w:pPr>
              <w:jc w:val="center"/>
            </w:pPr>
            <w:r>
              <w:rPr>
                <w:rFonts w:hint="eastAsia"/>
              </w:rPr>
              <w:t>昼间</w:t>
            </w:r>
          </w:p>
        </w:tc>
        <w:tc>
          <w:tcPr>
            <w:tcW w:w="794" w:type="dxa"/>
            <w:shd w:val="clear" w:color="auto" w:fill="D8D8D8" w:themeFill="background1" w:themeFillShade="D9"/>
            <w:vAlign w:val="center"/>
          </w:tcPr>
          <w:p>
            <w:pPr>
              <w:jc w:val="center"/>
            </w:pPr>
            <w:r>
              <w:rPr>
                <w:rFonts w:hint="eastAsia"/>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pPr>
              <w:jc w:val="center"/>
            </w:pPr>
            <w:r>
              <w:t>会议室[1213]</w:t>
            </w:r>
          </w:p>
        </w:tc>
        <w:tc>
          <w:tcPr>
            <w:tcW w:w="1701" w:type="dxa"/>
            <w:vAlign w:val="center"/>
          </w:tcPr>
          <w:p>
            <w:pPr>
              <w:jc w:val="center"/>
            </w:pPr>
            <w:r>
              <w:t>分体空调</w:t>
            </w:r>
          </w:p>
        </w:tc>
        <w:tc>
          <w:tcPr>
            <w:tcW w:w="851" w:type="dxa"/>
            <w:vAlign w:val="center"/>
          </w:tcPr>
          <w:p>
            <w:pPr>
              <w:jc w:val="center"/>
            </w:pPr>
            <w:r>
              <w:t>42</w:t>
            </w:r>
          </w:p>
        </w:tc>
        <w:tc>
          <w:tcPr>
            <w:tcW w:w="1006" w:type="dxa"/>
            <w:vAlign w:val="center"/>
          </w:tcPr>
          <w:p>
            <w:pPr>
              <w:jc w:val="center"/>
            </w:pPr>
            <w:r>
              <w:t>42</w:t>
            </w:r>
          </w:p>
        </w:tc>
        <w:tc>
          <w:tcPr>
            <w:tcW w:w="794" w:type="dxa"/>
            <w:vAlign w:val="center"/>
          </w:tcPr>
          <w:p>
            <w:pPr>
              <w:jc w:val="center"/>
            </w:pPr>
            <w:r>
              <w:t>38</w:t>
            </w:r>
          </w:p>
        </w:tc>
        <w:tc>
          <w:tcPr>
            <w:tcW w:w="794" w:type="dxa"/>
            <w:vAlign w:val="center"/>
          </w:tcPr>
          <w:p>
            <w:pPr>
              <w:jc w:val="center"/>
            </w:pPr>
            <w:r>
              <w:t>38</w:t>
            </w:r>
          </w:p>
        </w:tc>
        <w:tc>
          <w:tcPr>
            <w:tcW w:w="1091" w:type="dxa"/>
            <w:vAlign w:val="center"/>
          </w:tcPr>
          <w:p>
            <w:pPr>
              <w:jc w:val="center"/>
            </w:pPr>
            <w:r>
              <w:t>50</w:t>
            </w:r>
          </w:p>
        </w:tc>
        <w:tc>
          <w:tcPr>
            <w:tcW w:w="1007" w:type="dxa"/>
            <w:vAlign w:val="center"/>
          </w:tcPr>
          <w:p>
            <w:pPr>
              <w:jc w:val="center"/>
            </w:pPr>
            <w:r>
              <w:t>&lt;5</w:t>
            </w:r>
          </w:p>
        </w:tc>
        <w:tc>
          <w:tcPr>
            <w:tcW w:w="794" w:type="dxa"/>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pPr>
              <w:jc w:val="center"/>
            </w:pPr>
            <w:r>
              <w:t>[1224]</w:t>
            </w:r>
          </w:p>
        </w:tc>
        <w:tc>
          <w:tcPr>
            <w:tcW w:w="1701" w:type="dxa"/>
            <w:vAlign w:val="center"/>
          </w:tcPr>
          <w:p>
            <w:pPr>
              <w:jc w:val="center"/>
            </w:pPr>
            <w:r>
              <w:t>分体空调</w:t>
            </w:r>
          </w:p>
        </w:tc>
        <w:tc>
          <w:tcPr>
            <w:tcW w:w="851" w:type="dxa"/>
            <w:vAlign w:val="center"/>
          </w:tcPr>
          <w:p>
            <w:pPr>
              <w:jc w:val="center"/>
            </w:pPr>
            <w:r>
              <w:t>42</w:t>
            </w:r>
          </w:p>
        </w:tc>
        <w:tc>
          <w:tcPr>
            <w:tcW w:w="1006" w:type="dxa"/>
            <w:vAlign w:val="center"/>
          </w:tcPr>
          <w:p>
            <w:pPr>
              <w:jc w:val="center"/>
            </w:pPr>
            <w:r>
              <w:t>42</w:t>
            </w:r>
          </w:p>
        </w:tc>
        <w:tc>
          <w:tcPr>
            <w:tcW w:w="794" w:type="dxa"/>
            <w:vAlign w:val="center"/>
          </w:tcPr>
          <w:p>
            <w:pPr>
              <w:jc w:val="center"/>
            </w:pPr>
            <w:r>
              <w:t>38</w:t>
            </w:r>
          </w:p>
        </w:tc>
        <w:tc>
          <w:tcPr>
            <w:tcW w:w="794" w:type="dxa"/>
            <w:vAlign w:val="center"/>
          </w:tcPr>
          <w:p>
            <w:pPr>
              <w:jc w:val="center"/>
            </w:pPr>
            <w:r>
              <w:t>38</w:t>
            </w:r>
          </w:p>
        </w:tc>
        <w:tc>
          <w:tcPr>
            <w:tcW w:w="1091" w:type="dxa"/>
            <w:vAlign w:val="center"/>
          </w:tcPr>
          <w:p>
            <w:pPr>
              <w:jc w:val="center"/>
            </w:pPr>
            <w:r>
              <w:t>50</w:t>
            </w:r>
          </w:p>
        </w:tc>
        <w:tc>
          <w:tcPr>
            <w:tcW w:w="1007" w:type="dxa"/>
            <w:vAlign w:val="center"/>
          </w:tcPr>
          <w:p>
            <w:pPr>
              <w:jc w:val="center"/>
            </w:pPr>
            <w:r>
              <w:t>&lt;5</w:t>
            </w:r>
          </w:p>
        </w:tc>
        <w:tc>
          <w:tcPr>
            <w:tcW w:w="794" w:type="dxa"/>
            <w:vAlign w:val="center"/>
          </w:tcPr>
          <w:p>
            <w:pPr>
              <w:jc w:val="center"/>
            </w:pPr>
            <w:r>
              <w:t>&lt;5</w:t>
            </w:r>
          </w:p>
        </w:tc>
      </w:tr>
      <w:bookmarkEnd w:id="131"/>
    </w:tbl>
    <w:p>
      <w:pPr>
        <w:pStyle w:val="5"/>
      </w:pPr>
      <w:bookmarkStart w:id="132" w:name="_Toc161211420"/>
      <w:r>
        <w:rPr>
          <w:rFonts w:hint="eastAsia"/>
        </w:rPr>
        <w:t>典型房间室内噪声级受建筑设备噪声的影响</w:t>
      </w:r>
      <w:bookmarkEnd w:id="132"/>
    </w:p>
    <w:p>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&lt;5</w:t>
      </w:r>
      <w:bookmarkEnd w:id="133"/>
      <w:r>
        <w:rPr>
          <w:rFonts w:hint="eastAsia"/>
          <w:b/>
          <w:bCs/>
          <w:lang w:val="en-US"/>
        </w:rPr>
        <w:t xml:space="preserve"> dB(A)。</w:t>
      </w:r>
    </w:p>
    <w:p>
      <w:pPr>
        <w:pStyle w:val="5"/>
      </w:pPr>
      <w:bookmarkStart w:id="134" w:name="_Toc159941257"/>
      <w:r>
        <w:rPr>
          <w:rFonts w:hint="eastAsia"/>
        </w:rPr>
        <w:t>小结—建筑内设备噪声影响</w:t>
      </w:r>
    </w:p>
    <w:p>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房间类型</w:t>
            </w:r>
          </w:p>
        </w:tc>
        <w:tc>
          <w:tcPr>
            <w:shd w:val="clear" w:color="auto" w:fill="E6E6E6"/>
            <w:vAlign w:val="center"/>
          </w:tcPr>
          <w:p>
            <w:pPr>
              <w:jc w:val="center"/>
              <w:rPr>
                <w:sz w:val="18"/>
                <w:szCs w:val="18"/>
              </w:rPr>
            </w:pPr>
            <w:r>
              <w:rPr>
                <w:sz w:val="18"/>
                <w:szCs w:val="18"/>
              </w:rPr>
              <w:t>对标功能</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最大值</w:t>
            </w:r>
          </w:p>
        </w:tc>
        <w:tc>
          <w:tcPr>
            <w:shd w:val="clear" w:color="auto" w:fill="E6E6E6"/>
            <w:vAlign w:val="center"/>
          </w:tcPr>
          <w:p>
            <w:pPr>
              <w:jc w:val="center"/>
              <w:rPr>
                <w:sz w:val="18"/>
                <w:szCs w:val="18"/>
              </w:rPr>
            </w:pPr>
            <w:r>
              <w:rPr>
                <w:sz w:val="18"/>
                <w:szCs w:val="18"/>
              </w:rPr>
              <w:t>限值</w:t>
            </w:r>
          </w:p>
        </w:tc>
        <w:tc>
          <w:tcPr>
            <w:shd w:val="clear" w:color="auto" w:fill="E6E6E6"/>
            <w:vAlign w:val="center"/>
          </w:tcPr>
          <w:p>
            <w:pPr>
              <w:jc w:val="center"/>
              <w:rPr>
                <w:sz w:val="18"/>
                <w:szCs w:val="18"/>
              </w:rPr>
            </w:pPr>
            <w:r>
              <w:rPr>
                <w:sz w:val="18"/>
                <w:szCs w:val="18"/>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会议室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1001</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普通教室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1017,3018,4019</w:t>
            </w:r>
            <w:r>
              <w:rPr>
                <w:sz w:val="18"/>
                <w:szCs w:val="18"/>
              </w:rPr>
              <w:br w:type="textWrapping"/>
            </w:r>
            <w:r>
              <w:rPr>
                <w:sz w:val="18"/>
                <w:szCs w:val="18"/>
              </w:rPr>
              <w:t>等30个房间</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教师办公室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4035,3066,5046</w:t>
            </w:r>
            <w:r>
              <w:rPr>
                <w:sz w:val="18"/>
                <w:szCs w:val="18"/>
              </w:rPr>
              <w:br w:type="textWrapping"/>
            </w:r>
            <w:r>
              <w:rPr>
                <w:sz w:val="18"/>
                <w:szCs w:val="18"/>
              </w:rPr>
              <w:t>等10个房间</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美术教室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2007</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35" w:name="内部建筑设备主要功能房间噪声值表"/>
      <w:bookmarkEnd w:id="135"/>
    </w:p>
    <w:p>
      <w:pPr>
        <w:pStyle w:val="3"/>
        <w:rPr>
          <w:lang w:val="en-US"/>
        </w:rPr>
      </w:pPr>
    </w:p>
    <w:p>
      <w:pPr>
        <w:pStyle w:val="4"/>
      </w:pPr>
      <w:bookmarkStart w:id="136" w:name="_Toc161211421"/>
      <w:bookmarkStart w:id="137" w:name="_Toc4113"/>
      <w:r>
        <w:t>主要功能房间隔声性能</w:t>
      </w:r>
      <w:bookmarkEnd w:id="134"/>
      <w:bookmarkEnd w:id="136"/>
      <w:bookmarkEnd w:id="137"/>
    </w:p>
    <w:p>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办公建筑</w:t>
      </w:r>
      <w:bookmarkEnd w:id="138"/>
      <w:r>
        <w:rPr>
          <w:rFonts w:hint="eastAsia"/>
          <w:lang w:val="en-US"/>
        </w:rPr>
        <w:t>，</w:t>
      </w:r>
      <w:bookmarkStart w:id="139" w:name="主要功能房识别"/>
      <w:r>
        <w:rPr>
          <w:rFonts w:hint="eastAsia"/>
          <w:lang w:val="en-US"/>
        </w:rPr>
        <w:t>会议室、教师办公室、普通教室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pPr>
        <w:pStyle w:val="5"/>
      </w:pPr>
      <w:bookmarkStart w:id="140" w:name="_Toc154147348"/>
      <w:bookmarkStart w:id="141" w:name="_Toc151041754"/>
      <w:bookmarkStart w:id="142" w:name="_Toc161211422"/>
      <w:r>
        <w:rPr>
          <w:rFonts w:hint="eastAsia"/>
        </w:rPr>
        <w:t>外围护结构的空气声隔声性能</w:t>
      </w:r>
      <w:bookmarkEnd w:id="140"/>
      <w:bookmarkEnd w:id="141"/>
      <w:bookmarkEnd w:id="142"/>
    </w:p>
    <w:p>
      <w:pPr>
        <w:pStyle w:val="3"/>
        <w:ind w:firstLine="420"/>
        <w:rPr>
          <w:lang w:val="en-US"/>
        </w:rPr>
      </w:pPr>
      <w:r>
        <w:rPr>
          <w:rFonts w:hint="eastAsia"/>
          <w:lang w:val="en-US"/>
        </w:rPr>
        <w:t>本项目主要功能房间外围护结构的空气声隔声性能结果小结如下：</w:t>
      </w:r>
    </w:p>
    <w:p>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44" w:name="外围护结构隔声量评价表"/>
            <w:bookmarkStart w:id="145" w:name="_Toc154147349"/>
            <w:bookmarkStart w:id="146" w:name="_Toc151041755"/>
            <w:bookmarkStart w:id="147" w:name="_Toc161211423"/>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会议室[1001]</w:t>
            </w:r>
          </w:p>
        </w:tc>
        <w:tc>
          <w:tcPr>
            <w:tcW w:w="1843" w:type="dxa"/>
            <w:vAlign w:val="center"/>
          </w:tcPr>
          <w:p>
            <w:pPr>
              <w:jc w:val="center"/>
              <w:rPr>
                <w:lang w:val="en-US"/>
              </w:rPr>
            </w:pPr>
            <w:r>
              <w:rPr>
                <w:rFonts w:hint="eastAsia"/>
                <w:lang w:val="en-US"/>
              </w:rPr>
              <w:t>会议室</w:t>
            </w:r>
          </w:p>
        </w:tc>
        <w:tc>
          <w:tcPr>
            <w:tcW w:w="624" w:type="dxa"/>
            <w:vAlign w:val="center"/>
          </w:tcPr>
          <w:p>
            <w:pPr>
              <w:jc w:val="center"/>
              <w:rPr>
                <w:lang w:val="en-US"/>
              </w:rPr>
            </w:pPr>
            <w:r>
              <w:rPr>
                <w:rFonts w:hint="eastAsia"/>
                <w:lang w:val="en-US"/>
              </w:rPr>
              <w:t>35</w:t>
            </w:r>
          </w:p>
        </w:tc>
        <w:tc>
          <w:tcPr>
            <w:tcW w:w="1304" w:type="dxa"/>
            <w:vAlign w:val="center"/>
          </w:tcPr>
          <w:p>
            <w:pPr>
              <w:jc w:val="center"/>
              <w:rPr>
                <w:lang w:val="en-US"/>
              </w:rPr>
            </w:pPr>
            <w:r>
              <w:rPr>
                <w:rFonts w:hint="eastAsia"/>
                <w:lang w:val="en-US"/>
              </w:rPr>
              <w:t>≥ 30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教师办公室[3076]</w:t>
            </w:r>
          </w:p>
        </w:tc>
        <w:tc>
          <w:tcPr>
            <w:tcW w:w="1843" w:type="dxa"/>
            <w:vAlign w:val="center"/>
          </w:tcPr>
          <w:p>
            <w:pPr>
              <w:jc w:val="center"/>
              <w:rPr>
                <w:lang w:val="en-US"/>
              </w:rPr>
            </w:pPr>
            <w:r>
              <w:rPr>
                <w:lang w:val="en-US"/>
              </w:rPr>
              <w:t>教师办公室</w:t>
            </w:r>
          </w:p>
        </w:tc>
        <w:tc>
          <w:tcPr>
            <w:tcW w:w="624" w:type="dxa"/>
            <w:vAlign w:val="center"/>
          </w:tcPr>
          <w:p>
            <w:pPr>
              <w:jc w:val="center"/>
              <w:rPr>
                <w:lang w:val="en-US"/>
              </w:rPr>
            </w:pPr>
            <w:r>
              <w:rPr>
                <w:lang w:val="en-US"/>
              </w:rPr>
              <w:t>34</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3076,3066,1078</w:t>
            </w:r>
            <w:r>
              <w:rPr>
                <w:lang w:val="en-US"/>
              </w:rPr>
              <w:br w:type="textWrapping"/>
            </w:r>
            <w:r>
              <w:rPr>
                <w:lang w:val="en-US"/>
              </w:rPr>
              <w:t>等10个房间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普通教室[1017]</w:t>
            </w:r>
          </w:p>
        </w:tc>
        <w:tc>
          <w:tcPr>
            <w:tcW w:w="1843" w:type="dxa"/>
            <w:vAlign w:val="center"/>
          </w:tcPr>
          <w:p>
            <w:pPr>
              <w:jc w:val="center"/>
              <w:rPr>
                <w:lang w:val="en-US"/>
              </w:rPr>
            </w:pPr>
            <w:r>
              <w:rPr>
                <w:lang w:val="en-US"/>
              </w:rPr>
              <w:t>普通教室</w:t>
            </w:r>
          </w:p>
        </w:tc>
        <w:tc>
          <w:tcPr>
            <w:tcW w:w="624" w:type="dxa"/>
            <w:vAlign w:val="center"/>
          </w:tcPr>
          <w:p>
            <w:pPr>
              <w:jc w:val="center"/>
              <w:rPr>
                <w:lang w:val="en-US"/>
              </w:rPr>
            </w:pPr>
            <w:r>
              <w:rPr>
                <w:lang w:val="en-US"/>
              </w:rPr>
              <w:t>34</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1017,3068,3018</w:t>
            </w:r>
            <w:r>
              <w:rPr>
                <w:lang w:val="en-US"/>
              </w:rPr>
              <w:br w:type="textWrapping"/>
            </w:r>
            <w:r>
              <w:rPr>
                <w:lang w:val="en-US"/>
              </w:rPr>
              <w:t>等31个房间</w:t>
            </w:r>
          </w:p>
        </w:tc>
      </w:tr>
      <w:bookmarkEnd w:id="144"/>
    </w:tbl>
    <w:p>
      <w:pPr>
        <w:pStyle w:val="5"/>
      </w:pPr>
      <w:r>
        <w:rPr>
          <w:rFonts w:hint="eastAsia"/>
        </w:rPr>
        <w:t>房间之间隔墙的空气声隔声性能</w:t>
      </w:r>
      <w:bookmarkEnd w:id="145"/>
      <w:bookmarkEnd w:id="146"/>
      <w:bookmarkEnd w:id="147"/>
    </w:p>
    <w:p>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50" w:name="隔墙空气声隔声量评价表"/>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普通教室[1017]</w:t>
            </w:r>
          </w:p>
        </w:tc>
        <w:tc>
          <w:tcPr>
            <w:tcW w:w="1843" w:type="dxa"/>
            <w:vAlign w:val="center"/>
          </w:tcPr>
          <w:p>
            <w:pPr>
              <w:jc w:val="center"/>
              <w:rPr>
                <w:lang w:val="en-US"/>
              </w:rPr>
            </w:pPr>
            <w:r>
              <w:rPr>
                <w:rFonts w:hint="eastAsia"/>
                <w:lang w:val="en-US"/>
              </w:rPr>
              <w:t>普通教室</w:t>
            </w:r>
          </w:p>
        </w:tc>
        <w:tc>
          <w:tcPr>
            <w:tcW w:w="624" w:type="dxa"/>
            <w:vAlign w:val="center"/>
          </w:tcPr>
          <w:p>
            <w:pPr>
              <w:jc w:val="center"/>
              <w:rPr>
                <w:lang w:val="en-US"/>
              </w:rPr>
            </w:pPr>
            <w:r>
              <w:rPr>
                <w:rFonts w:hint="eastAsia"/>
                <w:lang w:val="en-US"/>
              </w:rPr>
              <w:t>50</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1017,1043,1044</w:t>
            </w:r>
            <w:r>
              <w:rPr>
                <w:rFonts w:hint="eastAsia"/>
                <w:lang w:val="en-US"/>
              </w:rPr>
              <w:br w:type="textWrapping"/>
            </w:r>
            <w:r>
              <w:rPr>
                <w:rFonts w:hint="eastAsia"/>
                <w:lang w:val="en-US"/>
              </w:rPr>
              <w:t>等30个房间</w:t>
            </w:r>
          </w:p>
        </w:tc>
      </w:tr>
      <w:bookmarkEnd w:id="149"/>
      <w:bookmarkEnd w:id="150"/>
    </w:tbl>
    <w:p>
      <w:pPr>
        <w:pStyle w:val="5"/>
      </w:pPr>
      <w:bookmarkStart w:id="151" w:name="_Toc151041756"/>
      <w:bookmarkStart w:id="152" w:name="_Toc161211424"/>
      <w:bookmarkStart w:id="153" w:name="_Toc154147350"/>
      <w:r>
        <w:rPr>
          <w:rFonts w:hint="eastAsia"/>
        </w:rPr>
        <w:t>房间之间楼板的空气声隔声性能</w:t>
      </w:r>
      <w:bookmarkEnd w:id="151"/>
      <w:bookmarkEnd w:id="152"/>
      <w:bookmarkEnd w:id="153"/>
    </w:p>
    <w:p>
      <w:pPr>
        <w:pStyle w:val="12"/>
        <w:jc w:val="right"/>
        <w:rPr>
          <w:rFonts w:ascii="微软雅黑" w:hAnsi="微软雅黑" w:eastAsia="微软雅黑"/>
          <w:vertAlign w:val="superscript"/>
          <w:lang w:val="en-US"/>
        </w:rPr>
      </w:pPr>
      <w:bookmarkStart w:id="154" w:name="_Toc161127109"/>
      <w:bookmarkStart w:id="155" w:name="_Hlk151643712"/>
      <w:bookmarkStart w:id="156"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57" w:name="楼板空气声隔声量评价表" w:colFirst="0" w:colLast="6"/>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普通教室[1017]</w:t>
            </w:r>
          </w:p>
        </w:tc>
        <w:tc>
          <w:tcPr>
            <w:tcW w:w="1843" w:type="dxa"/>
            <w:vAlign w:val="center"/>
          </w:tcPr>
          <w:p>
            <w:pPr>
              <w:jc w:val="center"/>
              <w:rPr>
                <w:lang w:val="en-US"/>
              </w:rPr>
            </w:pPr>
            <w:r>
              <w:rPr>
                <w:rFonts w:hint="eastAsia"/>
                <w:lang w:val="en-US"/>
              </w:rPr>
              <w:t>普通教室</w:t>
            </w:r>
          </w:p>
        </w:tc>
        <w:tc>
          <w:tcPr>
            <w:tcW w:w="624" w:type="dxa"/>
            <w:vAlign w:val="center"/>
          </w:tcPr>
          <w:p>
            <w:pPr>
              <w:jc w:val="center"/>
              <w:rPr>
                <w:lang w:val="en-US"/>
              </w:rPr>
            </w:pPr>
            <w:r>
              <w:rPr>
                <w:rFonts w:hint="eastAsia"/>
                <w:lang w:val="en-US"/>
              </w:rPr>
              <w:t>51</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1017,1043,1044</w:t>
            </w:r>
            <w:r>
              <w:rPr>
                <w:rFonts w:hint="eastAsia"/>
                <w:lang w:val="en-US"/>
              </w:rPr>
              <w:br w:type="textWrapping"/>
            </w:r>
            <w:r>
              <w:rPr>
                <w:rFonts w:hint="eastAsia"/>
                <w:lang w:val="en-US"/>
              </w:rPr>
              <w:t>等24个房间</w:t>
            </w:r>
          </w:p>
        </w:tc>
      </w:tr>
      <w:bookmarkEnd w:id="155"/>
      <w:bookmarkEnd w:id="156"/>
      <w:bookmarkEnd w:id="157"/>
    </w:tbl>
    <w:p>
      <w:pPr>
        <w:pStyle w:val="5"/>
      </w:pPr>
      <w:bookmarkStart w:id="158" w:name="_Toc154147351"/>
      <w:bookmarkStart w:id="159" w:name="_Toc151041757"/>
      <w:bookmarkStart w:id="160" w:name="_Toc161211425"/>
      <w:r>
        <w:rPr>
          <w:rFonts w:hint="eastAsia"/>
        </w:rPr>
        <w:t>楼板的撞击声隔声性能</w:t>
      </w:r>
      <w:bookmarkEnd w:id="158"/>
      <w:bookmarkEnd w:id="159"/>
      <w:bookmarkEnd w:id="160"/>
    </w:p>
    <w:p>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pPr>
              <w:jc w:val="center"/>
            </w:pPr>
            <w:bookmarkStart w:id="163" w:name="楼板撞击声隔声量评价表" w:colFirst="0" w:colLast="6"/>
            <w:r>
              <w:rPr>
                <w:rFonts w:hint="eastAsia"/>
              </w:rPr>
              <w:t>房间</w:t>
            </w:r>
          </w:p>
        </w:tc>
        <w:tc>
          <w:tcPr>
            <w:tcW w:w="1842"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rFonts w:hint="eastAsia"/>
                <w:lang w:val="en-US"/>
              </w:rPr>
              <w:t>普通教室[1017]</w:t>
            </w:r>
          </w:p>
        </w:tc>
        <w:tc>
          <w:tcPr>
            <w:tcW w:w="1842" w:type="dxa"/>
            <w:vAlign w:val="center"/>
          </w:tcPr>
          <w:p>
            <w:pPr>
              <w:jc w:val="center"/>
              <w:rPr>
                <w:lang w:val="en-US"/>
              </w:rPr>
            </w:pPr>
            <w:r>
              <w:rPr>
                <w:rFonts w:hint="eastAsia"/>
                <w:lang w:val="en-US"/>
              </w:rPr>
              <w:t>普通教室</w:t>
            </w:r>
          </w:p>
        </w:tc>
        <w:tc>
          <w:tcPr>
            <w:tcW w:w="624" w:type="dxa"/>
            <w:vAlign w:val="center"/>
          </w:tcPr>
          <w:p>
            <w:pPr>
              <w:jc w:val="center"/>
              <w:rPr>
                <w:lang w:val="en-US"/>
              </w:rPr>
            </w:pPr>
            <w:r>
              <w:rPr>
                <w:rFonts w:hint="eastAsia"/>
                <w:lang w:val="en-US"/>
              </w:rPr>
              <w:t>55</w:t>
            </w:r>
          </w:p>
        </w:tc>
        <w:tc>
          <w:tcPr>
            <w:tcW w:w="1304" w:type="dxa"/>
            <w:vAlign w:val="center"/>
          </w:tcPr>
          <w:p>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pPr>
              <w:jc w:val="center"/>
              <w:rPr>
                <w:lang w:val="en-US"/>
              </w:rPr>
            </w:pPr>
            <w:r>
              <w:rPr>
                <w:rFonts w:hint="eastAsia"/>
                <w:lang w:val="en-US"/>
              </w:rPr>
              <w:t>4</w:t>
            </w:r>
          </w:p>
        </w:tc>
        <w:tc>
          <w:tcPr>
            <w:tcW w:w="3061" w:type="dxa"/>
            <w:vAlign w:val="center"/>
          </w:tcPr>
          <w:p>
            <w:pPr>
              <w:jc w:val="center"/>
              <w:rPr>
                <w:lang w:val="en-US"/>
              </w:rPr>
            </w:pPr>
            <w:r>
              <w:rPr>
                <w:rFonts w:hint="eastAsia"/>
                <w:lang w:val="en-US"/>
              </w:rPr>
              <w:t>1017,1043,1044</w:t>
            </w:r>
            <w:r>
              <w:rPr>
                <w:rFonts w:hint="eastAsia"/>
                <w:lang w:val="en-US"/>
              </w:rPr>
              <w:br w:type="textWrapping"/>
            </w:r>
            <w:r>
              <w:rPr>
                <w:rFonts w:hint="eastAsia"/>
                <w:lang w:val="en-US"/>
              </w:rPr>
              <w:t>等24个房间</w:t>
            </w:r>
          </w:p>
        </w:tc>
      </w:tr>
      <w:bookmarkEnd w:id="162"/>
      <w:bookmarkEnd w:id="163"/>
    </w:tbl>
    <w:p>
      <w:pPr>
        <w:pStyle w:val="3"/>
        <w:ind w:firstLine="420" w:firstLineChars="200"/>
        <w:jc w:val="center"/>
        <w:rPr>
          <w:color w:val="0000FF"/>
          <w:lang w:val="en-US"/>
        </w:rPr>
      </w:pPr>
    </w:p>
    <w:p>
      <w:pPr>
        <w:pStyle w:val="2"/>
      </w:pPr>
      <w:bookmarkStart w:id="164" w:name="_Toc154147352"/>
      <w:bookmarkStart w:id="165" w:name="_Toc161211427"/>
      <w:bookmarkStart w:id="166" w:name="_Toc28877"/>
      <w:r>
        <w:rPr>
          <w:rFonts w:hint="eastAsia"/>
        </w:rPr>
        <w:t>结论</w:t>
      </w:r>
      <w:bookmarkEnd w:id="164"/>
      <w:bookmarkEnd w:id="165"/>
      <w:bookmarkEnd w:id="166"/>
    </w:p>
    <w:p>
      <w:pPr>
        <w:pStyle w:val="3"/>
        <w:ind w:firstLine="420"/>
      </w:pPr>
      <w:r>
        <w:rPr>
          <w:rFonts w:hint="eastAsia"/>
        </w:rPr>
        <w:t>本项目作为</w:t>
      </w:r>
      <w:bookmarkStart w:id="167" w:name="建筑类型3"/>
      <w:r>
        <w:rPr>
          <w:rFonts w:hint="eastAsia"/>
        </w:rPr>
        <w:t>办公建筑</w:t>
      </w:r>
      <w:bookmarkEnd w:id="167"/>
      <w:r>
        <w:rPr>
          <w:rFonts w:hint="eastAsia"/>
        </w:rPr>
        <w:t>，根据</w:t>
      </w:r>
      <w:bookmarkStart w:id="168" w:name="地标名称带顿号"/>
      <w:bookmarkEnd w:id="168"/>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pPr>
        <w:pStyle w:val="12"/>
        <w:spacing w:before="156" w:beforeLines="50"/>
        <w:jc w:val="center"/>
        <w:rPr>
          <w:rFonts w:ascii="微软雅黑" w:hAnsi="微软雅黑" w:eastAsia="微软雅黑"/>
          <w:color w:val="0000FF"/>
          <w:lang w:val="en-US"/>
        </w:rPr>
      </w:pPr>
      <w:bookmarkStart w:id="169"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9"/>
    </w:p>
    <w:p>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bookmarkStart w:id="170"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rPr>
              <w:t>结论/得分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exact"/>
              <w:jc w:val="left"/>
              <w:rPr>
                <w:sz w:val="18"/>
                <w:szCs w:val="18"/>
              </w:rPr>
            </w:pPr>
            <w:r>
              <w:rPr>
                <w:rFonts w:hint="eastAsia"/>
                <w:sz w:val="18"/>
                <w:szCs w:val="18"/>
              </w:rPr>
              <w:t>5.1.4 建筑声环境设计应符合下列要求：</w:t>
            </w:r>
          </w:p>
          <w:p>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lang w:val="en-US"/>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71" w:name="空气声控制项结论2"/>
            <w:r>
              <w:rPr>
                <w:rFonts w:hint="eastAsia"/>
                <w:b/>
                <w:bCs/>
              </w:rPr>
              <w:t>满足</w:t>
            </w:r>
            <w:bookmarkEnd w:id="1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72" w:name="撞击声控制项结论2"/>
            <w:r>
              <w:rPr>
                <w:rFonts w:hint="eastAsia"/>
                <w:b/>
                <w:bCs/>
              </w:rPr>
              <w:t>满足</w:t>
            </w:r>
            <w:bookmarkEnd w:id="1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pPr>
                    <w:spacing w:line="20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pPr>
                    <w:snapToGrid/>
                    <w:spacing w:line="200" w:lineRule="atLeast"/>
                    <w:rPr>
                      <w:sz w:val="16"/>
                    </w:rPr>
                  </w:pPr>
                </w:p>
              </w:tc>
              <w:tc>
                <w:tcPr>
                  <w:tcW w:w="1984" w:type="dxa"/>
                  <w:vMerge w:val="continue"/>
                  <w:vAlign w:val="center"/>
                </w:tcPr>
                <w:p>
                  <w:pPr>
                    <w:snapToGrid/>
                    <w:spacing w:line="200" w:lineRule="atLeast"/>
                    <w:rPr>
                      <w:sz w:val="16"/>
                    </w:rPr>
                  </w:pPr>
                </w:p>
              </w:tc>
              <w:tc>
                <w:tcPr>
                  <w:tcW w:w="1418" w:type="dxa"/>
                  <w:shd w:val="clear" w:color="auto" w:fill="E7E6E6" w:themeFill="background2"/>
                  <w:vAlign w:val="center"/>
                </w:tcPr>
                <w:p>
                  <w:pPr>
                    <w:spacing w:line="200" w:lineRule="atLeast"/>
                    <w:jc w:val="center"/>
                    <w:rPr>
                      <w:bCs/>
                      <w:sz w:val="16"/>
                    </w:rPr>
                  </w:pPr>
                  <w:r>
                    <w:rPr>
                      <w:rFonts w:hint="eastAsia"/>
                      <w:bCs/>
                      <w:sz w:val="16"/>
                    </w:rPr>
                    <w:t>0、1类</w:t>
                  </w:r>
                </w:p>
                <w:p>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pPr>
                    <w:spacing w:line="200" w:lineRule="atLeast"/>
                    <w:jc w:val="center"/>
                    <w:rPr>
                      <w:bCs/>
                      <w:sz w:val="16"/>
                    </w:rPr>
                  </w:pPr>
                  <w:r>
                    <w:rPr>
                      <w:rFonts w:hint="eastAsia"/>
                      <w:bCs/>
                      <w:sz w:val="16"/>
                    </w:rPr>
                    <w:t>2、3、4类</w:t>
                  </w:r>
                </w:p>
                <w:p>
                  <w:pPr>
                    <w:spacing w:line="200" w:lineRule="atLeast"/>
                    <w:jc w:val="center"/>
                    <w:rPr>
                      <w:bCs/>
                      <w:sz w:val="16"/>
                    </w:rPr>
                  </w:pPr>
                  <w:r>
                    <w:rPr>
                      <w:rFonts w:hint="eastAsia"/>
                      <w:bCs/>
                      <w:sz w:val="16"/>
                    </w:rPr>
                    <w:t>声功能区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pPr>
                    <w:spacing w:line="200" w:lineRule="atLeast"/>
                    <w:jc w:val="center"/>
                    <w:rPr>
                      <w:bCs/>
                      <w:sz w:val="16"/>
                    </w:rPr>
                  </w:pPr>
                  <w:r>
                    <w:rPr>
                      <w:rFonts w:hint="eastAsia"/>
                      <w:bCs/>
                      <w:sz w:val="16"/>
                    </w:rPr>
                    <w:t>睡眠</w:t>
                  </w:r>
                </w:p>
              </w:tc>
              <w:tc>
                <w:tcPr>
                  <w:tcW w:w="1418" w:type="dxa"/>
                  <w:vAlign w:val="center"/>
                </w:tcPr>
                <w:p>
                  <w:pPr>
                    <w:spacing w:line="200" w:lineRule="atLeast"/>
                    <w:jc w:val="center"/>
                    <w:rPr>
                      <w:sz w:val="16"/>
                    </w:rPr>
                  </w:pPr>
                  <w:r>
                    <w:rPr>
                      <w:rFonts w:hint="eastAsia"/>
                      <w:sz w:val="16"/>
                    </w:rPr>
                    <w:t>40(昼)  30(夜)</w:t>
                  </w:r>
                </w:p>
              </w:tc>
              <w:tc>
                <w:tcPr>
                  <w:tcW w:w="1417" w:type="dxa"/>
                  <w:vAlign w:val="center"/>
                </w:tcPr>
                <w:p>
                  <w:pPr>
                    <w:spacing w:line="200" w:lineRule="atLeast"/>
                    <w:jc w:val="center"/>
                    <w:rPr>
                      <w:sz w:val="16"/>
                    </w:rPr>
                  </w:pPr>
                  <w:r>
                    <w:rPr>
                      <w:rFonts w:hint="eastAsia"/>
                      <w:sz w:val="16"/>
                    </w:rPr>
                    <w:t>45(昼)  35(夜)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日常生活</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阅读、自学、思考</w:t>
                  </w:r>
                </w:p>
              </w:tc>
              <w:tc>
                <w:tcPr>
                  <w:tcW w:w="1418" w:type="dxa"/>
                  <w:vAlign w:val="center"/>
                </w:tcPr>
                <w:p>
                  <w:pPr>
                    <w:spacing w:line="200" w:lineRule="atLeast"/>
                    <w:jc w:val="center"/>
                    <w:rPr>
                      <w:bCs/>
                      <w:sz w:val="16"/>
                    </w:rPr>
                  </w:pPr>
                  <w:r>
                    <w:rPr>
                      <w:rFonts w:hint="eastAsia"/>
                      <w:bCs/>
                      <w:sz w:val="16"/>
                    </w:rPr>
                    <w:t>35</w:t>
                  </w:r>
                </w:p>
              </w:tc>
              <w:tc>
                <w:tcPr>
                  <w:tcW w:w="1417" w:type="dxa"/>
                  <w:vAlign w:val="center"/>
                </w:tcPr>
                <w:p>
                  <w:pPr>
                    <w:spacing w:line="200" w:lineRule="atLeast"/>
                    <w:jc w:val="center"/>
                    <w:rPr>
                      <w:bCs/>
                      <w:sz w:val="16"/>
                    </w:rPr>
                  </w:pPr>
                  <w:r>
                    <w:rPr>
                      <w:rFonts w:hint="eastAsia"/>
                      <w:bCs/>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教学、医疗、办公、会议</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bl>
          <w:p>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bCs/>
              </w:rPr>
            </w:pPr>
            <w:bookmarkStart w:id="173" w:name="公建_室外噪声_总得分"/>
            <w:r>
              <w:rPr>
                <w:rFonts w:hint="eastAsia"/>
                <w:b/>
                <w:bCs/>
              </w:rPr>
              <w:t>4</w:t>
            </w:r>
            <w:bookmarkEnd w:id="173"/>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pPr>
              <w:snapToGrid/>
              <w:spacing w:line="360" w:lineRule="exact"/>
            </w:pPr>
          </w:p>
        </w:tc>
        <w:tc>
          <w:tcPr>
            <w:tcW w:w="7372" w:type="dxa"/>
            <w:gridSpan w:val="2"/>
            <w:tcBorders>
              <w:top w:val="single" w:color="auto" w:sz="2" w:space="0"/>
            </w:tcBorders>
            <w:shd w:val="clear" w:color="auto" w:fill="auto"/>
            <w:vAlign w:val="center"/>
          </w:tcPr>
          <w:p>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pPr>
                    <w:spacing w:line="180" w:lineRule="atLeast"/>
                    <w:jc w:val="center"/>
                    <w:rPr>
                      <w:sz w:val="16"/>
                    </w:rPr>
                  </w:pPr>
                  <w:r>
                    <w:rPr>
                      <w:rFonts w:hint="eastAsia"/>
                      <w:sz w:val="16"/>
                    </w:rPr>
                    <w:t>评价内容</w:t>
                  </w:r>
                </w:p>
              </w:tc>
              <w:tc>
                <w:tcPr>
                  <w:tcW w:w="1984" w:type="dxa"/>
                  <w:shd w:val="clear" w:color="auto" w:fill="E7E6E6" w:themeFill="background2"/>
                  <w:vAlign w:val="center"/>
                </w:tcPr>
                <w:p>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pPr>
                    <w:spacing w:line="18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pPr>
                    <w:spacing w:line="180" w:lineRule="atLeast"/>
                    <w:jc w:val="center"/>
                    <w:rPr>
                      <w:bCs/>
                      <w:sz w:val="16"/>
                    </w:rPr>
                  </w:pPr>
                  <w:r>
                    <w:rPr>
                      <w:rFonts w:hint="eastAsia"/>
                      <w:bCs/>
                      <w:sz w:val="16"/>
                    </w:rPr>
                    <w:t>睡眠</w:t>
                  </w:r>
                </w:p>
              </w:tc>
              <w:tc>
                <w:tcPr>
                  <w:tcW w:w="2835" w:type="dxa"/>
                  <w:vAlign w:val="center"/>
                </w:tcPr>
                <w:p>
                  <w:pPr>
                    <w:spacing w:line="180" w:lineRule="atLeast"/>
                    <w:jc w:val="center"/>
                    <w:rPr>
                      <w:sz w:val="16"/>
                    </w:rPr>
                  </w:pPr>
                  <w:r>
                    <w:rPr>
                      <w:rFonts w:hint="eastAsia"/>
                      <w:sz w:val="16"/>
                    </w:rPr>
                    <w:t>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日常生活</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阅读、自学、思考</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教学、医疗、办公、会议</w:t>
                  </w:r>
                </w:p>
              </w:tc>
              <w:tc>
                <w:tcPr>
                  <w:tcW w:w="2835" w:type="dxa"/>
                  <w:vAlign w:val="center"/>
                </w:tcPr>
                <w:p>
                  <w:pPr>
                    <w:spacing w:line="180" w:lineRule="atLeast"/>
                    <w:jc w:val="center"/>
                    <w:rPr>
                      <w:sz w:val="16"/>
                    </w:rPr>
                  </w:pPr>
                  <w:r>
                    <w:rPr>
                      <w:rFonts w:hint="eastAsia"/>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sz w:val="16"/>
                    </w:rPr>
                  </w:pPr>
                  <w:r>
                    <w:rPr>
                      <w:rFonts w:hint="eastAsia"/>
                      <w:sz w:val="16"/>
                    </w:rPr>
                    <w:t>人员密集的公共空间</w:t>
                  </w:r>
                </w:p>
              </w:tc>
              <w:tc>
                <w:tcPr>
                  <w:tcW w:w="2835" w:type="dxa"/>
                  <w:vAlign w:val="center"/>
                </w:tcPr>
                <w:p>
                  <w:pPr>
                    <w:spacing w:line="180" w:lineRule="atLeast"/>
                    <w:jc w:val="center"/>
                    <w:rPr>
                      <w:sz w:val="16"/>
                    </w:rPr>
                  </w:pPr>
                  <w:r>
                    <w:rPr>
                      <w:rFonts w:hint="eastAsia"/>
                      <w:sz w:val="16"/>
                    </w:rPr>
                    <w:t>55</w:t>
                  </w:r>
                </w:p>
              </w:tc>
            </w:tr>
          </w:tbl>
          <w:p>
            <w:pPr>
              <w:pStyle w:val="3"/>
              <w:spacing w:line="360" w:lineRule="exact"/>
              <w:rPr>
                <w:sz w:val="18"/>
                <w:szCs w:val="18"/>
              </w:rPr>
            </w:pPr>
          </w:p>
        </w:tc>
        <w:tc>
          <w:tcPr>
            <w:tcW w:w="1060" w:type="dxa"/>
            <w:tcBorders>
              <w:top w:val="single" w:color="auto" w:sz="2" w:space="0"/>
            </w:tcBorders>
            <w:shd w:val="clear" w:color="auto" w:fill="auto"/>
            <w:vAlign w:val="center"/>
          </w:tcPr>
          <w:p>
            <w:pPr>
              <w:spacing w:line="360" w:lineRule="exact"/>
              <w:jc w:val="center"/>
              <w:rPr>
                <w:b/>
                <w:bCs/>
              </w:rPr>
            </w:pPr>
            <w:bookmarkStart w:id="174" w:name="公建_室内噪声_总得分"/>
            <w:r>
              <w:rPr>
                <w:rFonts w:hint="eastAsia"/>
                <w:b/>
                <w:bCs/>
              </w:rPr>
              <w:t>4</w:t>
            </w:r>
            <w:bookmarkEnd w:id="174"/>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pPr>
              <w:snapToGrid/>
              <w:spacing w:line="360" w:lineRule="exact"/>
            </w:pPr>
          </w:p>
        </w:tc>
        <w:tc>
          <w:tcPr>
            <w:tcW w:w="7372" w:type="dxa"/>
            <w:gridSpan w:val="2"/>
            <w:shd w:val="clear" w:color="auto" w:fill="auto"/>
            <w:vAlign w:val="center"/>
          </w:tcPr>
          <w:p>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标准</w:t>
                  </w:r>
                </w:p>
                <w:p>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3"/>
                    <w:spacing w:line="200" w:lineRule="atLeast"/>
                    <w:jc w:val="center"/>
                    <w:rPr>
                      <w:sz w:val="16"/>
                      <w:szCs w:val="18"/>
                    </w:rPr>
                  </w:pPr>
                  <w:r>
                    <w:rPr>
                      <w:rFonts w:hint="eastAsia"/>
                      <w:sz w:val="16"/>
                      <w:szCs w:val="18"/>
                    </w:rPr>
                    <w:t>实际</w:t>
                  </w:r>
                </w:p>
                <w:p>
                  <w:pPr>
                    <w:pStyle w:val="3"/>
                    <w:spacing w:line="200" w:lineRule="atLeast"/>
                    <w:jc w:val="center"/>
                    <w:rPr>
                      <w:sz w:val="16"/>
                      <w:szCs w:val="18"/>
                    </w:rPr>
                  </w:pPr>
                  <w:r>
                    <w:rPr>
                      <w:rFonts w:hint="eastAsia"/>
                      <w:sz w:val="16"/>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5" w:name="公建_构件隔声_外围护结构"/>
                  <w:r>
                    <w:rPr>
                      <w:rFonts w:hint="eastAsia"/>
                      <w:b/>
                      <w:sz w:val="16"/>
                      <w:szCs w:val="18"/>
                    </w:rPr>
                    <w:t>2</w:t>
                  </w:r>
                  <w:bookmarkEnd w:id="1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6" w:name="公建_构件隔声_隔墙"/>
                  <w:r>
                    <w:rPr>
                      <w:rFonts w:hint="eastAsia"/>
                      <w:b/>
                      <w:sz w:val="16"/>
                      <w:szCs w:val="18"/>
                    </w:rPr>
                    <w:t>2</w:t>
                  </w:r>
                  <w:bookmarkEnd w:id="1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7" w:name="公建_构件隔声_楼板"/>
                  <w:r>
                    <w:rPr>
                      <w:rFonts w:hint="eastAsia"/>
                      <w:b/>
                      <w:sz w:val="16"/>
                      <w:szCs w:val="18"/>
                    </w:rPr>
                    <w:t>2</w:t>
                  </w:r>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8" w:name="公建_构件隔声_撞击声"/>
                  <w:r>
                    <w:rPr>
                      <w:rFonts w:hint="eastAsia"/>
                      <w:b/>
                      <w:sz w:val="16"/>
                      <w:szCs w:val="18"/>
                    </w:rPr>
                    <w:t>4</w:t>
                  </w:r>
                  <w:bookmarkEnd w:id="178"/>
                </w:p>
              </w:tc>
            </w:tr>
          </w:tbl>
          <w:p>
            <w:pPr>
              <w:pStyle w:val="3"/>
              <w:spacing w:line="360" w:lineRule="exact"/>
              <w:rPr>
                <w:sz w:val="15"/>
              </w:rPr>
            </w:pPr>
          </w:p>
        </w:tc>
        <w:tc>
          <w:tcPr>
            <w:tcW w:w="1060" w:type="dxa"/>
            <w:shd w:val="clear" w:color="auto" w:fill="auto"/>
            <w:vAlign w:val="center"/>
          </w:tcPr>
          <w:p>
            <w:pPr>
              <w:spacing w:line="360" w:lineRule="exact"/>
              <w:jc w:val="center"/>
              <w:rPr>
                <w:b/>
                <w:bCs/>
              </w:rPr>
            </w:pPr>
            <w:bookmarkStart w:id="179" w:name="公建_构件隔声_总得分"/>
            <w:r>
              <w:rPr>
                <w:rFonts w:hint="eastAsia"/>
                <w:b/>
                <w:bCs/>
              </w:rPr>
              <w:t>10</w:t>
            </w:r>
            <w:bookmarkEnd w:id="179"/>
            <w:r>
              <w:rPr>
                <w:rFonts w:hint="eastAsia"/>
                <w:b/>
                <w:bCs/>
              </w:rPr>
              <w:t>分</w:t>
            </w:r>
          </w:p>
        </w:tc>
      </w:tr>
      <w:bookmarkEnd w:id="170"/>
    </w:tbl>
    <w:p>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pPr>
        <w:pStyle w:val="75"/>
      </w:pPr>
      <w:r>
        <w:t xml:space="preserve">附录 </w:t>
      </w:r>
      <w:r>
        <w:fldChar w:fldCharType="begin"/>
      </w:r>
      <w:r>
        <w:instrText xml:space="preserve"> SEQ 附录 \* ARABIC </w:instrText>
      </w:r>
      <w:r>
        <w:fldChar w:fldCharType="separate"/>
      </w:r>
      <w:r>
        <w:t>1</w:t>
      </w:r>
      <w:r>
        <w:fldChar w:fldCharType="end"/>
      </w:r>
      <w:bookmarkStart w:id="180" w:name="_Toc17319"/>
      <w:r>
        <w:tab/>
      </w:r>
      <w:r>
        <w:rPr>
          <w:rFonts w:hint="eastAsia"/>
        </w:rPr>
        <w:t>声学分区标注图</w:t>
      </w:r>
      <w:bookmarkEnd w:id="180"/>
    </w:p>
    <w:p>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pPr>
        <w:pStyle w:val="15"/>
        <w:spacing w:line="360" w:lineRule="auto"/>
        <w:ind w:firstLine="0" w:firstLineChars="0"/>
        <w:jc w:val="center"/>
        <w:rPr>
          <w:sz w:val="21"/>
          <w:szCs w:val="21"/>
          <w:lang w:val="en-GB"/>
        </w:rPr>
      </w:pPr>
      <w:bookmarkStart w:id="181" w:name="声学分区标注图"/>
      <w:bookmarkEnd w:id="181"/>
      <w:r>
        <w:drawing>
          <wp:inline distT="0" distB="0" distL="0" distR="0">
            <wp:extent cx="8010525" cy="407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8010525" cy="40767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图6.1 【1】层平面图</w:t>
      </w:r>
    </w:p>
    <w:p>
      <w:pPr>
        <w:pStyle w:val="15"/>
        <w:spacing w:line="360" w:lineRule="auto"/>
        <w:ind w:firstLine="0" w:firstLineChars="0"/>
        <w:jc w:val="center"/>
        <w:rPr>
          <w:sz w:val="21"/>
          <w:szCs w:val="21"/>
          <w:lang w:val="en-GB"/>
        </w:rPr>
      </w:pPr>
      <w:r>
        <w:drawing>
          <wp:inline distT="0" distB="0" distL="0" distR="0">
            <wp:extent cx="8010525" cy="4076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8010525" cy="40767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图6.2 【2】层平面图</w:t>
      </w:r>
    </w:p>
    <w:p>
      <w:pPr>
        <w:pStyle w:val="15"/>
        <w:spacing w:line="360" w:lineRule="auto"/>
        <w:ind w:firstLine="0" w:firstLineChars="0"/>
        <w:jc w:val="center"/>
        <w:rPr>
          <w:sz w:val="21"/>
          <w:szCs w:val="21"/>
          <w:lang w:val="en-GB"/>
        </w:rPr>
      </w:pPr>
      <w:r>
        <w:drawing>
          <wp:inline distT="0" distB="0" distL="0" distR="0">
            <wp:extent cx="8010525" cy="4076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a:stretch>
                      <a:fillRect/>
                    </a:stretch>
                  </pic:blipFill>
                  <pic:spPr>
                    <a:xfrm>
                      <a:off x="0" y="0"/>
                      <a:ext cx="8010525" cy="40767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图6.3 【3】层平面图</w:t>
      </w:r>
    </w:p>
    <w:p>
      <w:pPr>
        <w:pStyle w:val="15"/>
        <w:spacing w:line="360" w:lineRule="auto"/>
        <w:ind w:firstLine="0" w:firstLineChars="0"/>
        <w:jc w:val="center"/>
        <w:rPr>
          <w:sz w:val="21"/>
          <w:szCs w:val="21"/>
          <w:lang w:val="en-GB"/>
        </w:rPr>
      </w:pPr>
      <w:r>
        <w:drawing>
          <wp:inline distT="0" distB="0" distL="0" distR="0">
            <wp:extent cx="8010525" cy="4076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a:stretch>
                      <a:fillRect/>
                    </a:stretch>
                  </pic:blipFill>
                  <pic:spPr>
                    <a:xfrm>
                      <a:off x="0" y="0"/>
                      <a:ext cx="8010525" cy="40767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图6.4 【4】层平面图</w:t>
      </w:r>
    </w:p>
    <w:p>
      <w:pPr>
        <w:pStyle w:val="15"/>
        <w:spacing w:line="360" w:lineRule="auto"/>
        <w:ind w:firstLine="0" w:firstLineChars="0"/>
        <w:jc w:val="center"/>
        <w:rPr>
          <w:sz w:val="21"/>
          <w:szCs w:val="21"/>
          <w:lang w:val="en-GB"/>
        </w:rPr>
      </w:pPr>
      <w:r>
        <w:drawing>
          <wp:inline distT="0" distB="0" distL="0" distR="0">
            <wp:extent cx="8010525" cy="40767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8010525" cy="40767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图6.5 【5】层平面图</w:t>
      </w:r>
    </w:p>
    <w:p>
      <w:pPr>
        <w:pStyle w:val="15"/>
        <w:spacing w:line="360" w:lineRule="auto"/>
        <w:ind w:firstLine="0" w:firstLineChars="0"/>
        <w:jc w:val="center"/>
        <w:rPr>
          <w:sz w:val="21"/>
          <w:szCs w:val="21"/>
          <w:lang w:val="en-GB"/>
        </w:rPr>
      </w:pPr>
      <w:r>
        <w:drawing>
          <wp:inline distT="0" distB="0" distL="0" distR="0">
            <wp:extent cx="8010525" cy="40767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8010525" cy="40767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图6.6 【6】层平面图</w:t>
      </w:r>
    </w:p>
    <w:p>
      <w:pPr>
        <w:pStyle w:val="15"/>
        <w:spacing w:line="360" w:lineRule="auto"/>
        <w:ind w:firstLine="0" w:firstLineChars="0"/>
        <w:jc w:val="center"/>
        <w:rPr>
          <w:sz w:val="21"/>
          <w:szCs w:val="21"/>
          <w:lang w:val="en-GB"/>
        </w:rPr>
      </w:pPr>
      <w:r>
        <w:drawing>
          <wp:inline distT="0" distB="0" distL="0" distR="0">
            <wp:extent cx="8010525" cy="41052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8010525" cy="41052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图6.7 【7】层平面图</w:t>
      </w:r>
    </w:p>
    <w:p>
      <w:pPr>
        <w:jc w:val="center"/>
      </w:pPr>
      <w:r>
        <w:br w:type="page"/>
      </w:r>
    </w:p>
    <w:p>
      <w:pPr>
        <w:pStyle w:val="75"/>
      </w:pPr>
      <w:r>
        <w:t xml:space="preserve">附录 </w:t>
      </w:r>
      <w:r>
        <w:fldChar w:fldCharType="begin"/>
      </w:r>
      <w:r>
        <w:instrText xml:space="preserve"> SEQ 附录 \* ARABIC </w:instrText>
      </w:r>
      <w:r>
        <w:fldChar w:fldCharType="separate"/>
      </w:r>
      <w:r>
        <w:t>2</w:t>
      </w:r>
      <w:r>
        <w:fldChar w:fldCharType="end"/>
      </w:r>
      <w:bookmarkStart w:id="182" w:name="_Toc29787"/>
      <w:r>
        <w:tab/>
      </w:r>
      <w:r>
        <w:rPr>
          <w:rFonts w:hint="eastAsia"/>
        </w:rPr>
        <w:t>建筑外部噪声对主要功能房间噪声影响分析表</w:t>
      </w:r>
      <w:bookmarkEnd w:id="182"/>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pPr>
              <w:jc w:val="center"/>
            </w:pPr>
            <w:r>
              <w:t>楼层</w:t>
            </w:r>
          </w:p>
        </w:tc>
        <w:tc>
          <w:tcPr>
            <w:vMerge w:val="restart"/>
            <w:shd w:val="clear" w:color="auto" w:fill="E6E6E6"/>
            <w:vAlign w:val="center"/>
          </w:tcPr>
          <w:p>
            <w:pPr>
              <w:jc w:val="center"/>
            </w:pPr>
            <w:r>
              <w:t>房间类型</w:t>
            </w:r>
          </w:p>
        </w:tc>
        <w:tc>
          <w:tcPr>
            <w:vMerge w:val="restart"/>
            <w:shd w:val="clear" w:color="auto" w:fill="E6E6E6"/>
            <w:vAlign w:val="center"/>
          </w:tcPr>
          <w:p>
            <w:pPr>
              <w:jc w:val="center"/>
            </w:pPr>
            <w:r>
              <w:t>对标功能</w:t>
            </w:r>
          </w:p>
        </w:tc>
        <w:tc>
          <w:tcPr>
            <w:gridSpan w:val="2"/>
            <w:shd w:val="clear" w:color="auto" w:fill="E6E6E6"/>
            <w:vAlign w:val="center"/>
          </w:tcPr>
          <w:p>
            <w:pPr>
              <w:jc w:val="center"/>
            </w:pPr>
            <w:r>
              <w:t>噪声值(dB)</w:t>
            </w:r>
          </w:p>
        </w:tc>
        <w:tc>
          <w:tcPr>
            <w:gridSpan w:val="2"/>
            <w:shd w:val="clear" w:color="auto" w:fill="E6E6E6"/>
            <w:vAlign w:val="center"/>
          </w:tcPr>
          <w:p>
            <w:pPr>
              <w:jc w:val="center"/>
            </w:pPr>
            <w:r>
              <w:t>限值(dB)</w:t>
            </w:r>
          </w:p>
        </w:tc>
        <w:tc>
          <w:tcPr>
            <w:vMerge w:val="restart"/>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vMerge w:val="continue"/>
            <w:shd w:val="clear" w:color="auto" w:fill="E6E6E6"/>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会议室[1001]</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教师办公室[1054]</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教师办公室[1078]</w:t>
            </w:r>
          </w:p>
        </w:tc>
        <w:tc>
          <w:tcPr>
            <w:vAlign w:val="center"/>
          </w:tcPr>
          <w:p>
            <w:r>
              <w:t>教学医疗办公会议</w:t>
            </w:r>
          </w:p>
        </w:tc>
        <w:tc>
          <w:tcPr>
            <w:vAlign w:val="center"/>
          </w:tcPr>
          <w:p>
            <w:pPr>
              <w:jc w:val="center"/>
            </w:pPr>
            <w:r>
              <w:rPr>
                <w:b/>
              </w:rPr>
              <w:t>28</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普通教室[1017]</w:t>
            </w:r>
          </w:p>
        </w:tc>
        <w:tc>
          <w:tcPr>
            <w:vAlign w:val="center"/>
          </w:tcPr>
          <w:p>
            <w:r>
              <w:t>教学医疗办公会议</w:t>
            </w:r>
          </w:p>
        </w:tc>
        <w:tc>
          <w:tcPr>
            <w:vAlign w:val="center"/>
          </w:tcPr>
          <w:p>
            <w:pPr>
              <w:jc w:val="center"/>
            </w:pPr>
            <w:r>
              <w:rPr>
                <w:b/>
              </w:rPr>
              <w:t>32</w:t>
            </w:r>
          </w:p>
        </w:tc>
        <w:tc>
          <w:tcPr>
            <w:shd w:val="clear" w:color="auto" w:fill="E6E6E6"/>
            <w:vAlign w:val="center"/>
          </w:tcPr>
          <w:p>
            <w:pPr>
              <w:jc w:val="center"/>
            </w:pPr>
            <w:r>
              <w:rPr>
                <w:b/>
              </w:rPr>
              <w:t>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普通教室[1043]</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普通教室[1044]</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普通教室[1045]</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普通教室[1047]</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普通教室[1060]</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Align w:val="center"/>
          </w:tcPr>
          <w:p>
            <w:r>
              <w:t>教师办公室[2039]</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教师办公室[2077]</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美术教室[2007]</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普通教室[2021]</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普通教室[2037]</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普通教室[2040]</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普通教室[2041]</w:t>
            </w:r>
          </w:p>
        </w:tc>
        <w:tc>
          <w:tcPr>
            <w:vAlign w:val="center"/>
          </w:tcPr>
          <w:p>
            <w:r>
              <w:t>教学医疗办公会议</w:t>
            </w:r>
          </w:p>
        </w:tc>
        <w:tc>
          <w:tcPr>
            <w:vAlign w:val="center"/>
          </w:tcPr>
          <w:p>
            <w:pPr>
              <w:jc w:val="center"/>
            </w:pPr>
            <w:r>
              <w:rPr>
                <w:b/>
              </w:rPr>
              <w:t>28</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普通教室[2042]</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普通教室[2073]</w:t>
            </w:r>
          </w:p>
        </w:tc>
        <w:tc>
          <w:tcPr>
            <w:vAlign w:val="center"/>
          </w:tcPr>
          <w:p>
            <w:r>
              <w:t>教学医疗办公会议</w:t>
            </w:r>
          </w:p>
        </w:tc>
        <w:tc>
          <w:tcPr>
            <w:vAlign w:val="center"/>
          </w:tcPr>
          <w:p>
            <w:pPr>
              <w:jc w:val="center"/>
            </w:pPr>
            <w:r>
              <w:rPr>
                <w:b/>
              </w:rPr>
              <w:t>28</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教师办公室[3066]</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教师办公室[3076]</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普通教室[3018]</w:t>
            </w:r>
          </w:p>
        </w:tc>
        <w:tc>
          <w:tcPr>
            <w:vAlign w:val="center"/>
          </w:tcPr>
          <w:p>
            <w:r>
              <w:t>教学医疗办公会议</w:t>
            </w:r>
          </w:p>
        </w:tc>
        <w:tc>
          <w:tcPr>
            <w:vAlign w:val="center"/>
          </w:tcPr>
          <w:p>
            <w:pPr>
              <w:jc w:val="center"/>
            </w:pPr>
            <w:r>
              <w:rPr>
                <w:b/>
              </w:rPr>
              <w:t>32</w:t>
            </w:r>
          </w:p>
        </w:tc>
        <w:tc>
          <w:tcPr>
            <w:shd w:val="clear" w:color="auto" w:fill="E6E6E6"/>
            <w:vAlign w:val="center"/>
          </w:tcPr>
          <w:p>
            <w:pPr>
              <w:jc w:val="center"/>
            </w:pPr>
            <w:r>
              <w:rPr>
                <w:b/>
              </w:rPr>
              <w:t>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普通教室[3022]</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普通教室[3030]</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普通教室[3031]</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普通教室[3065]</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普通教室[3068]</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教师办公室[4035]</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教师办公室[4074]</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普通教室[4019]</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普通教室[4023]</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普通教室[4034]</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普通教室[4063]</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普通教室[4069]</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普通教室[4070]</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教师办公室[5046]</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教师办公室[5075]</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普通教室[5020]</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普通教室[5024]</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普通教室[5032]</w:t>
            </w:r>
          </w:p>
        </w:tc>
        <w:tc>
          <w:tcPr>
            <w:vAlign w:val="center"/>
          </w:tcPr>
          <w:p>
            <w:r>
              <w:t>教学医疗办公会议</w:t>
            </w:r>
          </w:p>
        </w:tc>
        <w:tc>
          <w:tcPr>
            <w:vAlign w:val="center"/>
          </w:tcPr>
          <w:p>
            <w:pPr>
              <w:jc w:val="center"/>
            </w:pPr>
            <w:r>
              <w:rPr>
                <w:b/>
              </w:rPr>
              <w:t>30</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普通教室[5053]</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普通教室[5067]</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普通教室[5071]</w:t>
            </w:r>
          </w:p>
        </w:tc>
        <w:tc>
          <w:tcPr>
            <w:vAlign w:val="center"/>
          </w:tcPr>
          <w:p>
            <w:r>
              <w:t>教学医疗办公会议</w:t>
            </w:r>
          </w:p>
        </w:tc>
        <w:tc>
          <w:tcPr>
            <w:vAlign w:val="center"/>
          </w:tcPr>
          <w:p>
            <w:pPr>
              <w:jc w:val="center"/>
            </w:pPr>
            <w:r>
              <w:rPr>
                <w:b/>
              </w:rPr>
              <w:t>28</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bl>
    <w:p>
      <w:pPr>
        <w:spacing w:before="156" w:beforeLines="50"/>
        <w:rPr>
          <w:color w:val="FF0000"/>
        </w:rPr>
      </w:pPr>
      <w:bookmarkStart w:id="183" w:name="外部声源室内噪声级附录表"/>
      <w:bookmarkEnd w:id="183"/>
    </w:p>
    <w:p>
      <w:pPr>
        <w:rPr>
          <w:sz w:val="16"/>
          <w:szCs w:val="16"/>
        </w:rPr>
      </w:pPr>
      <w:r>
        <w:rPr>
          <w:rFonts w:hint="eastAsia"/>
          <w:sz w:val="16"/>
          <w:szCs w:val="16"/>
        </w:rPr>
        <w:t>注：</w:t>
      </w:r>
      <w:bookmarkStart w:id="184" w:name="声功能区2"/>
      <w:r>
        <w:rPr>
          <w:rFonts w:hint="eastAsia"/>
        </w:rPr>
        <w:t>本建筑位于0类、1类声环境功能区。</w:t>
      </w:r>
      <w:bookmarkEnd w:id="184"/>
    </w:p>
    <w:p>
      <w:r>
        <w:br w:type="page"/>
      </w:r>
    </w:p>
    <w:p>
      <w:pPr>
        <w:pStyle w:val="75"/>
      </w:pPr>
      <w:r>
        <w:t xml:space="preserve">附录 </w:t>
      </w:r>
      <w:r>
        <w:fldChar w:fldCharType="begin"/>
      </w:r>
      <w:r>
        <w:instrText xml:space="preserve"> SEQ 附录 \* ARABIC </w:instrText>
      </w:r>
      <w:r>
        <w:fldChar w:fldCharType="separate"/>
      </w:r>
      <w:r>
        <w:t>3</w:t>
      </w:r>
      <w:r>
        <w:fldChar w:fldCharType="end"/>
      </w:r>
      <w:bookmarkStart w:id="185" w:name="_Toc4700"/>
      <w:r>
        <w:tab/>
      </w:r>
      <w:r>
        <w:rPr>
          <w:rFonts w:hint="eastAsia"/>
        </w:rPr>
        <w:t>建筑内部设备对主要功能房间噪声影响分析表</w:t>
      </w:r>
      <w:bookmarkEnd w:id="185"/>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噪声源(dB)</w:t>
            </w:r>
          </w:p>
        </w:tc>
        <w:tc>
          <w:tcPr>
            <w:shd w:val="clear" w:color="auto" w:fill="E6E6E6"/>
            <w:vAlign w:val="center"/>
          </w:tcPr>
          <w:p>
            <w:pPr>
              <w:jc w:val="center"/>
            </w:pPr>
            <w:r>
              <w:t>噪声值(dB)</w:t>
            </w:r>
          </w:p>
        </w:tc>
        <w:tc>
          <w:tcPr>
            <w:shd w:val="clear" w:color="auto" w:fill="E6E6E6"/>
            <w:vAlign w:val="center"/>
          </w:tcPr>
          <w:p>
            <w:pPr>
              <w:jc w:val="center"/>
            </w:pPr>
            <w:r>
              <w:t>限值(dB)</w:t>
            </w:r>
          </w:p>
        </w:tc>
        <w:tc>
          <w:tcPr>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会议室[1001]</w:t>
            </w:r>
          </w:p>
        </w:tc>
        <w:tc>
          <w:tcPr>
            <w:vAlign w:val="center"/>
          </w:tcPr>
          <w:p>
            <w:r>
              <w:t>教学医疗办公会议</w:t>
            </w:r>
          </w:p>
        </w:tc>
        <w:tc>
          <w:tcPr>
            <w:vAlign w:val="center"/>
          </w:tcPr>
          <w:p>
            <w:r>
              <w:t>[相邻] [1224](Lp1=38,38; Rw=50);</w:t>
            </w:r>
            <w:r>
              <w:br w:type="textWrapping"/>
            </w:r>
            <w:r>
              <w:t>[相邻] [1213](Lp1=38,38;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教师办公室[1054]</w:t>
            </w:r>
          </w:p>
        </w:tc>
        <w:tc>
          <w:tcPr>
            <w:vAlign w:val="center"/>
          </w:tcPr>
          <w:p>
            <w:r>
              <w:t>教学医疗办公会议</w:t>
            </w:r>
          </w:p>
        </w:tc>
        <w:tc>
          <w:tcPr>
            <w:vAlign w:val="center"/>
          </w:tcPr>
          <w:p>
            <w:r>
              <w:t>[相邻] [1223](Lp1=38,38;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教师办公室[1078]</w:t>
            </w:r>
          </w:p>
        </w:tc>
        <w:tc>
          <w:tcPr>
            <w:vAlign w:val="center"/>
          </w:tcPr>
          <w:p>
            <w:r>
              <w:t>教学医疗办公会议</w:t>
            </w:r>
          </w:p>
        </w:tc>
        <w:tc>
          <w:tcPr>
            <w:vAlign w:val="center"/>
          </w:tcPr>
          <w:p>
            <w:r>
              <w:t>[相邻] [1130](Lp1=35,35;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普通教室[1017]</w:t>
            </w:r>
          </w:p>
        </w:tc>
        <w:tc>
          <w:tcPr>
            <w:vAlign w:val="center"/>
          </w:tcPr>
          <w:p>
            <w:r>
              <w:t>教学医疗办公会议</w:t>
            </w:r>
          </w:p>
        </w:tc>
        <w:tc>
          <w:tcPr>
            <w:vAlign w:val="center"/>
          </w:tcPr>
          <w:p>
            <w:r>
              <w:t>[相邻] [1180](Lp1=38,38;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普通教室[1043]</w:t>
            </w:r>
          </w:p>
        </w:tc>
        <w:tc>
          <w:tcPr>
            <w:vAlign w:val="center"/>
          </w:tcPr>
          <w:p>
            <w:r>
              <w:t>教学医疗办公会议</w:t>
            </w:r>
          </w:p>
        </w:tc>
        <w:tc>
          <w:tcPr>
            <w:vAlign w:val="center"/>
          </w:tcPr>
          <w:p>
            <w:r>
              <w:t>[相邻] [1187](Lp1=38,38;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普通教室[1044]</w:t>
            </w:r>
          </w:p>
        </w:tc>
        <w:tc>
          <w:tcPr>
            <w:vAlign w:val="center"/>
          </w:tcPr>
          <w:p>
            <w:r>
              <w:t>教学医疗办公会议</w:t>
            </w:r>
          </w:p>
        </w:tc>
        <w:tc>
          <w:tcPr>
            <w:vAlign w:val="center"/>
          </w:tcPr>
          <w:p>
            <w:r>
              <w:t>[相邻] [1186](Lp1=38,38;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普通教室[1045]</w:t>
            </w:r>
          </w:p>
        </w:tc>
        <w:tc>
          <w:tcPr>
            <w:vAlign w:val="center"/>
          </w:tcPr>
          <w:p>
            <w:r>
              <w:t>教学医疗办公会议</w:t>
            </w:r>
          </w:p>
        </w:tc>
        <w:tc>
          <w:tcPr>
            <w:vAlign w:val="center"/>
          </w:tcPr>
          <w:p>
            <w:r>
              <w:t>[相邻] [1215](Lp1=38,38;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普通教室[1047]</w:t>
            </w:r>
          </w:p>
        </w:tc>
        <w:tc>
          <w:tcPr>
            <w:vAlign w:val="center"/>
          </w:tcPr>
          <w:p>
            <w:r>
              <w:t>教学医疗办公会议</w:t>
            </w:r>
          </w:p>
        </w:tc>
        <w:tc>
          <w:tcPr>
            <w:vAlign w:val="center"/>
          </w:tcPr>
          <w:p>
            <w:r>
              <w:t>[相邻] [1185](Lp1=38,38;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普通教室[1060]</w:t>
            </w:r>
          </w:p>
        </w:tc>
        <w:tc>
          <w:tcPr>
            <w:vAlign w:val="center"/>
          </w:tcPr>
          <w:p>
            <w:r>
              <w:t>教学医疗办公会议</w:t>
            </w:r>
          </w:p>
        </w:tc>
        <w:tc>
          <w:tcPr>
            <w:vAlign w:val="center"/>
          </w:tcPr>
          <w:p>
            <w:r>
              <w:t>[相邻] [1219](Lp1=38,38;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Align w:val="center"/>
          </w:tcPr>
          <w:p>
            <w:r>
              <w:t>教师办公室[2039]</w:t>
            </w:r>
          </w:p>
        </w:tc>
        <w:tc>
          <w:tcPr>
            <w:vAlign w:val="center"/>
          </w:tcPr>
          <w:p>
            <w:r>
              <w:t>教学医疗办公会议</w:t>
            </w:r>
          </w:p>
        </w:tc>
        <w:tc>
          <w:tcPr>
            <w:vAlign w:val="center"/>
          </w:tcPr>
          <w:p>
            <w:r>
              <w:t>[相邻] [2214](Lp1=38,38;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教师办公室[2077]</w:t>
            </w:r>
          </w:p>
        </w:tc>
        <w:tc>
          <w:tcPr>
            <w:vAlign w:val="center"/>
          </w:tcPr>
          <w:p>
            <w:r>
              <w:t>教学医疗办公会议</w:t>
            </w:r>
          </w:p>
        </w:tc>
        <w:tc>
          <w:tcPr>
            <w:vAlign w:val="center"/>
          </w:tcPr>
          <w:p>
            <w:r>
              <w:t>[相邻] [2129](Lp1=35,35;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美术教室[2007]</w:t>
            </w:r>
          </w:p>
        </w:tc>
        <w:tc>
          <w:tcPr>
            <w:vAlign w:val="center"/>
          </w:tcPr>
          <w:p>
            <w:r>
              <w:t>教学医疗办公会议</w:t>
            </w:r>
          </w:p>
        </w:tc>
        <w:tc>
          <w:tcPr>
            <w:vAlign w:val="center"/>
          </w:tcPr>
          <w:p>
            <w:r>
              <w:t>[相邻] [2170](Lp1=37,37;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普通教室[2021]</w:t>
            </w:r>
          </w:p>
        </w:tc>
        <w:tc>
          <w:tcPr>
            <w:vAlign w:val="center"/>
          </w:tcPr>
          <w:p>
            <w:r>
              <w:t>教学医疗办公会议</w:t>
            </w:r>
          </w:p>
        </w:tc>
        <w:tc>
          <w:tcPr>
            <w:vAlign w:val="center"/>
          </w:tcPr>
          <w:p>
            <w:r>
              <w:t>[相邻] [2181](Lp1=37,37;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普通教室[2037]</w:t>
            </w:r>
          </w:p>
        </w:tc>
        <w:tc>
          <w:tcPr>
            <w:vAlign w:val="center"/>
          </w:tcPr>
          <w:p>
            <w:r>
              <w:t>教学医疗办公会议</w:t>
            </w:r>
          </w:p>
        </w:tc>
        <w:tc>
          <w:tcPr>
            <w:vAlign w:val="center"/>
          </w:tcPr>
          <w:p>
            <w:r>
              <w:t>[相邻] [2190](Lp1=38,38;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普通教室[2040]</w:t>
            </w:r>
          </w:p>
        </w:tc>
        <w:tc>
          <w:tcPr>
            <w:vAlign w:val="center"/>
          </w:tcPr>
          <w:p>
            <w:r>
              <w:t>教学医疗办公会议</w:t>
            </w:r>
          </w:p>
        </w:tc>
        <w:tc>
          <w:tcPr>
            <w:vAlign w:val="center"/>
          </w:tcPr>
          <w:p>
            <w:r>
              <w:t>[相邻] [2189](Lp1=38,38;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普通教室[2041]</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普通教室[2042]</w:t>
            </w:r>
          </w:p>
        </w:tc>
        <w:tc>
          <w:tcPr>
            <w:vAlign w:val="center"/>
          </w:tcPr>
          <w:p>
            <w:r>
              <w:t>教学医疗办公会议</w:t>
            </w:r>
          </w:p>
        </w:tc>
        <w:tc>
          <w:tcPr>
            <w:vAlign w:val="center"/>
          </w:tcPr>
          <w:p>
            <w:r>
              <w:t>[相邻] [2188](Lp1=38,38;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普通教室[2073]</w:t>
            </w:r>
          </w:p>
        </w:tc>
        <w:tc>
          <w:tcPr>
            <w:vAlign w:val="center"/>
          </w:tcPr>
          <w:p>
            <w:r>
              <w:t>教学医疗办公会议</w:t>
            </w:r>
          </w:p>
        </w:tc>
        <w:tc>
          <w:tcPr>
            <w:vAlign w:val="center"/>
          </w:tcPr>
          <w:p>
            <w:r>
              <w:t>[相邻] [2199](Lp1=38,38;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教师办公室[3066]</w:t>
            </w:r>
          </w:p>
        </w:tc>
        <w:tc>
          <w:tcPr>
            <w:vAlign w:val="center"/>
          </w:tcPr>
          <w:p>
            <w:r>
              <w:t>教学医疗办公会议</w:t>
            </w:r>
          </w:p>
        </w:tc>
        <w:tc>
          <w:tcPr>
            <w:vAlign w:val="center"/>
          </w:tcPr>
          <w:p>
            <w:r>
              <w:t>[相邻] [3222](Lp1=38,38;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教师办公室[3076]</w:t>
            </w:r>
          </w:p>
        </w:tc>
        <w:tc>
          <w:tcPr>
            <w:vAlign w:val="center"/>
          </w:tcPr>
          <w:p>
            <w:r>
              <w:t>教学医疗办公会议</w:t>
            </w:r>
          </w:p>
        </w:tc>
        <w:tc>
          <w:tcPr>
            <w:vAlign w:val="center"/>
          </w:tcPr>
          <w:p>
            <w:r>
              <w:t>[相邻] [3148](Lp1=36,36;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普通教室[3018]</w:t>
            </w:r>
          </w:p>
        </w:tc>
        <w:tc>
          <w:tcPr>
            <w:vAlign w:val="center"/>
          </w:tcPr>
          <w:p>
            <w:r>
              <w:t>教学医疗办公会议</w:t>
            </w:r>
          </w:p>
        </w:tc>
        <w:tc>
          <w:tcPr>
            <w:vAlign w:val="center"/>
          </w:tcPr>
          <w:p>
            <w:r>
              <w:t>[相邻] [3184](Lp1=38,38;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普通教室[3022]</w:t>
            </w:r>
          </w:p>
        </w:tc>
        <w:tc>
          <w:tcPr>
            <w:vAlign w:val="center"/>
          </w:tcPr>
          <w:p>
            <w:r>
              <w:t>教学医疗办公会议</w:t>
            </w:r>
          </w:p>
        </w:tc>
        <w:tc>
          <w:tcPr>
            <w:vAlign w:val="center"/>
          </w:tcPr>
          <w:p>
            <w:r>
              <w:t>[相邻] [3194](Lp1=38,38;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普通教室[3030]</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普通教室[3031]</w:t>
            </w:r>
          </w:p>
        </w:tc>
        <w:tc>
          <w:tcPr>
            <w:vAlign w:val="center"/>
          </w:tcPr>
          <w:p>
            <w:r>
              <w:t>教学医疗办公会议</w:t>
            </w:r>
          </w:p>
        </w:tc>
        <w:tc>
          <w:tcPr>
            <w:vAlign w:val="center"/>
          </w:tcPr>
          <w:p>
            <w:r>
              <w:t>[相邻] [3238](Lp1=38,38;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普通教室[3065]</w:t>
            </w:r>
          </w:p>
        </w:tc>
        <w:tc>
          <w:tcPr>
            <w:vAlign w:val="center"/>
          </w:tcPr>
          <w:p>
            <w:r>
              <w:t>教学医疗办公会议</w:t>
            </w:r>
          </w:p>
        </w:tc>
        <w:tc>
          <w:tcPr>
            <w:vAlign w:val="center"/>
          </w:tcPr>
          <w:p>
            <w:r>
              <w:t>[相邻] [3210](Lp1=38,38;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普通教室[3068]</w:t>
            </w:r>
          </w:p>
        </w:tc>
        <w:tc>
          <w:tcPr>
            <w:vAlign w:val="center"/>
          </w:tcPr>
          <w:p>
            <w:r>
              <w:t>教学医疗办公会议</w:t>
            </w:r>
          </w:p>
        </w:tc>
        <w:tc>
          <w:tcPr>
            <w:vAlign w:val="center"/>
          </w:tcPr>
          <w:p>
            <w:r>
              <w:t>[相邻] [3208](Lp1=38,38;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教师办公室[4035]</w:t>
            </w:r>
          </w:p>
        </w:tc>
        <w:tc>
          <w:tcPr>
            <w:vAlign w:val="center"/>
          </w:tcPr>
          <w:p>
            <w:r>
              <w:t>教学医疗办公会议</w:t>
            </w:r>
          </w:p>
        </w:tc>
        <w:tc>
          <w:tcPr>
            <w:vAlign w:val="center"/>
          </w:tcPr>
          <w:p>
            <w:r>
              <w:t>[相邻] [4233](Lp1=38,38;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教师办公室[4074]</w:t>
            </w:r>
          </w:p>
        </w:tc>
        <w:tc>
          <w:tcPr>
            <w:vAlign w:val="center"/>
          </w:tcPr>
          <w:p>
            <w:r>
              <w:t>教学医疗办公会议</w:t>
            </w:r>
          </w:p>
        </w:tc>
        <w:tc>
          <w:tcPr>
            <w:vAlign w:val="center"/>
          </w:tcPr>
          <w:p>
            <w:r>
              <w:t>[相邻] [4146](Lp1=36,36;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普通教室[4019]</w:t>
            </w:r>
          </w:p>
        </w:tc>
        <w:tc>
          <w:tcPr>
            <w:vAlign w:val="center"/>
          </w:tcPr>
          <w:p>
            <w:r>
              <w:t>教学医疗办公会议</w:t>
            </w:r>
          </w:p>
        </w:tc>
        <w:tc>
          <w:tcPr>
            <w:vAlign w:val="center"/>
          </w:tcPr>
          <w:p>
            <w:r>
              <w:t>[相邻] [4183](Lp1=38,38;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普通教室[4023]</w:t>
            </w:r>
          </w:p>
        </w:tc>
        <w:tc>
          <w:tcPr>
            <w:vAlign w:val="center"/>
          </w:tcPr>
          <w:p>
            <w:r>
              <w:t>教学医疗办公会议</w:t>
            </w:r>
          </w:p>
        </w:tc>
        <w:tc>
          <w:tcPr>
            <w:vAlign w:val="center"/>
          </w:tcPr>
          <w:p>
            <w:r>
              <w:t>[相邻] [4234](Lp1=38,38;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普通教室[4034]</w:t>
            </w:r>
          </w:p>
        </w:tc>
        <w:tc>
          <w:tcPr>
            <w:vAlign w:val="center"/>
          </w:tcPr>
          <w:p>
            <w:r>
              <w:t>教学医疗办公会议</w:t>
            </w:r>
          </w:p>
        </w:tc>
        <w:tc>
          <w:tcPr>
            <w:vAlign w:val="center"/>
          </w:tcPr>
          <w:p>
            <w:r>
              <w:t>[相邻] [4192](Lp1=38,38;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普通教室[4063]</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普通教室[4069]</w:t>
            </w:r>
          </w:p>
        </w:tc>
        <w:tc>
          <w:tcPr>
            <w:vAlign w:val="center"/>
          </w:tcPr>
          <w:p>
            <w:r>
              <w:t>教学医疗办公会议</w:t>
            </w:r>
          </w:p>
        </w:tc>
        <w:tc>
          <w:tcPr>
            <w:vAlign w:val="center"/>
          </w:tcPr>
          <w:p>
            <w:r>
              <w:t>[相邻] [4203](Lp1=38,38;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普通教室[4070]</w:t>
            </w:r>
          </w:p>
        </w:tc>
        <w:tc>
          <w:tcPr>
            <w:vAlign w:val="center"/>
          </w:tcPr>
          <w:p>
            <w:r>
              <w:t>教学医疗办公会议</w:t>
            </w:r>
          </w:p>
        </w:tc>
        <w:tc>
          <w:tcPr>
            <w:vAlign w:val="center"/>
          </w:tcPr>
          <w:p>
            <w:r>
              <w:t>[相邻] [4206](Lp1=38,38;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教师办公室[5046]</w:t>
            </w:r>
          </w:p>
        </w:tc>
        <w:tc>
          <w:tcPr>
            <w:vAlign w:val="center"/>
          </w:tcPr>
          <w:p>
            <w:r>
              <w:t>教学医疗办公会议</w:t>
            </w:r>
          </w:p>
        </w:tc>
        <w:tc>
          <w:tcPr>
            <w:vAlign w:val="center"/>
          </w:tcPr>
          <w:p>
            <w:r>
              <w:t>[相邻] [5229](Lp1=38,38;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教师办公室[5075]</w:t>
            </w:r>
          </w:p>
        </w:tc>
        <w:tc>
          <w:tcPr>
            <w:vAlign w:val="center"/>
          </w:tcPr>
          <w:p>
            <w:r>
              <w:t>教学医疗办公会议</w:t>
            </w:r>
          </w:p>
        </w:tc>
        <w:tc>
          <w:tcPr>
            <w:vAlign w:val="center"/>
          </w:tcPr>
          <w:p>
            <w:r>
              <w:t>[相邻] [5147](Lp1=35,35;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普通教室[5020]</w:t>
            </w:r>
          </w:p>
        </w:tc>
        <w:tc>
          <w:tcPr>
            <w:vAlign w:val="center"/>
          </w:tcPr>
          <w:p>
            <w:r>
              <w:t>教学医疗办公会议</w:t>
            </w:r>
          </w:p>
        </w:tc>
        <w:tc>
          <w:tcPr>
            <w:vAlign w:val="center"/>
          </w:tcPr>
          <w:p>
            <w:r>
              <w:t>[相邻] [5182](Lp1=38,38;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普通教室[5024]</w:t>
            </w:r>
          </w:p>
        </w:tc>
        <w:tc>
          <w:tcPr>
            <w:vAlign w:val="center"/>
          </w:tcPr>
          <w:p>
            <w:r>
              <w:t>教学医疗办公会议</w:t>
            </w:r>
          </w:p>
        </w:tc>
        <w:tc>
          <w:tcPr>
            <w:vAlign w:val="center"/>
          </w:tcPr>
          <w:p>
            <w:r>
              <w:t>[相邻] [5235](Lp1=38,38;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普通教室[5032]</w:t>
            </w:r>
          </w:p>
        </w:tc>
        <w:tc>
          <w:tcPr>
            <w:vAlign w:val="center"/>
          </w:tcPr>
          <w:p>
            <w:r>
              <w:t>教学医疗办公会议</w:t>
            </w:r>
          </w:p>
        </w:tc>
        <w:tc>
          <w:tcPr>
            <w:vAlign w:val="center"/>
          </w:tcPr>
          <w:p>
            <w:r>
              <w:t>[相邻] [5232](Lp1=38,38;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普通教室[5053]</w:t>
            </w:r>
          </w:p>
        </w:tc>
        <w:tc>
          <w:tcPr>
            <w:vAlign w:val="center"/>
          </w:tcPr>
          <w:p>
            <w:r>
              <w:t>教学医疗办公会议</w:t>
            </w:r>
          </w:p>
        </w:tc>
        <w:tc>
          <w:tcPr>
            <w:vAlign w:val="center"/>
          </w:tcPr>
          <w:p>
            <w:r>
              <w:t>--</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普通教室[5067]</w:t>
            </w:r>
          </w:p>
        </w:tc>
        <w:tc>
          <w:tcPr>
            <w:vAlign w:val="center"/>
          </w:tcPr>
          <w:p>
            <w:r>
              <w:t>教学医疗办公会议</w:t>
            </w:r>
          </w:p>
        </w:tc>
        <w:tc>
          <w:tcPr>
            <w:vAlign w:val="center"/>
          </w:tcPr>
          <w:p>
            <w:r>
              <w:t>[相邻] [5193](Lp1=38,38;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普通教室[5071]</w:t>
            </w:r>
          </w:p>
        </w:tc>
        <w:tc>
          <w:tcPr>
            <w:vAlign w:val="center"/>
          </w:tcPr>
          <w:p>
            <w:r>
              <w:t>教学医疗办公会议</w:t>
            </w:r>
          </w:p>
        </w:tc>
        <w:tc>
          <w:tcPr>
            <w:vAlign w:val="center"/>
          </w:tcPr>
          <w:p>
            <w:r>
              <w:t>[相邻] [5204](Lp1=38,38; Rw=50)</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bl>
    <w:p>
      <w:pPr>
        <w:spacing w:before="156" w:beforeLines="50" w:after="312" w:afterLines="100"/>
      </w:pPr>
      <w:bookmarkStart w:id="186" w:name="建筑设备室内噪声级附录表"/>
      <w:bookmarkEnd w:id="186"/>
    </w:p>
    <w:p>
      <w:pPr>
        <w:spacing w:before="156" w:beforeLines="50" w:after="312" w:afterLines="100"/>
      </w:pPr>
      <w:r>
        <w:rPr>
          <w:rFonts w:hint="eastAsia"/>
        </w:rPr>
        <w:t>注：仅输出受建筑物内部设备噪声影响的房间。</w:t>
      </w:r>
    </w:p>
    <w:p>
      <w:pPr>
        <w:snapToGrid/>
        <w:rPr>
          <w:rFonts w:cstheme="majorBidi"/>
          <w:b/>
          <w:sz w:val="28"/>
          <w:szCs w:val="28"/>
        </w:rPr>
      </w:pPr>
      <w:r>
        <w:rPr>
          <w:b/>
          <w:sz w:val="28"/>
          <w:szCs w:val="28"/>
        </w:rPr>
        <w:br w:type="page"/>
      </w:r>
    </w:p>
    <w:p>
      <w:pPr>
        <w:pStyle w:val="75"/>
      </w:pPr>
      <w:r>
        <w:t xml:space="preserve">附录 </w:t>
      </w:r>
      <w:r>
        <w:fldChar w:fldCharType="begin"/>
      </w:r>
      <w:r>
        <w:instrText xml:space="preserve"> SEQ 附录 \* ARABIC </w:instrText>
      </w:r>
      <w:r>
        <w:fldChar w:fldCharType="separate"/>
      </w:r>
      <w:r>
        <w:t>4</w:t>
      </w:r>
      <w:r>
        <w:fldChar w:fldCharType="end"/>
      </w:r>
      <w:bookmarkStart w:id="187" w:name="_Toc29201"/>
      <w:r>
        <w:tab/>
      </w:r>
      <w:r>
        <w:rPr>
          <w:rFonts w:hint="eastAsia"/>
        </w:rPr>
        <w:t>主要功能房间构件隔声性能表</w:t>
      </w:r>
      <w:bookmarkEnd w:id="18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构件</w:t>
            </w:r>
          </w:p>
        </w:tc>
        <w:tc>
          <w:tcPr>
            <w:shd w:val="clear" w:color="auto" w:fill="E6E6E6"/>
            <w:vAlign w:val="center"/>
          </w:tcPr>
          <w:p>
            <w:pPr>
              <w:jc w:val="center"/>
            </w:pPr>
            <w:r>
              <w:t>计权标准化</w:t>
            </w:r>
            <w:r>
              <w:br w:type="textWrapping"/>
            </w:r>
            <w:r>
              <w:t>声压级差(dB)</w:t>
            </w:r>
          </w:p>
        </w:tc>
        <w:tc>
          <w:tcPr>
            <w:shd w:val="clear" w:color="auto" w:fill="E6E6E6"/>
            <w:vAlign w:val="center"/>
          </w:tcPr>
          <w:p>
            <w:pPr>
              <w:jc w:val="center"/>
            </w:pPr>
            <w:r>
              <w:t>频谱修正量</w:t>
            </w:r>
            <w:r>
              <w:br w:type="textWrapping"/>
            </w:r>
            <w:r>
              <w:t>(dB)</w:t>
            </w:r>
          </w:p>
        </w:tc>
        <w:tc>
          <w:tcPr>
            <w:shd w:val="clear" w:color="auto" w:fill="E6E6E6"/>
            <w:vAlign w:val="center"/>
          </w:tcPr>
          <w:p>
            <w:pPr>
              <w:jc w:val="center"/>
            </w:pPr>
            <w:r>
              <w:t>空气声隔声性能</w:t>
            </w:r>
            <w:r>
              <w:br w:type="textWrapping"/>
            </w:r>
            <w:r>
              <w:t>(dB)</w:t>
            </w:r>
          </w:p>
        </w:tc>
        <w:tc>
          <w:tcPr>
            <w:shd w:val="clear" w:color="auto" w:fill="E6E6E6"/>
            <w:vAlign w:val="center"/>
          </w:tcPr>
          <w:p>
            <w:pPr>
              <w:jc w:val="center"/>
            </w:pPr>
            <w:r>
              <w:t>得分</w:t>
            </w:r>
          </w:p>
        </w:tc>
        <w:tc>
          <w:tcPr>
            <w:shd w:val="clear" w:color="auto" w:fill="E6E6E6"/>
            <w:vAlign w:val="center"/>
          </w:tcPr>
          <w:p>
            <w:pPr>
              <w:jc w:val="center"/>
            </w:pPr>
            <w:r>
              <w:t>撞击声隔声性能</w:t>
            </w:r>
            <w:r>
              <w:br w:type="textWrapping"/>
            </w:r>
            <w:r>
              <w:t>(dB)</w:t>
            </w:r>
          </w:p>
        </w:tc>
        <w:tc>
          <w:tcPr>
            <w:shd w:val="clear" w:color="auto" w:fill="E6E6E6"/>
            <w:vAlign w:val="center"/>
          </w:tcPr>
          <w:p>
            <w:pPr>
              <w:jc w:val="center"/>
            </w:pPr>
            <w: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会议室[1001]</w:t>
            </w:r>
          </w:p>
        </w:tc>
        <w:tc>
          <w:tcPr>
            <w:vAlign w:val="center"/>
          </w:tcPr>
          <w:p>
            <w:r>
              <w:t>会议室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教师办公室[1054]</w:t>
            </w:r>
          </w:p>
        </w:tc>
        <w:tc>
          <w:tcPr>
            <w:vAlign w:val="center"/>
          </w:tcPr>
          <w:p>
            <w:r>
              <w:t>教师办公室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教师办公室[1078]</w:t>
            </w:r>
          </w:p>
        </w:tc>
        <w:tc>
          <w:tcPr>
            <w:vAlign w:val="center"/>
          </w:tcPr>
          <w:p>
            <w:r>
              <w:t>教师办公室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普通教室[1017]</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普通教室[1043]</w:t>
            </w:r>
          </w:p>
        </w:tc>
        <w:tc>
          <w:tcPr>
            <w:vMerge w:val="restart"/>
            <w:vAlign w:val="center"/>
          </w:tcPr>
          <w:p>
            <w:r>
              <w:t>普通教室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普通教室[1044]</w:t>
            </w:r>
          </w:p>
        </w:tc>
        <w:tc>
          <w:tcPr>
            <w:vMerge w:val="restart"/>
            <w:vAlign w:val="center"/>
          </w:tcPr>
          <w:p>
            <w:r>
              <w:t>普通教室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普通教室[1045]</w:t>
            </w:r>
          </w:p>
        </w:tc>
        <w:tc>
          <w:tcPr>
            <w:vMerge w:val="restart"/>
            <w:vAlign w:val="center"/>
          </w:tcPr>
          <w:p>
            <w:r>
              <w:t>普通教室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普通教室[1047]</w:t>
            </w:r>
          </w:p>
        </w:tc>
        <w:tc>
          <w:tcPr>
            <w:vMerge w:val="restart"/>
            <w:vAlign w:val="center"/>
          </w:tcPr>
          <w:p>
            <w:r>
              <w:t>普通教室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普通教室[1060]</w:t>
            </w:r>
          </w:p>
        </w:tc>
        <w:tc>
          <w:tcPr>
            <w:vMerge w:val="restart"/>
            <w:vAlign w:val="center"/>
          </w:tcPr>
          <w:p>
            <w:r>
              <w:t>普通教室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Align w:val="center"/>
          </w:tcPr>
          <w:p>
            <w:r>
              <w:t>教师办公室[2039]</w:t>
            </w:r>
          </w:p>
        </w:tc>
        <w:tc>
          <w:tcPr>
            <w:vAlign w:val="center"/>
          </w:tcPr>
          <w:p>
            <w:r>
              <w:t>教师办公室</w:t>
            </w:r>
          </w:p>
        </w:tc>
        <w:tc>
          <w:tcPr>
            <w:vAlign w:val="center"/>
          </w:tcPr>
          <w:p>
            <w:r>
              <w:t>外墙</w:t>
            </w:r>
          </w:p>
        </w:tc>
        <w:tc>
          <w:tcPr>
            <w:vAlign w:val="center"/>
          </w:tcPr>
          <w:p>
            <w:r>
              <w:t>D2mntw= 39</w:t>
            </w:r>
          </w:p>
        </w:tc>
        <w:tc>
          <w:tcPr>
            <w:vAlign w:val="center"/>
          </w:tcPr>
          <w:p>
            <w:r>
              <w:t>Ctr= -4</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教师办公室[2077]</w:t>
            </w:r>
          </w:p>
        </w:tc>
        <w:tc>
          <w:tcPr>
            <w:vAlign w:val="center"/>
          </w:tcPr>
          <w:p>
            <w:r>
              <w:t>教师办公室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美术教室[2007]</w:t>
            </w:r>
          </w:p>
        </w:tc>
        <w:tc>
          <w:tcPr>
            <w:vAlign w:val="center"/>
          </w:tcPr>
          <w:p>
            <w:r>
              <w:t>普通教室</w:t>
            </w:r>
          </w:p>
        </w:tc>
        <w:tc>
          <w:tcPr>
            <w:vAlign w:val="center"/>
          </w:tcPr>
          <w:p>
            <w:r>
              <w:t>外墙</w:t>
            </w:r>
          </w:p>
        </w:tc>
        <w:tc>
          <w:tcPr>
            <w:vAlign w:val="center"/>
          </w:tcPr>
          <w:p>
            <w:r>
              <w:t>D2mntw= 39</w:t>
            </w:r>
          </w:p>
        </w:tc>
        <w:tc>
          <w:tcPr>
            <w:vAlign w:val="center"/>
          </w:tcPr>
          <w:p>
            <w:r>
              <w:t>Ctr= -4</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普通教室[2021]</w:t>
            </w:r>
          </w:p>
        </w:tc>
        <w:tc>
          <w:tcPr>
            <w:vMerge w:val="restart"/>
            <w:vAlign w:val="center"/>
          </w:tcPr>
          <w:p>
            <w:r>
              <w:t>普通教室</w:t>
            </w:r>
          </w:p>
        </w:tc>
        <w:tc>
          <w:tcPr>
            <w:vAlign w:val="center"/>
          </w:tcPr>
          <w:p>
            <w:r>
              <w:t>外墙</w:t>
            </w:r>
          </w:p>
        </w:tc>
        <w:tc>
          <w:tcPr>
            <w:vAlign w:val="center"/>
          </w:tcPr>
          <w:p>
            <w:r>
              <w:t>D2mntw= 39</w:t>
            </w:r>
          </w:p>
        </w:tc>
        <w:tc>
          <w:tcPr>
            <w:vAlign w:val="center"/>
          </w:tcPr>
          <w:p>
            <w:r>
              <w:t>Ctr= -4</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普通教室[2037]</w:t>
            </w:r>
          </w:p>
        </w:tc>
        <w:tc>
          <w:tcPr>
            <w:vMerge w:val="restart"/>
            <w:vAlign w:val="center"/>
          </w:tcPr>
          <w:p>
            <w:r>
              <w:t>普通教室</w:t>
            </w:r>
          </w:p>
        </w:tc>
        <w:tc>
          <w:tcPr>
            <w:vAlign w:val="center"/>
          </w:tcPr>
          <w:p>
            <w:r>
              <w:t>外墙</w:t>
            </w:r>
          </w:p>
        </w:tc>
        <w:tc>
          <w:tcPr>
            <w:vAlign w:val="center"/>
          </w:tcPr>
          <w:p>
            <w:r>
              <w:t>D2mntw= 39</w:t>
            </w:r>
          </w:p>
        </w:tc>
        <w:tc>
          <w:tcPr>
            <w:vAlign w:val="center"/>
          </w:tcPr>
          <w:p>
            <w:r>
              <w:t>Ctr= -4</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普通教室[2040]</w:t>
            </w:r>
          </w:p>
        </w:tc>
        <w:tc>
          <w:tcPr>
            <w:vMerge w:val="restart"/>
            <w:vAlign w:val="center"/>
          </w:tcPr>
          <w:p>
            <w:r>
              <w:t>普通教室</w:t>
            </w:r>
          </w:p>
        </w:tc>
        <w:tc>
          <w:tcPr>
            <w:vAlign w:val="center"/>
          </w:tcPr>
          <w:p>
            <w:r>
              <w:t>外墙</w:t>
            </w:r>
          </w:p>
        </w:tc>
        <w:tc>
          <w:tcPr>
            <w:vAlign w:val="center"/>
          </w:tcPr>
          <w:p>
            <w:r>
              <w:t>D2mntw= 39</w:t>
            </w:r>
          </w:p>
        </w:tc>
        <w:tc>
          <w:tcPr>
            <w:vAlign w:val="center"/>
          </w:tcPr>
          <w:p>
            <w:r>
              <w:t>Ctr= -4</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普通教室[2041]</w:t>
            </w:r>
          </w:p>
        </w:tc>
        <w:tc>
          <w:tcPr>
            <w:vMerge w:val="restart"/>
            <w:vAlign w:val="center"/>
          </w:tcPr>
          <w:p>
            <w:r>
              <w:t>普通教室</w:t>
            </w:r>
          </w:p>
        </w:tc>
        <w:tc>
          <w:tcPr>
            <w:vAlign w:val="center"/>
          </w:tcPr>
          <w:p>
            <w:r>
              <w:t>外墙</w:t>
            </w:r>
          </w:p>
        </w:tc>
        <w:tc>
          <w:tcPr>
            <w:vAlign w:val="center"/>
          </w:tcPr>
          <w:p>
            <w:r>
              <w:t>D2mntw= 39</w:t>
            </w:r>
          </w:p>
        </w:tc>
        <w:tc>
          <w:tcPr>
            <w:vAlign w:val="center"/>
          </w:tcPr>
          <w:p>
            <w:r>
              <w:t>Ctr= -4</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普通教室[2042]</w:t>
            </w:r>
          </w:p>
        </w:tc>
        <w:tc>
          <w:tcPr>
            <w:vMerge w:val="restart"/>
            <w:vAlign w:val="center"/>
          </w:tcPr>
          <w:p>
            <w:r>
              <w:t>普通教室</w:t>
            </w:r>
          </w:p>
        </w:tc>
        <w:tc>
          <w:tcPr>
            <w:vAlign w:val="center"/>
          </w:tcPr>
          <w:p>
            <w:r>
              <w:t>外墙</w:t>
            </w:r>
          </w:p>
        </w:tc>
        <w:tc>
          <w:tcPr>
            <w:vAlign w:val="center"/>
          </w:tcPr>
          <w:p>
            <w:r>
              <w:t>D2mntw= 39</w:t>
            </w:r>
          </w:p>
        </w:tc>
        <w:tc>
          <w:tcPr>
            <w:vAlign w:val="center"/>
          </w:tcPr>
          <w:p>
            <w:r>
              <w:t>Ctr= -4</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普通教室[2073]</w:t>
            </w:r>
          </w:p>
        </w:tc>
        <w:tc>
          <w:tcPr>
            <w:vMerge w:val="restart"/>
            <w:vAlign w:val="center"/>
          </w:tcPr>
          <w:p>
            <w:r>
              <w:t>普通教室</w:t>
            </w:r>
          </w:p>
        </w:tc>
        <w:tc>
          <w:tcPr>
            <w:vAlign w:val="center"/>
          </w:tcPr>
          <w:p>
            <w:r>
              <w:t>外墙</w:t>
            </w:r>
          </w:p>
        </w:tc>
        <w:tc>
          <w:tcPr>
            <w:vAlign w:val="center"/>
          </w:tcPr>
          <w:p>
            <w:r>
              <w:t>D2mntw= 39</w:t>
            </w:r>
          </w:p>
        </w:tc>
        <w:tc>
          <w:tcPr>
            <w:vAlign w:val="center"/>
          </w:tcPr>
          <w:p>
            <w:r>
              <w:t>Ctr= -4</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教师办公室[3066]</w:t>
            </w:r>
          </w:p>
        </w:tc>
        <w:tc>
          <w:tcPr>
            <w:vAlign w:val="center"/>
          </w:tcPr>
          <w:p>
            <w:r>
              <w:t>教师办公室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教师办公室[3076]</w:t>
            </w:r>
          </w:p>
        </w:tc>
        <w:tc>
          <w:tcPr>
            <w:vAlign w:val="center"/>
          </w:tcPr>
          <w:p>
            <w:r>
              <w:t>教师办公室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普通教室[3018]</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普通教室[3022]</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普通教室[3030]</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普通教室[3031]</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普通教室[3065]</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普通教室[3068]</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教师办公室[4035]</w:t>
            </w:r>
          </w:p>
        </w:tc>
        <w:tc>
          <w:tcPr>
            <w:vAlign w:val="center"/>
          </w:tcPr>
          <w:p>
            <w:r>
              <w:t>教师办公室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教师办公室[4074]</w:t>
            </w:r>
          </w:p>
        </w:tc>
        <w:tc>
          <w:tcPr>
            <w:vAlign w:val="center"/>
          </w:tcPr>
          <w:p>
            <w:r>
              <w:t>教师办公室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普通教室[4019]</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普通教室[4023]</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普通教室[4034]</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普通教室[4063]</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普通教室[4069]</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普通教室[4070]</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教师办公室[5046]</w:t>
            </w:r>
          </w:p>
        </w:tc>
        <w:tc>
          <w:tcPr>
            <w:vAlign w:val="center"/>
          </w:tcPr>
          <w:p>
            <w:r>
              <w:t>教师办公室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教师办公室[5075]</w:t>
            </w:r>
          </w:p>
        </w:tc>
        <w:tc>
          <w:tcPr>
            <w:vAlign w:val="center"/>
          </w:tcPr>
          <w:p>
            <w:r>
              <w:t>教师办公室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普通教室[5020]</w:t>
            </w:r>
          </w:p>
        </w:tc>
        <w:tc>
          <w:tcPr>
            <w:vMerge w:val="restart"/>
            <w:vAlign w:val="center"/>
          </w:tcPr>
          <w:p>
            <w:r>
              <w:t>普通教室</w:t>
            </w:r>
          </w:p>
        </w:tc>
        <w:tc>
          <w:tcPr>
            <w:vAlign w:val="center"/>
          </w:tcPr>
          <w:p>
            <w:r>
              <w:t>外墙</w:t>
            </w:r>
          </w:p>
        </w:tc>
        <w:tc>
          <w:tcPr>
            <w:vAlign w:val="center"/>
          </w:tcPr>
          <w:p>
            <w:r>
              <w:t>D2mntw= 38</w:t>
            </w:r>
          </w:p>
        </w:tc>
        <w:tc>
          <w:tcPr>
            <w:vAlign w:val="center"/>
          </w:tcPr>
          <w:p>
            <w:r>
              <w:t>Ctr= -4</w:t>
            </w:r>
          </w:p>
        </w:tc>
        <w:tc>
          <w:tcPr>
            <w:shd w:val="clear" w:color="auto" w:fill="E6E6E6"/>
            <w:vAlign w:val="center"/>
          </w:tcPr>
          <w:p>
            <w:r>
              <w:t>34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普通教室[5024]</w:t>
            </w:r>
          </w:p>
        </w:tc>
        <w:tc>
          <w:tcPr>
            <w:vMerge w:val="restart"/>
            <w:vAlign w:val="center"/>
          </w:tcPr>
          <w:p>
            <w:r>
              <w:t>普通教室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普通教室[5032]</w:t>
            </w:r>
          </w:p>
        </w:tc>
        <w:tc>
          <w:tcPr>
            <w:vMerge w:val="restart"/>
            <w:vAlign w:val="center"/>
          </w:tcPr>
          <w:p>
            <w:r>
              <w:t>普通教室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普通教室[5053]</w:t>
            </w:r>
          </w:p>
        </w:tc>
        <w:tc>
          <w:tcPr>
            <w:vMerge w:val="restart"/>
            <w:vAlign w:val="center"/>
          </w:tcPr>
          <w:p>
            <w:r>
              <w:t>普通教室</w:t>
            </w:r>
          </w:p>
        </w:tc>
        <w:tc>
          <w:tcPr>
            <w:vAlign w:val="center"/>
          </w:tcPr>
          <w:p>
            <w:r>
              <w:t>外墙</w:t>
            </w:r>
          </w:p>
        </w:tc>
        <w:tc>
          <w:tcPr>
            <w:vAlign w:val="center"/>
          </w:tcPr>
          <w:p>
            <w:r>
              <w:t>D2mntw= 39</w:t>
            </w:r>
          </w:p>
        </w:tc>
        <w:tc>
          <w:tcPr>
            <w:vAlign w:val="center"/>
          </w:tcPr>
          <w:p>
            <w:r>
              <w:t>Ctr= -3</w:t>
            </w:r>
          </w:p>
        </w:tc>
        <w:tc>
          <w:tcPr>
            <w:shd w:val="clear" w:color="auto" w:fill="E6E6E6"/>
            <w:vAlign w:val="center"/>
          </w:tcPr>
          <w:p>
            <w:r>
              <w:t>36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普通教室[5067]</w:t>
            </w:r>
          </w:p>
        </w:tc>
        <w:tc>
          <w:tcPr>
            <w:vMerge w:val="restart"/>
            <w:vAlign w:val="center"/>
          </w:tcPr>
          <w:p>
            <w:r>
              <w:t>普通教室</w:t>
            </w:r>
          </w:p>
        </w:tc>
        <w:tc>
          <w:tcPr>
            <w:vAlign w:val="center"/>
          </w:tcPr>
          <w:p>
            <w:r>
              <w:t>外墙</w:t>
            </w:r>
          </w:p>
        </w:tc>
        <w:tc>
          <w:tcPr>
            <w:vAlign w:val="center"/>
          </w:tcPr>
          <w:p>
            <w:r>
              <w:t>D2mntw= 39</w:t>
            </w:r>
          </w:p>
        </w:tc>
        <w:tc>
          <w:tcPr>
            <w:vAlign w:val="center"/>
          </w:tcPr>
          <w:p>
            <w:r>
              <w:t>Ctr= -3</w:t>
            </w:r>
          </w:p>
        </w:tc>
        <w:tc>
          <w:tcPr>
            <w:shd w:val="clear" w:color="auto" w:fill="E6E6E6"/>
            <w:vAlign w:val="center"/>
          </w:tcPr>
          <w:p>
            <w:r>
              <w:t>36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普通教室[5071]</w:t>
            </w:r>
          </w:p>
        </w:tc>
        <w:tc>
          <w:tcPr>
            <w:vMerge w:val="restart"/>
            <w:vAlign w:val="center"/>
          </w:tcPr>
          <w:p>
            <w:r>
              <w:t>普通教室</w:t>
            </w:r>
          </w:p>
        </w:tc>
        <w:tc>
          <w:tcPr>
            <w:vAlign w:val="center"/>
          </w:tcPr>
          <w:p>
            <w:r>
              <w:t>外墙</w:t>
            </w:r>
          </w:p>
        </w:tc>
        <w:tc>
          <w:tcPr>
            <w:vAlign w:val="center"/>
          </w:tcPr>
          <w:p>
            <w:r>
              <w:t>D2mntw= 38</w:t>
            </w:r>
          </w:p>
        </w:tc>
        <w:tc>
          <w:tcPr>
            <w:vAlign w:val="center"/>
          </w:tcPr>
          <w:p>
            <w:r>
              <w:t>Ctr= -3</w:t>
            </w:r>
          </w:p>
        </w:tc>
        <w:tc>
          <w:tcPr>
            <w:shd w:val="clear" w:color="auto" w:fill="E6E6E6"/>
            <w:vAlign w:val="center"/>
          </w:tcPr>
          <w:p>
            <w:r>
              <w:t>35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bl>
    <w:p>
      <w:bookmarkStart w:id="188" w:name="主要功能房间构件隔声性能"/>
      <w:bookmarkEnd w:id="188"/>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w:rPr>
                <w:rFonts w:ascii="Cambria Math" w:hAnsi="宋体"/>
              </w:rPr>
              <m:t>R</m:t>
            </m:r>
            <m:ctrlPr>
              <w:rPr>
                <w:rFonts w:ascii="Cambria Math" w:hAnsi="宋体"/>
                <w:i/>
              </w:rPr>
            </m:ctrlPr>
          </m:e>
          <m:sub>
            <m:r>
              <w:rPr>
                <w:rFonts w:ascii="Cambria Math" w:hAnsi="宋体"/>
              </w:rPr>
              <m:t>o</m:t>
            </m:r>
            <m:ctrlPr>
              <w:rPr>
                <w:rFonts w:ascii="Cambria Math" w:hAnsi="宋体"/>
                <w:i/>
              </w:rPr>
            </m:ctrlPr>
          </m:sub>
        </m:sSub>
        <m:r>
          <w:rPr>
            <w:rFonts w:ascii="Cambria Math" w:hAnsi="宋体"/>
          </w:rPr>
          <m:t>=10</m:t>
        </m:r>
        <m:func>
          <m:funcPr>
            <m:ctrlPr>
              <w:rPr>
                <w:rFonts w:ascii="Cambria Math" w:hAnsi="宋体"/>
                <w:i/>
              </w:rPr>
            </m:ctrlPr>
          </m:funcPr>
          <m:fName>
            <m:r>
              <w:rPr>
                <w:rFonts w:ascii="Cambria Math" w:hAnsi="宋体"/>
              </w:rPr>
              <m:t>lg</m:t>
            </m:r>
            <m:ctrlPr>
              <w:rPr>
                <w:rFonts w:ascii="Cambria Math" w:hAnsi="宋体"/>
                <w:i/>
              </w:rPr>
            </m:ctrlP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ctrlPr>
                              <w:rPr>
                                <w:rFonts w:ascii="Cambria Math" w:hAnsi="宋体"/>
                                <w:i/>
                              </w:rPr>
                            </m:ctrlPr>
                          </m:num>
                          <m:den>
                            <m:sSub>
                              <m:sSubPr>
                                <m:ctrlPr>
                                  <w:rPr>
                                    <w:rFonts w:ascii="Cambria Math" w:hAnsi="宋体"/>
                                    <w:i/>
                                  </w:rPr>
                                </m:ctrlPr>
                              </m:sSubPr>
                              <m:e>
                                <m:r>
                                  <w:rPr>
                                    <w:rFonts w:ascii="Cambria Math" w:hAnsi="宋体"/>
                                  </w:rPr>
                                  <m:t>ρ</m:t>
                                </m:r>
                                <m:ctrlPr>
                                  <w:rPr>
                                    <w:rFonts w:ascii="Cambria Math" w:hAnsi="宋体"/>
                                    <w:i/>
                                  </w:rPr>
                                </m:ctrlPr>
                              </m:e>
                              <m:sub>
                                <m:r>
                                  <w:rPr>
                                    <w:rFonts w:ascii="Cambria Math" w:hAnsi="宋体"/>
                                  </w:rPr>
                                  <m:t>o</m:t>
                                </m:r>
                                <m:ctrlPr>
                                  <w:rPr>
                                    <w:rFonts w:ascii="Cambria Math" w:hAnsi="宋体"/>
                                    <w:i/>
                                  </w:rPr>
                                </m:ctrlPr>
                              </m:sub>
                            </m:sSub>
                            <m: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pPr>
        <w:pStyle w:val="24"/>
      </w:pPr>
      <w:r>
        <w:rPr>
          <w:rStyle w:val="37"/>
        </w:rPr>
        <w:footnoteRef/>
      </w:r>
      <w:r>
        <w:t xml:space="preserve"> </w:t>
      </w:r>
      <w:r>
        <w:rPr>
          <w:rFonts w:hint="eastAsia"/>
        </w:rPr>
        <w:t>一般的门/窗与墙之间的缝隙为0.5cm（装配式）和1cm（非装配式）。</w:t>
      </w:r>
    </w:p>
  </w:footnote>
  <w:footnote w:id="3">
    <w:p>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pPr>
        <w:pStyle w:val="24"/>
      </w:pPr>
      <w:r>
        <w:rPr>
          <w:rStyle w:val="37"/>
        </w:rPr>
        <w:footnoteRef/>
      </w:r>
      <w:r>
        <w:t xml:space="preserve"> </w:t>
      </w:r>
      <w:r>
        <w:rPr>
          <w:rFonts w:hint="eastAsia"/>
        </w:rPr>
        <w:t>此处若无表格，代表本项目中不存在两户卧室相邻的情况，无需对此项进行评价。</w:t>
      </w:r>
    </w:p>
  </w:footnote>
  <w:footnote w:id="9">
    <w:p>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A32326"/>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6DA32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qFormat/>
    <w:uiPriority w:val="39"/>
    <w:pPr>
      <w:tabs>
        <w:tab w:val="left" w:leader="dot" w:pos="180"/>
        <w:tab w:val="right" w:leader="dot" w:pos="9360"/>
      </w:tabs>
    </w:pPr>
    <w:rPr>
      <w:b/>
      <w:bCs/>
      <w:caps/>
      <w:kern w:val="2"/>
      <w:szCs w:val="24"/>
      <w:lang w:val="en-US"/>
    </w:rPr>
  </w:style>
  <w:style w:type="paragraph" w:styleId="22">
    <w:name w:val="toc 4"/>
    <w:basedOn w:val="1"/>
    <w:next w:val="1"/>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wf57\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tmp11.dotx</Template>
  <Pages>43</Pages>
  <Words>14180</Words>
  <Characters>20435</Characters>
  <Lines>116</Lines>
  <Paragraphs>32</Paragraphs>
  <TotalTime>0</TotalTime>
  <ScaleCrop>false</ScaleCrop>
  <LinksUpToDate>false</LinksUpToDate>
  <CharactersWithSpaces>21565</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2025-12-04T11:34:00Z</dcterms:created>
  <dc:creator>半江芦苇</dc:creator>
  <cp:lastModifiedBy>半江芦苇</cp:lastModifiedBy>
  <dcterms:modified xsi:type="dcterms:W3CDTF">2025-12-04T11:35:00Z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