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tbl>
      <w:tblPr>
        <w:tblStyle w:val="3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widowControl/>
              <w:spacing w:line="360" w:lineRule="exact"/>
              <w:ind w:left="1023" w:leftChars="487"/>
              <w:jc w:val="center"/>
              <w:rPr>
                <w:rFonts w:hint="eastAsia" w:cs="Times New Roman"/>
                <w:b/>
                <w:spacing w:val="45"/>
                <w:kern w:val="0"/>
                <w:sz w:val="30"/>
                <w:szCs w:val="30"/>
                <w:lang w:val="en-GB"/>
              </w:rPr>
            </w:pPr>
            <w:bookmarkStart w:id="0" w:name="_Hlk172625491"/>
          </w:p>
          <w:p>
            <w:pPr>
              <w:widowControl/>
              <w:spacing w:line="360" w:lineRule="exact"/>
              <w:jc w:val="center"/>
              <w:rPr>
                <w:rFonts w:hint="eastAsia" w:cs="Times New Roman"/>
                <w:b/>
                <w:spacing w:val="45"/>
                <w:kern w:val="0"/>
                <w:sz w:val="30"/>
                <w:szCs w:val="30"/>
                <w:lang w:val="en-GB"/>
              </w:rPr>
            </w:pPr>
          </w:p>
          <w:p>
            <w:pPr>
              <w:widowControl/>
              <w:spacing w:before="312" w:beforeLines="100" w:line="360" w:lineRule="exact"/>
              <w:jc w:val="distribute"/>
              <w:rPr>
                <w:rFonts w:hint="eastAsia" w:cs="Times New Roman"/>
                <w:b/>
                <w:kern w:val="0"/>
                <w:sz w:val="72"/>
                <w:szCs w:val="52"/>
                <w:lang w:val="en-GB"/>
              </w:rPr>
            </w:pPr>
            <w:r>
              <w:rPr>
                <w:rFonts w:hint="eastAsia" w:cs="Times New Roman"/>
                <w:b/>
                <w:kern w:val="0"/>
                <w:sz w:val="72"/>
                <w:szCs w:val="52"/>
                <w:lang w:val="en-GB"/>
              </w:rPr>
              <w:t>室外噪声模拟分析报告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widowControl/>
              <w:spacing w:before="312" w:beforeLines="100" w:line="360" w:lineRule="exact"/>
              <w:jc w:val="center"/>
              <w:rPr>
                <w:rFonts w:hint="eastAsia" w:cs="Times New Roman"/>
                <w:b/>
                <w:kern w:val="0"/>
                <w:sz w:val="36"/>
                <w:szCs w:val="36"/>
                <w:lang w:val="en-GB"/>
              </w:rPr>
            </w:pPr>
            <w:bookmarkStart w:id="1" w:name="工程名称"/>
            <w:r>
              <w:rPr>
                <w:rFonts w:hint="eastAsia" w:cs="Times New Roman"/>
                <w:b/>
                <w:kern w:val="0"/>
                <w:sz w:val="36"/>
                <w:szCs w:val="36"/>
                <w:lang w:val="en-GB"/>
              </w:rPr>
              <w:t>工程名称</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widowControl/>
              <w:spacing w:before="156" w:beforeLines="50" w:line="360" w:lineRule="exact"/>
              <w:jc w:val="center"/>
              <w:rPr>
                <w:rFonts w:hint="eastAsia" w:cs="Times New Roman"/>
                <w:b/>
                <w:kern w:val="0"/>
                <w:sz w:val="32"/>
                <w:szCs w:val="52"/>
                <w:lang w:val="en-GB"/>
              </w:rPr>
            </w:pPr>
            <w:r>
              <w:rPr>
                <w:rFonts w:hint="eastAsia" w:cs="Times New Roman"/>
                <w:b/>
                <w:kern w:val="0"/>
                <w:sz w:val="32"/>
                <w:szCs w:val="52"/>
                <w:lang w:val="en-GB"/>
              </w:rPr>
              <w:t>设计编号：</w:t>
            </w:r>
            <w:bookmarkStart w:id="2" w:name="设计编号"/>
            <w:r>
              <w:rPr>
                <w:rFonts w:hint="eastAsia" w:cs="Times New Roman"/>
                <w:b/>
                <w:kern w:val="0"/>
                <w:sz w:val="32"/>
                <w:szCs w:val="52"/>
                <w:lang w:val="en-GB"/>
              </w:rPr>
              <w:t>2025-AA-BB</w:t>
            </w:r>
            <w:bookmarkEnd w:id="2"/>
          </w:p>
          <w:p>
            <w:pPr>
              <w:widowControl/>
              <w:spacing w:line="360" w:lineRule="exact"/>
              <w:jc w:val="center"/>
              <w:rPr>
                <w:rFonts w:hint="eastAsia" w:cs="Times New Roman"/>
                <w:b/>
                <w:kern w:val="0"/>
                <w:sz w:val="32"/>
                <w:szCs w:val="52"/>
                <w:lang w:val="en-G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widowControl/>
              <w:spacing w:line="360" w:lineRule="exact"/>
              <w:jc w:val="center"/>
              <w:rPr>
                <w:rFonts w:hint="eastAsia" w:cs="Times New Roman"/>
                <w:kern w:val="0"/>
                <w:sz w:val="18"/>
                <w:szCs w:val="20"/>
                <w:lang w:val="en-GB"/>
              </w:rPr>
            </w:pPr>
          </w:p>
        </w:tc>
      </w:tr>
    </w:tbl>
    <w:p>
      <w:pPr>
        <w:widowControl/>
        <w:jc w:val="center"/>
        <w:rPr>
          <w:rFonts w:hint="eastAsia" w:cs="Times New Roman"/>
          <w:kern w:val="0"/>
          <w:sz w:val="18"/>
          <w:szCs w:val="20"/>
          <w:lang w:val="en-GB"/>
        </w:rPr>
      </w:pPr>
    </w:p>
    <w:p>
      <w:pPr>
        <w:widowControl/>
        <w:jc w:val="center"/>
        <w:rPr>
          <w:rFonts w:hint="eastAsia" w:cs="Times New Roman"/>
          <w:kern w:val="0"/>
          <w:sz w:val="18"/>
          <w:szCs w:val="20"/>
          <w:lang w:val="en-GB"/>
        </w:rPr>
      </w:pPr>
    </w:p>
    <w:bookmarkEnd w:id="0"/>
    <w:p>
      <w:pPr>
        <w:widowControl/>
        <w:jc w:val="center"/>
        <w:rPr>
          <w:rFonts w:hint="eastAsia" w:cs="Times New Roman"/>
          <w:kern w:val="0"/>
          <w:sz w:val="18"/>
          <w:szCs w:val="20"/>
          <w:lang w:val="en-GB"/>
        </w:rPr>
      </w:pPr>
    </w:p>
    <w:tbl>
      <w:tblPr>
        <w:tblStyle w:val="3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工程地点</w:t>
            </w:r>
          </w:p>
        </w:tc>
        <w:tc>
          <w:tcPr>
            <w:tcW w:w="456" w:type="dxa"/>
          </w:tcPr>
          <w:p>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311" w:type="dxa"/>
            <w:tcBorders>
              <w:top w:val="nil"/>
              <w:left w:val="nil"/>
              <w:bottom w:val="single" w:color="7E7E7E" w:themeColor="text1" w:themeTint="80" w:sz="4" w:space="0"/>
              <w:right w:val="nil"/>
            </w:tcBorders>
          </w:tcPr>
          <w:p>
            <w:pPr>
              <w:widowControl/>
              <w:spacing w:line="600" w:lineRule="exact"/>
              <w:jc w:val="center"/>
              <w:rPr>
                <w:rFonts w:hint="eastAsia" w:cs="Times New Roman"/>
                <w:kern w:val="0"/>
                <w:sz w:val="24"/>
                <w:szCs w:val="24"/>
                <w:lang w:val="en-G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建设单位</w:t>
            </w:r>
          </w:p>
        </w:tc>
        <w:tc>
          <w:tcPr>
            <w:tcW w:w="456" w:type="dxa"/>
          </w:tcPr>
          <w:p>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311" w:type="dxa"/>
            <w:tcBorders>
              <w:top w:val="nil"/>
              <w:left w:val="nil"/>
              <w:bottom w:val="single" w:color="7E7E7E" w:themeColor="text1" w:themeTint="80" w:sz="4" w:space="0"/>
              <w:right w:val="nil"/>
            </w:tcBorders>
          </w:tcPr>
          <w:p>
            <w:pPr>
              <w:widowControl/>
              <w:spacing w:line="600" w:lineRule="exact"/>
              <w:jc w:val="center"/>
              <w:rPr>
                <w:rFonts w:hint="eastAsia" w:cs="Times New Roman"/>
                <w:kern w:val="0"/>
                <w:sz w:val="24"/>
                <w:szCs w:val="24"/>
                <w:lang w:val="en-GB"/>
              </w:rPr>
            </w:pPr>
            <w:bookmarkStart w:id="3" w:name="建设单位"/>
            <w:r>
              <w:rPr>
                <w:rFonts w:hint="eastAsia" w:cs="Times New Roman"/>
                <w:kern w:val="0"/>
                <w:sz w:val="24"/>
                <w:szCs w:val="24"/>
                <w:lang w:val="en-GB"/>
              </w:rPr>
              <w:t>xxxx工程建设有限公司</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设计单位</w:t>
            </w:r>
          </w:p>
        </w:tc>
        <w:tc>
          <w:tcPr>
            <w:tcW w:w="456" w:type="dxa"/>
          </w:tcPr>
          <w:p>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311" w:type="dxa"/>
            <w:tcBorders>
              <w:top w:val="single" w:color="7E7E7E" w:themeColor="text1" w:themeTint="80" w:sz="4" w:space="0"/>
              <w:left w:val="nil"/>
              <w:bottom w:val="single" w:color="7E7E7E" w:themeColor="text1" w:themeTint="80" w:sz="4" w:space="0"/>
              <w:right w:val="nil"/>
            </w:tcBorders>
          </w:tcPr>
          <w:p>
            <w:pPr>
              <w:widowControl/>
              <w:spacing w:line="600" w:lineRule="exact"/>
              <w:jc w:val="center"/>
              <w:rPr>
                <w:rFonts w:hint="eastAsia" w:cs="Times New Roman"/>
                <w:kern w:val="0"/>
                <w:sz w:val="24"/>
                <w:szCs w:val="24"/>
                <w:lang w:val="en-GB"/>
              </w:rPr>
            </w:pPr>
            <w:bookmarkStart w:id="4" w:name="设计单位"/>
            <w:r>
              <w:rPr>
                <w:rFonts w:hint="eastAsia" w:cs="Times New Roman"/>
                <w:kern w:val="0"/>
                <w:sz w:val="24"/>
                <w:szCs w:val="24"/>
                <w:lang w:val="en-GB"/>
              </w:rPr>
              <w:t>xxxx建筑设计研究院有限公司</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设计人</w:t>
            </w:r>
          </w:p>
        </w:tc>
        <w:tc>
          <w:tcPr>
            <w:tcW w:w="456" w:type="dxa"/>
          </w:tcPr>
          <w:p>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311" w:type="dxa"/>
            <w:tcBorders>
              <w:top w:val="single" w:color="7E7E7E" w:themeColor="text1" w:themeTint="80" w:sz="4" w:space="0"/>
              <w:left w:val="nil"/>
              <w:bottom w:val="single" w:color="7E7E7E" w:themeColor="text1" w:themeTint="80" w:sz="4" w:space="0"/>
              <w:right w:val="nil"/>
            </w:tcBorders>
          </w:tcPr>
          <w:p>
            <w:pPr>
              <w:widowControl/>
              <w:spacing w:line="600" w:lineRule="exact"/>
              <w:jc w:val="center"/>
              <w:rPr>
                <w:rFonts w:hint="eastAsia" w:cs="Times New Roman"/>
                <w:kern w:val="0"/>
                <w:sz w:val="24"/>
                <w:szCs w:val="24"/>
                <w:lang w:val="en-G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校对人</w:t>
            </w:r>
          </w:p>
        </w:tc>
        <w:tc>
          <w:tcPr>
            <w:tcW w:w="456" w:type="dxa"/>
          </w:tcPr>
          <w:p>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311" w:type="dxa"/>
            <w:tcBorders>
              <w:top w:val="single" w:color="7E7E7E" w:themeColor="text1" w:themeTint="80" w:sz="4" w:space="0"/>
              <w:left w:val="nil"/>
              <w:bottom w:val="single" w:color="7E7E7E" w:themeColor="text1" w:themeTint="80" w:sz="4" w:space="0"/>
              <w:right w:val="nil"/>
            </w:tcBorders>
          </w:tcPr>
          <w:p>
            <w:pPr>
              <w:widowControl/>
              <w:spacing w:line="600" w:lineRule="exact"/>
              <w:jc w:val="center"/>
              <w:rPr>
                <w:rFonts w:hint="eastAsia" w:cs="Times New Roman"/>
                <w:kern w:val="0"/>
                <w:sz w:val="24"/>
                <w:szCs w:val="24"/>
                <w:lang w:val="en-G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审定人</w:t>
            </w:r>
          </w:p>
        </w:tc>
        <w:tc>
          <w:tcPr>
            <w:tcW w:w="456" w:type="dxa"/>
          </w:tcPr>
          <w:p>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311" w:type="dxa"/>
            <w:tcBorders>
              <w:top w:val="single" w:color="7E7E7E" w:themeColor="text1" w:themeTint="80" w:sz="4" w:space="0"/>
              <w:left w:val="nil"/>
              <w:bottom w:val="single" w:color="7E7E7E" w:themeColor="text1" w:themeTint="80" w:sz="4" w:space="0"/>
              <w:right w:val="nil"/>
            </w:tcBorders>
          </w:tcPr>
          <w:p>
            <w:pPr>
              <w:widowControl/>
              <w:spacing w:line="600" w:lineRule="exact"/>
              <w:jc w:val="center"/>
              <w:rPr>
                <w:rFonts w:hint="eastAsia" w:cs="Times New Roman"/>
                <w:kern w:val="0"/>
                <w:sz w:val="24"/>
                <w:szCs w:val="24"/>
                <w:lang w:val="en-G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报告日期</w:t>
            </w:r>
          </w:p>
        </w:tc>
        <w:tc>
          <w:tcPr>
            <w:tcW w:w="456" w:type="dxa"/>
          </w:tcPr>
          <w:p>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311" w:type="dxa"/>
            <w:tcBorders>
              <w:top w:val="single" w:color="7E7E7E" w:themeColor="text1" w:themeTint="80" w:sz="4" w:space="0"/>
              <w:left w:val="nil"/>
              <w:bottom w:val="single" w:color="7E7E7E" w:themeColor="text1" w:themeTint="80" w:sz="4" w:space="0"/>
              <w:right w:val="nil"/>
            </w:tcBorders>
          </w:tcPr>
          <w:p>
            <w:pPr>
              <w:widowControl/>
              <w:spacing w:line="600" w:lineRule="exact"/>
              <w:jc w:val="center"/>
              <w:rPr>
                <w:rFonts w:hint="eastAsia" w:cs="Times New Roman"/>
                <w:kern w:val="0"/>
                <w:sz w:val="24"/>
                <w:szCs w:val="24"/>
                <w:lang w:val="en-GB"/>
              </w:rPr>
            </w:pPr>
            <w:bookmarkStart w:id="5" w:name="计算日期"/>
            <w:bookmarkStart w:id="6" w:name="报告日期"/>
            <w:r>
              <w:rPr>
                <w:rFonts w:hint="eastAsia" w:cs="Times New Roman"/>
                <w:kern w:val="0"/>
                <w:sz w:val="24"/>
                <w:szCs w:val="24"/>
                <w:lang w:val="en-GB"/>
              </w:rPr>
              <w:t>2025-12-03</w:t>
            </w:r>
            <w:bookmarkEnd w:id="5"/>
            <w:bookmarkEnd w:id="6"/>
          </w:p>
        </w:tc>
      </w:tr>
    </w:tbl>
    <w:p>
      <w:pPr>
        <w:widowControl/>
        <w:jc w:val="center"/>
        <w:rPr>
          <w:rFonts w:asciiTheme="minorHAnsi" w:hAnsiTheme="minorHAnsi" w:eastAsiaTheme="minorEastAsia" w:cstheme="minorBidi"/>
          <w:sz w:val="18"/>
          <w:lang w:val="en-GB"/>
        </w:rPr>
      </w:pPr>
    </w:p>
    <w:p>
      <w:pPr>
        <w:widowControl/>
        <w:jc w:val="center"/>
        <w:rPr>
          <w:rFonts w:hint="eastAsia" w:cs="Times New Roman"/>
          <w:kern w:val="0"/>
          <w:sz w:val="18"/>
          <w:szCs w:val="20"/>
          <w:lang w:val="en-GB"/>
        </w:rPr>
      </w:pPr>
    </w:p>
    <w:p>
      <w:pPr>
        <w:widowControl/>
        <w:jc w:val="center"/>
        <w:rPr>
          <w:rFonts w:hint="eastAsia" w:cs="Times New Roman"/>
          <w:kern w:val="0"/>
          <w:sz w:val="18"/>
          <w:szCs w:val="20"/>
          <w:lang w:val="en-GB"/>
        </w:rPr>
      </w:pPr>
    </w:p>
    <w:p>
      <w:pPr>
        <w:widowControl/>
        <w:jc w:val="center"/>
        <w:rPr>
          <w:rFonts w:hint="eastAsia" w:cs="Times New Roman"/>
          <w:kern w:val="0"/>
          <w:sz w:val="18"/>
          <w:szCs w:val="20"/>
          <w:lang w:val="en-GB"/>
        </w:rPr>
      </w:pPr>
    </w:p>
    <w:p>
      <w:pPr>
        <w:widowControl/>
        <w:jc w:val="center"/>
        <w:rPr>
          <w:rFonts w:hint="eastAsia" w:cs="Times New Roman"/>
          <w:kern w:val="0"/>
          <w:sz w:val="18"/>
          <w:szCs w:val="20"/>
          <w:lang w:val="en-GB"/>
        </w:rPr>
      </w:pPr>
    </w:p>
    <w:tbl>
      <w:tblPr>
        <w:tblStyle w:val="37"/>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widowControl/>
              <w:spacing w:before="156" w:beforeLines="50" w:line="180" w:lineRule="exact"/>
              <w:jc w:val="distribute"/>
              <w:rPr>
                <w:rFonts w:hint="eastAsia" w:cs="Times New Roman"/>
                <w:kern w:val="0"/>
                <w:sz w:val="18"/>
                <w:szCs w:val="18"/>
                <w:lang w:val="en-GB"/>
              </w:rPr>
            </w:pPr>
            <w:r>
              <w:rPr>
                <w:rFonts w:hint="eastAsia" w:cs="Times New Roman"/>
                <w:kern w:val="0"/>
                <w:sz w:val="18"/>
                <w:szCs w:val="18"/>
                <w:lang w:val="en-GB"/>
              </w:rPr>
              <w:t>采用软件</w:t>
            </w:r>
          </w:p>
        </w:tc>
        <w:tc>
          <w:tcPr>
            <w:tcW w:w="3108" w:type="dxa"/>
            <w:tcBorders>
              <w:top w:val="single" w:color="auto" w:sz="2" w:space="0"/>
              <w:left w:val="nil"/>
              <w:bottom w:val="nil"/>
              <w:right w:val="nil"/>
            </w:tcBorders>
            <w:vAlign w:val="bottom"/>
          </w:tcPr>
          <w:p>
            <w:pPr>
              <w:widowControl/>
              <w:spacing w:line="180" w:lineRule="exact"/>
              <w:ind w:right="-105" w:rightChars="-50"/>
              <w:rPr>
                <w:rFonts w:hint="eastAsia" w:cs="Times New Roman"/>
                <w:kern w:val="0"/>
                <w:sz w:val="18"/>
                <w:szCs w:val="18"/>
                <w:lang w:val="en-GB"/>
              </w:rPr>
            </w:pPr>
            <w:r>
              <w:rPr>
                <w:rFonts w:hint="eastAsia" w:cs="Times New Roman"/>
                <w:kern w:val="0"/>
                <w:sz w:val="18"/>
                <w:szCs w:val="18"/>
                <w:lang w:val="en-GB"/>
              </w:rPr>
              <w:t>：</w:t>
            </w:r>
            <w:bookmarkStart w:id="7" w:name="采用软件"/>
            <w:bookmarkStart w:id="8" w:name="软件全称"/>
            <w:r>
              <w:rPr>
                <w:rFonts w:hint="eastAsia" w:cs="Times New Roman"/>
                <w:kern w:val="0"/>
                <w:sz w:val="18"/>
                <w:szCs w:val="18"/>
                <w:lang w:val="en-GB"/>
              </w:rPr>
              <w:t>建筑声环境SEDU2025</w:t>
            </w:r>
            <w:bookmarkEnd w:id="7"/>
            <w:bookmarkEnd w:id="8"/>
          </w:p>
        </w:tc>
        <w:tc>
          <w:tcPr>
            <w:tcW w:w="3957" w:type="dxa"/>
            <w:vMerge w:val="restart"/>
            <w:tcBorders>
              <w:top w:val="single" w:color="auto" w:sz="2" w:space="0"/>
              <w:left w:val="nil"/>
              <w:bottom w:val="nil"/>
              <w:right w:val="nil"/>
            </w:tcBorders>
            <w:vAlign w:val="bottom"/>
          </w:tcPr>
          <w:p>
            <w:pPr>
              <w:spacing w:line="360" w:lineRule="exact"/>
              <w:jc w:val="right"/>
              <w:rPr>
                <w:rFonts w:hint="eastAsia"/>
                <w:lang w:val="en-GB"/>
              </w:rPr>
            </w:pPr>
            <w:r>
              <w:rPr>
                <w:lang w:val="en-GB"/>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widowControl/>
              <w:spacing w:line="180" w:lineRule="exact"/>
              <w:jc w:val="distribute"/>
              <w:rPr>
                <w:rFonts w:hint="eastAsia" w:cs="Times New Roman"/>
                <w:kern w:val="0"/>
                <w:sz w:val="18"/>
                <w:szCs w:val="18"/>
                <w:lang w:val="en-GB"/>
              </w:rPr>
            </w:pPr>
            <w:r>
              <w:rPr>
                <w:rFonts w:hint="eastAsia" w:cs="Times New Roman"/>
                <w:kern w:val="0"/>
                <w:sz w:val="18"/>
                <w:szCs w:val="18"/>
                <w:lang w:val="en-GB"/>
              </w:rPr>
              <w:t>软件版本</w:t>
            </w:r>
          </w:p>
        </w:tc>
        <w:tc>
          <w:tcPr>
            <w:tcW w:w="3108" w:type="dxa"/>
            <w:tcBorders>
              <w:top w:val="nil"/>
              <w:left w:val="nil"/>
              <w:bottom w:val="nil"/>
              <w:right w:val="nil"/>
            </w:tcBorders>
            <w:vAlign w:val="bottom"/>
          </w:tcPr>
          <w:p>
            <w:pPr>
              <w:widowControl/>
              <w:spacing w:line="180" w:lineRule="exact"/>
              <w:rPr>
                <w:rFonts w:hint="eastAsia" w:cs="Times New Roman"/>
                <w:kern w:val="0"/>
                <w:sz w:val="18"/>
                <w:szCs w:val="18"/>
                <w:lang w:val="en-GB"/>
              </w:rPr>
            </w:pPr>
            <w:r>
              <w:rPr>
                <w:rFonts w:hint="eastAsia" w:cs="Times New Roman"/>
                <w:kern w:val="0"/>
                <w:sz w:val="18"/>
                <w:szCs w:val="18"/>
                <w:lang w:val="en-GB"/>
              </w:rPr>
              <w:t>：</w:t>
            </w:r>
            <w:bookmarkStart w:id="9" w:name="软件版本"/>
            <w:r>
              <w:rPr>
                <w:rFonts w:hint="eastAsia" w:cs="Times New Roman"/>
                <w:kern w:val="0"/>
                <w:sz w:val="18"/>
                <w:szCs w:val="18"/>
                <w:lang w:val="en-GB"/>
              </w:rPr>
              <w:t>20250505(PLUS)</w:t>
            </w:r>
            <w:bookmarkEnd w:id="9"/>
          </w:p>
        </w:tc>
        <w:tc>
          <w:tcPr>
            <w:tcW w:w="3957" w:type="dxa"/>
            <w:vMerge w:val="continue"/>
            <w:tcBorders>
              <w:top w:val="single" w:color="auto" w:sz="2" w:space="0"/>
              <w:left w:val="nil"/>
              <w:bottom w:val="nil"/>
              <w:right w:val="nil"/>
            </w:tcBorders>
            <w:vAlign w:val="center"/>
          </w:tcPr>
          <w:p>
            <w:pPr>
              <w:widowControl/>
              <w:spacing w:line="360" w:lineRule="exact"/>
              <w:jc w:val="center"/>
              <w:rPr>
                <w:rFonts w:cs="Times New Roman" w:asciiTheme="minorHAnsi" w:hAnsiTheme="minorHAnsi" w:eastAsiaTheme="minorEastAsia"/>
                <w:color w:val="767171" w:themeColor="background2" w:themeShade="80"/>
                <w:sz w:val="18"/>
                <w:lang w:val="en-GB"/>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widowControl/>
              <w:spacing w:line="180" w:lineRule="exact"/>
              <w:jc w:val="distribute"/>
              <w:rPr>
                <w:rFonts w:hint="eastAsia" w:cs="Times New Roman"/>
                <w:kern w:val="0"/>
                <w:sz w:val="18"/>
                <w:szCs w:val="18"/>
                <w:lang w:val="en-GB"/>
              </w:rPr>
            </w:pPr>
            <w:r>
              <w:rPr>
                <w:rFonts w:hint="eastAsia" w:cs="Times New Roman"/>
                <w:kern w:val="0"/>
                <w:sz w:val="18"/>
                <w:szCs w:val="18"/>
                <w:lang w:val="en-GB"/>
              </w:rPr>
              <w:t>正版授权码</w:t>
            </w:r>
          </w:p>
        </w:tc>
        <w:tc>
          <w:tcPr>
            <w:tcW w:w="3108" w:type="dxa"/>
            <w:tcBorders>
              <w:top w:val="nil"/>
              <w:left w:val="nil"/>
              <w:bottom w:val="nil"/>
              <w:right w:val="nil"/>
            </w:tcBorders>
            <w:vAlign w:val="bottom"/>
          </w:tcPr>
          <w:p>
            <w:pPr>
              <w:widowControl/>
              <w:spacing w:line="180" w:lineRule="exact"/>
              <w:rPr>
                <w:rFonts w:hint="eastAsia" w:cs="Times New Roman"/>
                <w:kern w:val="0"/>
                <w:sz w:val="18"/>
                <w:szCs w:val="18"/>
                <w:lang w:val="en-GB"/>
              </w:rPr>
            </w:pPr>
            <w:r>
              <w:rPr>
                <w:rFonts w:hint="eastAsia" w:cs="Times New Roman"/>
                <w:kern w:val="0"/>
                <w:sz w:val="18"/>
                <w:szCs w:val="18"/>
                <w:lang w:val="en-GB"/>
              </w:rPr>
              <w:t>：</w:t>
            </w:r>
            <w:bookmarkStart w:id="10" w:name="正版授权码"/>
            <w:bookmarkStart w:id="11" w:name="加密锁号"/>
            <w:r>
              <w:rPr>
                <w:rFonts w:hint="eastAsia" w:cs="Times New Roman"/>
                <w:kern w:val="0"/>
                <w:sz w:val="18"/>
                <w:szCs w:val="18"/>
                <w:lang w:val="en-GB"/>
              </w:rPr>
              <w:t>T18060052160</w:t>
            </w:r>
            <w:bookmarkEnd w:id="10"/>
            <w:bookmarkEnd w:id="11"/>
          </w:p>
        </w:tc>
        <w:tc>
          <w:tcPr>
            <w:tcW w:w="3957" w:type="dxa"/>
            <w:vMerge w:val="continue"/>
            <w:tcBorders>
              <w:top w:val="single" w:color="auto" w:sz="2" w:space="0"/>
              <w:left w:val="nil"/>
              <w:bottom w:val="nil"/>
              <w:right w:val="nil"/>
            </w:tcBorders>
            <w:vAlign w:val="center"/>
          </w:tcPr>
          <w:p>
            <w:pPr>
              <w:widowControl/>
              <w:spacing w:line="360" w:lineRule="exact"/>
              <w:jc w:val="center"/>
              <w:rPr>
                <w:rFonts w:cs="Times New Roman" w:asciiTheme="minorHAnsi" w:hAnsiTheme="minorHAnsi" w:eastAsiaTheme="minorEastAsia"/>
                <w:color w:val="767171" w:themeColor="background2" w:themeShade="80"/>
                <w:sz w:val="18"/>
                <w:lang w:val="en-GB"/>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widowControl/>
              <w:spacing w:line="180" w:lineRule="exact"/>
              <w:jc w:val="distribute"/>
              <w:rPr>
                <w:rFonts w:hint="eastAsia" w:cs="Times New Roman"/>
                <w:kern w:val="0"/>
                <w:sz w:val="18"/>
                <w:szCs w:val="18"/>
                <w:lang w:val="en-GB"/>
              </w:rPr>
            </w:pPr>
            <w:r>
              <w:rPr>
                <w:rFonts w:hint="eastAsia" w:cs="Times New Roman"/>
                <w:kern w:val="0"/>
                <w:sz w:val="18"/>
                <w:szCs w:val="18"/>
                <w:lang w:val="en-GB"/>
              </w:rPr>
              <w:t>研发单位</w:t>
            </w:r>
          </w:p>
        </w:tc>
        <w:tc>
          <w:tcPr>
            <w:tcW w:w="3108" w:type="dxa"/>
            <w:tcBorders>
              <w:top w:val="nil"/>
              <w:left w:val="nil"/>
              <w:bottom w:val="nil"/>
              <w:right w:val="nil"/>
            </w:tcBorders>
            <w:vAlign w:val="bottom"/>
          </w:tcPr>
          <w:p>
            <w:pPr>
              <w:widowControl/>
              <w:spacing w:line="180" w:lineRule="exact"/>
              <w:rPr>
                <w:rFonts w:hint="eastAsia" w:cs="Times New Roman"/>
                <w:kern w:val="0"/>
                <w:sz w:val="18"/>
                <w:szCs w:val="18"/>
                <w:lang w:val="en-GB"/>
              </w:rPr>
            </w:pPr>
            <w:r>
              <w:rPr>
                <w:rFonts w:hint="eastAsia" w:cs="Times New Roman"/>
                <w:kern w:val="0"/>
                <w:sz w:val="18"/>
                <w:szCs w:val="18"/>
                <w:lang w:val="en-GB"/>
              </w:rPr>
              <w:t>：北京绿建软件股份有限公司</w:t>
            </w:r>
          </w:p>
        </w:tc>
        <w:tc>
          <w:tcPr>
            <w:tcW w:w="3957" w:type="dxa"/>
            <w:vMerge w:val="continue"/>
            <w:tcBorders>
              <w:top w:val="single" w:color="auto" w:sz="2" w:space="0"/>
              <w:left w:val="nil"/>
              <w:bottom w:val="nil"/>
              <w:right w:val="nil"/>
            </w:tcBorders>
            <w:vAlign w:val="center"/>
          </w:tcPr>
          <w:p>
            <w:pPr>
              <w:widowControl/>
              <w:spacing w:line="360" w:lineRule="exact"/>
              <w:jc w:val="center"/>
              <w:rPr>
                <w:rFonts w:cs="Times New Roman" w:asciiTheme="minorHAnsi" w:hAnsiTheme="minorHAnsi" w:eastAsiaTheme="minorEastAsia"/>
                <w:color w:val="767171" w:themeColor="background2" w:themeShade="80"/>
                <w:sz w:val="18"/>
                <w:lang w:val="en-GB"/>
              </w:rPr>
            </w:pPr>
          </w:p>
        </w:tc>
      </w:tr>
    </w:tbl>
    <w:p>
      <w:pPr>
        <w:widowControl/>
        <w:tabs>
          <w:tab w:val="left" w:pos="2310"/>
          <w:tab w:val="center" w:pos="4333"/>
        </w:tabs>
        <w:rPr>
          <w:rFonts w:hint="eastAsia" w:cs="Times New Roman"/>
          <w:kern w:val="0"/>
          <w:sz w:val="18"/>
          <w:szCs w:val="20"/>
          <w:lang w:val="en-GB"/>
        </w:rPr>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pPr>
        <w:spacing w:line="1000" w:lineRule="exact"/>
        <w:jc w:val="center"/>
        <w:rPr>
          <w:rFonts w:hint="eastAsia" w:ascii="宋体" w:hAnsi="宋体"/>
          <w:b/>
          <w:bCs/>
          <w:sz w:val="32"/>
          <w:szCs w:val="32"/>
        </w:rPr>
      </w:pPr>
      <w:bookmarkStart w:id="12"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hint="eastAsia"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_Toc8867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_Toc8867 </w:instrText>
      </w:r>
      <w:r>
        <w:fldChar w:fldCharType="separate"/>
      </w:r>
      <w:r>
        <w:t>1</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_Toc18556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_Toc18556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_Toc9398 </w:instrText>
      </w:r>
      <w:r>
        <w:fldChar w:fldCharType="separate"/>
      </w:r>
      <w:r>
        <w:rPr>
          <w:rFonts w:hint="eastAsia"/>
          <w:szCs w:val="24"/>
        </w:rPr>
        <w:t>2.1评价</w:t>
      </w:r>
      <w:r>
        <w:rPr>
          <w:szCs w:val="24"/>
        </w:rPr>
        <w:t>依据</w:t>
      </w:r>
      <w:r>
        <w:tab/>
      </w:r>
      <w:r>
        <w:fldChar w:fldCharType="begin"/>
      </w:r>
      <w:r>
        <w:instrText xml:space="preserve"> PAGEREF _Toc9398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_Toc4009 </w:instrText>
      </w:r>
      <w:r>
        <w:fldChar w:fldCharType="separate"/>
      </w:r>
      <w:r>
        <w:rPr>
          <w:rFonts w:hint="eastAsia"/>
          <w:szCs w:val="24"/>
        </w:rPr>
        <w:t>2.2标准</w:t>
      </w:r>
      <w:r>
        <w:rPr>
          <w:szCs w:val="24"/>
        </w:rPr>
        <w:t>要求</w:t>
      </w:r>
      <w:r>
        <w:tab/>
      </w:r>
      <w:r>
        <w:fldChar w:fldCharType="begin"/>
      </w:r>
      <w:r>
        <w:instrText xml:space="preserve"> PAGEREF _Toc4009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_Toc21792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_Toc21792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_Toc8758 </w:instrText>
      </w:r>
      <w:r>
        <w:fldChar w:fldCharType="separate"/>
      </w:r>
      <w:r>
        <w:rPr>
          <w:rFonts w:hint="eastAsia"/>
          <w:szCs w:val="24"/>
        </w:rPr>
        <w:t>3.1模拟软件</w:t>
      </w:r>
      <w:r>
        <w:tab/>
      </w:r>
      <w:r>
        <w:fldChar w:fldCharType="begin"/>
      </w:r>
      <w:r>
        <w:instrText xml:space="preserve"> PAGEREF _Toc8758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_Toc4401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_Toc4401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_Toc30074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_Toc30074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_Toc22815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_Toc22815 </w:instrText>
      </w:r>
      <w:r>
        <w:fldChar w:fldCharType="separate"/>
      </w:r>
      <w:r>
        <w:t>4</w:t>
      </w:r>
      <w:r>
        <w:fldChar w:fldCharType="end"/>
      </w:r>
      <w:r>
        <w:fldChar w:fldCharType="end"/>
      </w:r>
    </w:p>
    <w:p>
      <w:pPr>
        <w:pStyle w:val="12"/>
        <w:tabs>
          <w:tab w:val="right" w:leader="dot" w:pos="9070"/>
          <w:tab w:val="clear" w:pos="180"/>
          <w:tab w:val="clear" w:pos="9360"/>
        </w:tabs>
      </w:pPr>
      <w:r>
        <w:fldChar w:fldCharType="begin"/>
      </w:r>
      <w:r>
        <w:instrText xml:space="preserve"> HYPERLINK \l _Toc20518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_Toc20518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_Toc19167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_Toc19167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_Toc10807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_Toc10807 </w:instrText>
      </w:r>
      <w:r>
        <w:fldChar w:fldCharType="separate"/>
      </w:r>
      <w:r>
        <w:t>8</w:t>
      </w:r>
      <w:r>
        <w:fldChar w:fldCharType="end"/>
      </w:r>
      <w:r>
        <w:fldChar w:fldCharType="end"/>
      </w:r>
    </w:p>
    <w:p>
      <w:pPr>
        <w:pStyle w:val="12"/>
        <w:tabs>
          <w:tab w:val="right" w:leader="dot" w:pos="9070"/>
          <w:tab w:val="clear" w:pos="180"/>
          <w:tab w:val="clear" w:pos="9360"/>
        </w:tabs>
      </w:pPr>
      <w:r>
        <w:fldChar w:fldCharType="begin"/>
      </w:r>
      <w:r>
        <w:instrText xml:space="preserve"> HYPERLINK \l _Toc4310 </w:instrText>
      </w:r>
      <w:r>
        <w:fldChar w:fldCharType="separate"/>
      </w:r>
      <w:r>
        <w:rPr>
          <w:rFonts w:hint="eastAsia" w:ascii="Times New Roman" w:hAnsi="Times New Roman"/>
          <w:szCs w:val="28"/>
        </w:rPr>
        <w:t>5.结论</w:t>
      </w:r>
      <w:r>
        <w:tab/>
      </w:r>
      <w:r>
        <w:fldChar w:fldCharType="begin"/>
      </w:r>
      <w:r>
        <w:instrText xml:space="preserve"> PAGEREF _Toc4310 </w:instrText>
      </w:r>
      <w:r>
        <w:fldChar w:fldCharType="separate"/>
      </w:r>
      <w:r>
        <w:t>13</w:t>
      </w:r>
      <w:r>
        <w:fldChar w:fldCharType="end"/>
      </w:r>
      <w:r>
        <w:fldChar w:fldCharType="end"/>
      </w:r>
    </w:p>
    <w:p>
      <w:pPr>
        <w:pStyle w:val="12"/>
      </w:pPr>
      <w:r>
        <w:fldChar w:fldCharType="end"/>
      </w:r>
      <w:bookmarkEnd w:id="12"/>
    </w:p>
    <w:p>
      <w:pPr>
        <w:jc w:val="right"/>
        <w:rPr>
          <w:rFonts w:hint="eastAsia"/>
        </w:rPr>
      </w:pPr>
    </w:p>
    <w:p>
      <w:pPr>
        <w:rPr>
          <w:rFonts w:hint="eastAsia"/>
        </w:rPr>
      </w:pPr>
    </w:p>
    <w:p>
      <w:pPr>
        <w:rPr>
          <w:rFonts w:hint="eastAsia"/>
        </w:rPr>
        <w:sectPr>
          <w:footerReference r:id="rId6" w:type="even"/>
          <w:pgSz w:w="11906" w:h="16838"/>
          <w:pgMar w:top="1440" w:right="1418" w:bottom="284" w:left="1418" w:header="851" w:footer="992" w:gutter="0"/>
          <w:cols w:space="425" w:num="1"/>
          <w:titlePg/>
          <w:docGrid w:type="lines" w:linePitch="312" w:charSpace="0"/>
        </w:sectPr>
      </w:pPr>
    </w:p>
    <w:p>
      <w:pPr>
        <w:pStyle w:val="2"/>
        <w:rPr>
          <w:rFonts w:ascii="Times New Roman" w:hAnsi="Times New Roman"/>
          <w:sz w:val="28"/>
          <w:szCs w:val="28"/>
        </w:rPr>
      </w:pPr>
      <w:bookmarkStart w:id="13" w:name="_Toc479326717"/>
      <w:bookmarkStart w:id="14" w:name="_Toc8867"/>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13"/>
      <w:bookmarkEnd w:id="14"/>
    </w:p>
    <w:p>
      <w:pPr>
        <w:rPr>
          <w:rFonts w:hint="eastAsia"/>
        </w:rPr>
      </w:pPr>
      <w:r>
        <w:rPr>
          <w:rFonts w:hint="eastAsia"/>
        </w:rPr>
        <w:t>本项目参与计算的噪声敏感参评建筑物如下表所示：</w:t>
      </w:r>
    </w:p>
    <w:p>
      <w:pPr>
        <w:widowControl/>
        <w:spacing w:before="240"/>
        <w:jc w:val="center"/>
        <w:rPr>
          <w:rFonts w:hint="eastAsia"/>
          <w:kern w:val="0"/>
          <w:sz w:val="18"/>
          <w:szCs w:val="18"/>
        </w:rPr>
      </w:pPr>
      <w:r>
        <w:rPr>
          <w:rFonts w:hint="eastAsia"/>
          <w:kern w:val="0"/>
          <w:szCs w:val="21"/>
        </w:rPr>
        <w:t>表1 参评</w:t>
      </w:r>
      <w:r>
        <w:rPr>
          <w:kern w:val="0"/>
          <w:szCs w:val="21"/>
        </w:rPr>
        <w:t>建筑</w:t>
      </w:r>
      <w:r>
        <w:rPr>
          <w:rFonts w:hint="eastAsia"/>
          <w:kern w:val="0"/>
          <w:szCs w:val="21"/>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S1</w:t>
            </w:r>
          </w:p>
        </w:tc>
        <w:tc>
          <w:tcPr>
            <w:vAlign w:val="center"/>
          </w:tcPr>
          <w:p>
            <w:pPr>
              <w:jc w:val="center"/>
            </w:pPr>
            <w:r>
              <w:t>20.00</w:t>
            </w:r>
          </w:p>
        </w:tc>
        <w:tc>
          <w:tcPr>
            <w:vAlign w:val="center"/>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S2</w:t>
            </w:r>
          </w:p>
        </w:tc>
        <w:tc>
          <w:tcPr>
            <w:vAlign w:val="center"/>
          </w:tcPr>
          <w:p>
            <w:pPr>
              <w:jc w:val="center"/>
            </w:pPr>
            <w:r>
              <w:t>20.00</w:t>
            </w:r>
          </w:p>
        </w:tc>
        <w:tc>
          <w:tcPr>
            <w:vAlign w:val="center"/>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S3</w:t>
            </w:r>
          </w:p>
        </w:tc>
        <w:tc>
          <w:tcPr>
            <w:vAlign w:val="center"/>
          </w:tcPr>
          <w:p>
            <w:pPr>
              <w:jc w:val="center"/>
            </w:pPr>
            <w:r>
              <w:t>7.00</w:t>
            </w:r>
          </w:p>
        </w:tc>
        <w:tc>
          <w:tcPr>
            <w:vAlign w:val="center"/>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S4</w:t>
            </w:r>
          </w:p>
        </w:tc>
        <w:tc>
          <w:tcPr>
            <w:vAlign w:val="center"/>
          </w:tcPr>
          <w:p>
            <w:pPr>
              <w:jc w:val="center"/>
            </w:pPr>
            <w:r>
              <w:t>20.00</w:t>
            </w:r>
          </w:p>
        </w:tc>
        <w:tc>
          <w:tcPr>
            <w:vAlign w:val="center"/>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S5</w:t>
            </w:r>
          </w:p>
        </w:tc>
        <w:tc>
          <w:tcPr>
            <w:vAlign w:val="center"/>
          </w:tcPr>
          <w:p>
            <w:pPr>
              <w:jc w:val="center"/>
            </w:pPr>
            <w:r>
              <w:t>20.00</w:t>
            </w:r>
          </w:p>
        </w:tc>
        <w:tc>
          <w:tcPr>
            <w:vAlign w:val="center"/>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S6</w:t>
            </w:r>
          </w:p>
        </w:tc>
        <w:tc>
          <w:tcPr>
            <w:vAlign w:val="center"/>
          </w:tcPr>
          <w:p>
            <w:pPr>
              <w:jc w:val="center"/>
            </w:pPr>
            <w:r>
              <w:t>20.00</w:t>
            </w:r>
          </w:p>
        </w:tc>
        <w:tc>
          <w:tcPr>
            <w:vAlign w:val="center"/>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办公楼</w:t>
            </w:r>
          </w:p>
        </w:tc>
        <w:tc>
          <w:tcPr>
            <w:vAlign w:val="center"/>
          </w:tcPr>
          <w:p>
            <w:pPr>
              <w:jc w:val="center"/>
            </w:pPr>
            <w:r>
              <w:t>8.40</w:t>
            </w:r>
          </w:p>
        </w:tc>
        <w:tc>
          <w:tcPr>
            <w:vAlign w:val="center"/>
          </w:tcPr>
          <w:p>
            <w:pPr>
              <w:jc w:val="center"/>
            </w:pPr>
            <w:r>
              <w:t>-14.70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小学楼</w:t>
            </w:r>
          </w:p>
        </w:tc>
        <w:tc>
          <w:tcPr>
            <w:vAlign w:val="center"/>
          </w:tcPr>
          <w:p>
            <w:pPr>
              <w:jc w:val="center"/>
            </w:pPr>
            <w:r>
              <w:t>23.90</w:t>
            </w:r>
          </w:p>
        </w:tc>
        <w:tc>
          <w:tcPr>
            <w:vAlign w:val="center"/>
          </w:tcPr>
          <w:p>
            <w:pPr>
              <w:jc w:val="center"/>
            </w:pPr>
            <w:r>
              <w:t>0.00</w:t>
            </w:r>
          </w:p>
        </w:tc>
      </w:tr>
    </w:tbl>
    <w:p>
      <w:pPr>
        <w:jc w:val="center"/>
        <w:rPr>
          <w:rFonts w:hint="eastAsia"/>
        </w:rPr>
      </w:pPr>
      <w:bookmarkStart w:id="15" w:name="参评建筑信息表"/>
      <w:bookmarkEnd w:id="15"/>
    </w:p>
    <w:p>
      <w:pPr>
        <w:pStyle w:val="2"/>
        <w:rPr>
          <w:rFonts w:ascii="Times New Roman" w:hAnsi="Times New Roman"/>
          <w:sz w:val="28"/>
          <w:szCs w:val="28"/>
        </w:rPr>
      </w:pPr>
      <w:bookmarkStart w:id="16" w:name="_Toc479326718"/>
      <w:bookmarkStart w:id="17" w:name="_Toc18556"/>
      <w:r>
        <w:rPr>
          <w:rFonts w:hint="eastAsia" w:ascii="Times New Roman" w:hAnsi="Times New Roman"/>
          <w:sz w:val="28"/>
          <w:szCs w:val="28"/>
        </w:rPr>
        <w:t>2.评价</w:t>
      </w:r>
      <w:r>
        <w:rPr>
          <w:rFonts w:ascii="Times New Roman" w:hAnsi="Times New Roman"/>
          <w:sz w:val="28"/>
          <w:szCs w:val="28"/>
        </w:rPr>
        <w:t>标准</w:t>
      </w:r>
      <w:bookmarkEnd w:id="16"/>
      <w:bookmarkEnd w:id="17"/>
    </w:p>
    <w:p>
      <w:pPr>
        <w:pStyle w:val="3"/>
        <w:rPr>
          <w:rFonts w:hint="eastAsia"/>
          <w:sz w:val="24"/>
          <w:szCs w:val="24"/>
        </w:rPr>
      </w:pPr>
      <w:bookmarkStart w:id="18" w:name="_Toc479326719"/>
      <w:bookmarkStart w:id="19" w:name="_Toc9398"/>
      <w:r>
        <w:rPr>
          <w:rFonts w:hint="eastAsia"/>
          <w:sz w:val="24"/>
          <w:szCs w:val="24"/>
        </w:rPr>
        <w:t>2.1评价</w:t>
      </w:r>
      <w:r>
        <w:rPr>
          <w:sz w:val="24"/>
          <w:szCs w:val="24"/>
        </w:rPr>
        <w:t>依据</w:t>
      </w:r>
      <w:bookmarkEnd w:id="18"/>
      <w:bookmarkEnd w:id="19"/>
    </w:p>
    <w:p>
      <w:pPr>
        <w:pStyle w:val="25"/>
        <w:numPr>
          <w:ilvl w:val="0"/>
          <w:numId w:val="1"/>
        </w:numPr>
        <w:ind w:firstLineChars="0"/>
        <w:rPr>
          <w:rFonts w:hint="eastAsia"/>
        </w:rPr>
      </w:pPr>
      <w:bookmarkStart w:id="20" w:name="标准名称1"/>
      <w:bookmarkStart w:id="21" w:name="_Hlk13924517"/>
      <w:bookmarkStart w:id="22" w:name="_Toc479326720"/>
      <w:r>
        <w:rPr>
          <w:rFonts w:hint="eastAsia"/>
        </w:rPr>
        <w:t>《福建省绿色建筑设计标准》DBJ/T 13-197-2022</w:t>
      </w:r>
      <w:bookmarkEnd w:id="20"/>
    </w:p>
    <w:p>
      <w:pPr>
        <w:pStyle w:val="25"/>
        <w:numPr>
          <w:ilvl w:val="0"/>
          <w:numId w:val="1"/>
        </w:numPr>
        <w:ind w:firstLineChars="0"/>
        <w:rPr>
          <w:rFonts w:hint="eastAsia"/>
        </w:rPr>
      </w:pPr>
      <w:r>
        <w:rPr>
          <w:rFonts w:hint="eastAsia"/>
        </w:rPr>
        <w:t>《绿色建筑评价标准》</w:t>
      </w:r>
      <w:r>
        <w:t>GB</w:t>
      </w:r>
      <w:r>
        <w:rPr>
          <w:rFonts w:hint="eastAsia"/>
        </w:rPr>
        <w:t xml:space="preserve"> </w:t>
      </w:r>
      <w:r>
        <w:t>50378-2019</w:t>
      </w:r>
      <w:bookmarkEnd w:id="21"/>
      <w:r>
        <w:t xml:space="preserve"> </w:t>
      </w:r>
    </w:p>
    <w:p>
      <w:pPr>
        <w:pStyle w:val="25"/>
        <w:numPr>
          <w:ilvl w:val="0"/>
          <w:numId w:val="1"/>
        </w:numPr>
        <w:ind w:firstLineChars="0"/>
        <w:rPr>
          <w:rFonts w:hint="eastAsia"/>
        </w:rPr>
      </w:pPr>
      <w:r>
        <w:rPr>
          <w:rFonts w:hint="eastAsia"/>
        </w:rPr>
        <w:t>《绿色建筑评价</w:t>
      </w:r>
      <w:r>
        <w:t>技术细则</w:t>
      </w:r>
      <w:r>
        <w:rPr>
          <w:rFonts w:hint="eastAsia"/>
        </w:rPr>
        <w:t>》2019</w:t>
      </w:r>
    </w:p>
    <w:p>
      <w:pPr>
        <w:pStyle w:val="25"/>
        <w:numPr>
          <w:ilvl w:val="0"/>
          <w:numId w:val="1"/>
        </w:numPr>
        <w:ind w:firstLineChars="0"/>
        <w:rPr>
          <w:rFonts w:hint="eastAsia"/>
        </w:rPr>
      </w:pPr>
      <w:r>
        <w:rPr>
          <w:rFonts w:hint="eastAsia"/>
        </w:rPr>
        <w:t>《声环境质量标准》</w:t>
      </w:r>
      <w:r>
        <w:t xml:space="preserve">GB 3096-2008 </w:t>
      </w:r>
    </w:p>
    <w:p>
      <w:pPr>
        <w:pStyle w:val="25"/>
        <w:numPr>
          <w:ilvl w:val="0"/>
          <w:numId w:val="1"/>
        </w:numPr>
        <w:ind w:firstLineChars="0"/>
        <w:rPr>
          <w:rFonts w:hint="eastAsia"/>
        </w:rPr>
      </w:pPr>
      <w:r>
        <w:rPr>
          <w:rFonts w:hint="eastAsia"/>
        </w:rPr>
        <w:t>《环境</w:t>
      </w:r>
      <w:r>
        <w:t>影响评价技术</w:t>
      </w:r>
      <w:r>
        <w:rPr>
          <w:rFonts w:hint="eastAsia"/>
        </w:rPr>
        <w:t>导则 声环境》HJ</w:t>
      </w:r>
      <w:r>
        <w:t>2.4-20</w:t>
      </w:r>
      <w:r>
        <w:rPr>
          <w:rFonts w:hint="eastAsia"/>
        </w:rPr>
        <w:t>21</w:t>
      </w:r>
    </w:p>
    <w:p>
      <w:pPr>
        <w:pStyle w:val="25"/>
        <w:numPr>
          <w:ilvl w:val="0"/>
          <w:numId w:val="1"/>
        </w:numPr>
        <w:ind w:firstLineChars="0"/>
        <w:rPr>
          <w:rFonts w:hint="eastAsia"/>
        </w:rPr>
      </w:pPr>
      <w:r>
        <w:rPr>
          <w:rFonts w:hint="eastAsia"/>
        </w:rPr>
        <w:t>《声环境功能区划分技术规范》</w:t>
      </w:r>
      <w:r>
        <w:t>GB/T 15190-2014</w:t>
      </w:r>
    </w:p>
    <w:p>
      <w:pPr>
        <w:pStyle w:val="25"/>
        <w:numPr>
          <w:ilvl w:val="0"/>
          <w:numId w:val="1"/>
        </w:numPr>
        <w:ind w:firstLineChars="0"/>
        <w:rPr>
          <w:rFonts w:hint="eastAsia"/>
        </w:rPr>
      </w:pPr>
      <w:r>
        <w:rPr>
          <w:rFonts w:hint="eastAsia"/>
        </w:rPr>
        <w:t>《</w:t>
      </w:r>
      <w:r>
        <w:t>民用建筑绿色性能计算标准</w:t>
      </w:r>
      <w:r>
        <w:rPr>
          <w:rFonts w:hint="eastAsia"/>
        </w:rPr>
        <w:t>》</w:t>
      </w:r>
      <w:r>
        <w:t xml:space="preserve">JGJ/T 449-2018 </w:t>
      </w:r>
    </w:p>
    <w:p>
      <w:pPr>
        <w:pStyle w:val="3"/>
        <w:rPr>
          <w:rFonts w:hint="eastAsia"/>
          <w:sz w:val="24"/>
          <w:szCs w:val="24"/>
        </w:rPr>
      </w:pPr>
      <w:bookmarkStart w:id="23" w:name="_Toc4009"/>
      <w:r>
        <w:rPr>
          <w:rFonts w:hint="eastAsia"/>
          <w:sz w:val="24"/>
          <w:szCs w:val="24"/>
        </w:rPr>
        <w:t>2.2标准</w:t>
      </w:r>
      <w:r>
        <w:rPr>
          <w:sz w:val="24"/>
          <w:szCs w:val="24"/>
        </w:rPr>
        <w:t>要求</w:t>
      </w:r>
      <w:bookmarkEnd w:id="22"/>
      <w:bookmarkEnd w:id="23"/>
    </w:p>
    <w:p>
      <w:pPr>
        <w:pStyle w:val="25"/>
        <w:numPr>
          <w:ilvl w:val="0"/>
          <w:numId w:val="2"/>
        </w:numPr>
        <w:ind w:firstLineChars="0"/>
        <w:rPr>
          <w:rFonts w:hint="eastAsia"/>
        </w:rPr>
      </w:pPr>
      <w:bookmarkStart w:id="24" w:name="标准名称2"/>
      <w:r>
        <w:rPr>
          <w:rFonts w:hint="eastAsia"/>
        </w:rPr>
        <w:t>《福建省绿色建筑设计标准》DBJ/T 13-197-2022</w:t>
      </w:r>
      <w:bookmarkEnd w:id="24"/>
      <w:r>
        <w:rPr>
          <w:rFonts w:hint="eastAsia"/>
        </w:rPr>
        <w:t>中规定：</w:t>
      </w:r>
    </w:p>
    <w:p>
      <w:pPr>
        <w:pStyle w:val="25"/>
        <w:ind w:left="420" w:firstLine="0" w:firstLineChars="0"/>
        <w:rPr>
          <w:rFonts w:hint="eastAsia"/>
        </w:rPr>
      </w:pPr>
      <w:bookmarkStart w:id="25" w:name="室外条文内容"/>
      <w:r>
        <w:rPr>
          <w:rFonts w:hint="eastAsia"/>
        </w:rPr>
        <w:t>4.2.14 建筑布局和场地设计时应根据室外噪声模拟预测分析结果，对总平面布局、建筑功能分区、声屏障布置等方面进行优化设计，并应符合下列要求（设计分值为8分）：</w:t>
      </w:r>
    </w:p>
    <w:p>
      <w:pPr>
        <w:pStyle w:val="25"/>
        <w:ind w:left="420" w:firstLine="0" w:firstLineChars="0"/>
        <w:rPr>
          <w:rFonts w:hint="eastAsia"/>
        </w:rPr>
      </w:pPr>
      <w:r>
        <w:rPr>
          <w:rFonts w:hint="eastAsia"/>
        </w:rPr>
        <w:t xml:space="preserve">  1 环境噪声值大于2类声环境功能区标准限值，且小于等于3类声环境功能区标准限值，得4分；</w:t>
      </w:r>
    </w:p>
    <w:p>
      <w:pPr>
        <w:pStyle w:val="25"/>
        <w:ind w:left="420" w:firstLine="0" w:firstLineChars="0"/>
        <w:rPr>
          <w:rFonts w:hint="eastAsia"/>
        </w:rPr>
      </w:pPr>
      <w:r>
        <w:rPr>
          <w:rFonts w:hint="eastAsia"/>
        </w:rPr>
        <w:t xml:space="preserve">  2 环境噪声值小于等于2类声环境功能区标准限值，得8分。</w:t>
      </w:r>
    </w:p>
    <w:bookmarkEnd w:id="25"/>
    <w:p>
      <w:pPr>
        <w:pStyle w:val="25"/>
        <w:numPr>
          <w:ilvl w:val="0"/>
          <w:numId w:val="3"/>
        </w:numPr>
        <w:ind w:firstLineChars="0"/>
        <w:rPr>
          <w:rFonts w:hint="eastAsia"/>
        </w:rPr>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ind w:right="180"/>
        <w:jc w:val="right"/>
        <w:rPr>
          <w:rFonts w:hint="eastAsia"/>
          <w:kern w:val="0"/>
          <w:sz w:val="18"/>
          <w:szCs w:val="18"/>
        </w:rPr>
      </w:pPr>
      <w:r>
        <w:rPr>
          <w:rFonts w:hint="eastAsia"/>
          <w:kern w:val="0"/>
          <w:szCs w:val="21"/>
        </w:rPr>
        <w:t>表2 环境</w:t>
      </w:r>
      <w:r>
        <w:rPr>
          <w:kern w:val="0"/>
          <w:szCs w:val="21"/>
        </w:rPr>
        <w:t>噪声限值</w:t>
      </w:r>
      <w:r>
        <w:rPr>
          <w:rFonts w:hint="eastAsia"/>
          <w:kern w:val="0"/>
          <w:szCs w:val="21"/>
        </w:rPr>
        <w:t xml:space="preserve"> </w:t>
      </w:r>
      <w:r>
        <w:rPr>
          <w:kern w:val="0"/>
          <w:szCs w:val="21"/>
        </w:rPr>
        <w:t xml:space="preserve"> </w:t>
      </w:r>
      <w:r>
        <w:rPr>
          <w:rFonts w:hint="eastAsia"/>
          <w:kern w:val="0"/>
          <w:szCs w:val="21"/>
        </w:rPr>
        <w:t xml:space="preserve"> </w:t>
      </w:r>
      <w:r>
        <w:rPr>
          <w:kern w:val="0"/>
          <w:szCs w:val="21"/>
        </w:rPr>
        <w:t xml:space="preserve">          </w:t>
      </w:r>
      <w:r>
        <w:rPr>
          <w:rFonts w:hint="eastAsia"/>
          <w:kern w:val="0"/>
          <w:szCs w:val="21"/>
        </w:rPr>
        <w:t xml:space="preserve">     单位</w:t>
      </w:r>
      <w:r>
        <w:rPr>
          <w:kern w:val="0"/>
          <w:szCs w:val="21"/>
        </w:rPr>
        <w:t>：dB(A</w:t>
      </w:r>
      <w:r>
        <w:rPr>
          <w:rFonts w:hint="eastAsia"/>
          <w:kern w:val="0"/>
          <w:szCs w:val="21"/>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pPr>
              <w:jc w:val="center"/>
              <w:rPr>
                <w:rFonts w:hint="eastAsia"/>
                <w:sz w:val="18"/>
                <w:szCs w:val="18"/>
              </w:rPr>
            </w:pPr>
            <w:r>
              <w:rPr>
                <w:rFonts w:hint="eastAsia"/>
                <w:sz w:val="18"/>
                <w:szCs w:val="18"/>
              </w:rPr>
              <w:t>声环境</w:t>
            </w:r>
          </w:p>
          <w:p>
            <w:pPr>
              <w:jc w:val="center"/>
              <w:rPr>
                <w:rFonts w:hint="eastAsia"/>
                <w:sz w:val="18"/>
                <w:szCs w:val="18"/>
              </w:rPr>
            </w:pPr>
            <w:r>
              <w:rPr>
                <w:rFonts w:hint="eastAsia"/>
                <w:sz w:val="18"/>
                <w:szCs w:val="18"/>
              </w:rPr>
              <w:t>功能区类别</w:t>
            </w:r>
          </w:p>
        </w:tc>
        <w:tc>
          <w:tcPr>
            <w:tcW w:w="992" w:type="pct"/>
            <w:gridSpan w:val="2"/>
            <w:shd w:val="clear" w:color="auto" w:fill="D9D9D9"/>
            <w:noWrap/>
            <w:vAlign w:val="center"/>
          </w:tcPr>
          <w:p>
            <w:pPr>
              <w:jc w:val="center"/>
              <w:rPr>
                <w:rFonts w:hint="eastAsia"/>
                <w:sz w:val="18"/>
                <w:szCs w:val="18"/>
              </w:rPr>
            </w:pPr>
            <w:r>
              <w:rPr>
                <w:rFonts w:hint="eastAsia"/>
                <w:sz w:val="18"/>
                <w:szCs w:val="18"/>
              </w:rPr>
              <w:t>时段</w:t>
            </w:r>
          </w:p>
        </w:tc>
        <w:tc>
          <w:tcPr>
            <w:tcW w:w="3108" w:type="pct"/>
            <w:vMerge w:val="restart"/>
            <w:shd w:val="clear" w:color="auto" w:fill="D9D9D9"/>
            <w:noWrap/>
            <w:vAlign w:val="center"/>
          </w:tcPr>
          <w:p>
            <w:pPr>
              <w:jc w:val="center"/>
              <w:rPr>
                <w:rFonts w:hint="eastAsia"/>
                <w:sz w:val="18"/>
                <w:szCs w:val="18"/>
              </w:rPr>
            </w:pPr>
            <w:r>
              <w:rPr>
                <w:rFonts w:hint="eastAsia"/>
                <w:sz w:val="18"/>
                <w:szCs w:val="18"/>
              </w:rPr>
              <w:t>适用范围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pPr>
              <w:jc w:val="center"/>
              <w:rPr>
                <w:rFonts w:hint="eastAsia"/>
                <w:sz w:val="18"/>
                <w:szCs w:val="18"/>
              </w:rPr>
            </w:pPr>
          </w:p>
        </w:tc>
        <w:tc>
          <w:tcPr>
            <w:tcW w:w="496" w:type="pct"/>
            <w:shd w:val="clear" w:color="auto" w:fill="D9D9D9"/>
            <w:noWrap/>
            <w:vAlign w:val="center"/>
          </w:tcPr>
          <w:p>
            <w:pPr>
              <w:jc w:val="center"/>
              <w:rPr>
                <w:rFonts w:hint="eastAsia"/>
                <w:sz w:val="18"/>
                <w:szCs w:val="18"/>
              </w:rPr>
            </w:pPr>
            <w:r>
              <w:rPr>
                <w:rFonts w:hint="eastAsia"/>
                <w:sz w:val="18"/>
                <w:szCs w:val="18"/>
              </w:rPr>
              <w:t>昼间</w:t>
            </w:r>
          </w:p>
        </w:tc>
        <w:tc>
          <w:tcPr>
            <w:tcW w:w="496" w:type="pct"/>
            <w:shd w:val="clear" w:color="auto" w:fill="D9D9D9"/>
            <w:noWrap/>
            <w:vAlign w:val="center"/>
          </w:tcPr>
          <w:p>
            <w:pPr>
              <w:jc w:val="center"/>
              <w:rPr>
                <w:rFonts w:hint="eastAsia"/>
                <w:sz w:val="18"/>
                <w:szCs w:val="18"/>
              </w:rPr>
            </w:pPr>
            <w:r>
              <w:rPr>
                <w:rFonts w:hint="eastAsia"/>
                <w:sz w:val="18"/>
                <w:szCs w:val="18"/>
              </w:rPr>
              <w:t>夜间</w:t>
            </w:r>
          </w:p>
        </w:tc>
        <w:tc>
          <w:tcPr>
            <w:tcW w:w="3108" w:type="pct"/>
            <w:vMerge w:val="continue"/>
            <w:shd w:val="clear" w:color="auto" w:fill="D9D9D9"/>
            <w:vAlign w:val="center"/>
          </w:tcPr>
          <w:p>
            <w:pPr>
              <w:jc w:val="center"/>
              <w:rPr>
                <w:rFonts w:hint="eastAsia"/>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pPr>
              <w:jc w:val="center"/>
              <w:rPr>
                <w:rFonts w:hint="eastAsia"/>
                <w:sz w:val="18"/>
                <w:szCs w:val="18"/>
              </w:rPr>
            </w:pPr>
            <w:r>
              <w:rPr>
                <w:sz w:val="18"/>
                <w:szCs w:val="18"/>
              </w:rPr>
              <w:t>0类</w:t>
            </w:r>
          </w:p>
        </w:tc>
        <w:tc>
          <w:tcPr>
            <w:tcW w:w="496" w:type="pct"/>
            <w:shd w:val="clear" w:color="auto" w:fill="auto"/>
            <w:noWrap/>
            <w:vAlign w:val="center"/>
          </w:tcPr>
          <w:p>
            <w:pPr>
              <w:jc w:val="center"/>
              <w:rPr>
                <w:rFonts w:hint="eastAsia"/>
                <w:sz w:val="18"/>
                <w:szCs w:val="18"/>
              </w:rPr>
            </w:pPr>
            <w:r>
              <w:rPr>
                <w:sz w:val="18"/>
                <w:szCs w:val="18"/>
              </w:rPr>
              <w:t>50</w:t>
            </w:r>
          </w:p>
        </w:tc>
        <w:tc>
          <w:tcPr>
            <w:tcW w:w="496" w:type="pct"/>
            <w:shd w:val="clear" w:color="auto" w:fill="auto"/>
            <w:noWrap/>
            <w:vAlign w:val="center"/>
          </w:tcPr>
          <w:p>
            <w:pPr>
              <w:jc w:val="center"/>
              <w:rPr>
                <w:rFonts w:hint="eastAsia"/>
                <w:sz w:val="18"/>
                <w:szCs w:val="18"/>
              </w:rPr>
            </w:pPr>
            <w:r>
              <w:rPr>
                <w:sz w:val="18"/>
                <w:szCs w:val="18"/>
              </w:rPr>
              <w:t>40</w:t>
            </w:r>
          </w:p>
        </w:tc>
        <w:tc>
          <w:tcPr>
            <w:tcW w:w="3108" w:type="pct"/>
            <w:shd w:val="clear" w:color="auto" w:fill="auto"/>
            <w:vAlign w:val="center"/>
          </w:tcPr>
          <w:p>
            <w:pPr>
              <w:rPr>
                <w:rFonts w:hint="eastAsia"/>
                <w:sz w:val="18"/>
                <w:szCs w:val="18"/>
              </w:rPr>
            </w:pPr>
            <w:r>
              <w:rPr>
                <w:rFonts w:hint="eastAsia"/>
                <w:sz w:val="18"/>
                <w:szCs w:val="18"/>
              </w:rPr>
              <w:t>指康复疗养区等特别需要安静的区域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pPr>
              <w:jc w:val="center"/>
              <w:rPr>
                <w:rFonts w:hint="eastAsia"/>
                <w:sz w:val="18"/>
                <w:szCs w:val="18"/>
              </w:rPr>
            </w:pPr>
            <w:r>
              <w:rPr>
                <w:sz w:val="18"/>
                <w:szCs w:val="18"/>
              </w:rPr>
              <w:t>1类</w:t>
            </w:r>
          </w:p>
        </w:tc>
        <w:tc>
          <w:tcPr>
            <w:tcW w:w="496" w:type="pct"/>
            <w:shd w:val="clear" w:color="auto" w:fill="auto"/>
            <w:noWrap/>
            <w:vAlign w:val="center"/>
          </w:tcPr>
          <w:p>
            <w:pPr>
              <w:jc w:val="center"/>
              <w:rPr>
                <w:rFonts w:hint="eastAsia"/>
                <w:sz w:val="18"/>
                <w:szCs w:val="18"/>
              </w:rPr>
            </w:pPr>
            <w:r>
              <w:rPr>
                <w:sz w:val="18"/>
                <w:szCs w:val="18"/>
              </w:rPr>
              <w:t>55</w:t>
            </w:r>
          </w:p>
        </w:tc>
        <w:tc>
          <w:tcPr>
            <w:tcW w:w="496" w:type="pct"/>
            <w:shd w:val="clear" w:color="auto" w:fill="auto"/>
            <w:noWrap/>
            <w:vAlign w:val="center"/>
          </w:tcPr>
          <w:p>
            <w:pPr>
              <w:jc w:val="center"/>
              <w:rPr>
                <w:rFonts w:hint="eastAsia"/>
                <w:sz w:val="18"/>
                <w:szCs w:val="18"/>
              </w:rPr>
            </w:pPr>
            <w:r>
              <w:rPr>
                <w:sz w:val="18"/>
                <w:szCs w:val="18"/>
              </w:rPr>
              <w:t>45</w:t>
            </w:r>
          </w:p>
        </w:tc>
        <w:tc>
          <w:tcPr>
            <w:tcW w:w="3108" w:type="pct"/>
            <w:shd w:val="clear" w:color="auto" w:fill="auto"/>
            <w:vAlign w:val="center"/>
          </w:tcPr>
          <w:p>
            <w:pPr>
              <w:rPr>
                <w:rFonts w:hint="eastAsia"/>
                <w:sz w:val="18"/>
                <w:szCs w:val="18"/>
              </w:rPr>
            </w:pPr>
            <w:r>
              <w:rPr>
                <w:rFonts w:hint="eastAsia"/>
                <w:sz w:val="18"/>
                <w:szCs w:val="18"/>
              </w:rPr>
              <w:t>指以居民住宅、医疗卫生、文化教育、科研设计、行政办公为主要功能，需要保持安静的区域。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pPr>
              <w:jc w:val="center"/>
              <w:rPr>
                <w:rFonts w:hint="eastAsia"/>
                <w:sz w:val="18"/>
                <w:szCs w:val="18"/>
              </w:rPr>
            </w:pPr>
            <w:r>
              <w:rPr>
                <w:sz w:val="18"/>
                <w:szCs w:val="18"/>
              </w:rPr>
              <w:t>2类</w:t>
            </w:r>
          </w:p>
        </w:tc>
        <w:tc>
          <w:tcPr>
            <w:tcW w:w="496" w:type="pct"/>
            <w:shd w:val="clear" w:color="auto" w:fill="auto"/>
            <w:noWrap/>
            <w:vAlign w:val="center"/>
          </w:tcPr>
          <w:p>
            <w:pPr>
              <w:jc w:val="center"/>
              <w:rPr>
                <w:rFonts w:hint="eastAsia"/>
                <w:sz w:val="18"/>
                <w:szCs w:val="18"/>
              </w:rPr>
            </w:pPr>
            <w:r>
              <w:rPr>
                <w:sz w:val="18"/>
                <w:szCs w:val="18"/>
              </w:rPr>
              <w:t>60</w:t>
            </w:r>
          </w:p>
        </w:tc>
        <w:tc>
          <w:tcPr>
            <w:tcW w:w="496" w:type="pct"/>
            <w:shd w:val="clear" w:color="auto" w:fill="auto"/>
            <w:noWrap/>
            <w:vAlign w:val="center"/>
          </w:tcPr>
          <w:p>
            <w:pPr>
              <w:jc w:val="center"/>
              <w:rPr>
                <w:rFonts w:hint="eastAsia"/>
                <w:sz w:val="18"/>
                <w:szCs w:val="18"/>
              </w:rPr>
            </w:pPr>
            <w:r>
              <w:rPr>
                <w:sz w:val="18"/>
                <w:szCs w:val="18"/>
              </w:rPr>
              <w:t>50</w:t>
            </w:r>
          </w:p>
        </w:tc>
        <w:tc>
          <w:tcPr>
            <w:tcW w:w="3108" w:type="pct"/>
            <w:shd w:val="clear" w:color="auto" w:fill="auto"/>
            <w:vAlign w:val="center"/>
          </w:tcPr>
          <w:p>
            <w:pPr>
              <w:rPr>
                <w:rFonts w:hint="eastAsia"/>
                <w:sz w:val="18"/>
                <w:szCs w:val="18"/>
              </w:rPr>
            </w:pPr>
            <w:r>
              <w:rPr>
                <w:rFonts w:hint="eastAsia"/>
                <w:sz w:val="18"/>
                <w:szCs w:val="18"/>
              </w:rPr>
              <w:t>指以商业金融、集市贸易为主要功能，或者居住、商业、 工业混杂，需要维护住宅安静的区域。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pPr>
              <w:jc w:val="center"/>
              <w:rPr>
                <w:rFonts w:hint="eastAsia"/>
                <w:sz w:val="18"/>
                <w:szCs w:val="18"/>
              </w:rPr>
            </w:pPr>
            <w:r>
              <w:rPr>
                <w:sz w:val="18"/>
                <w:szCs w:val="18"/>
              </w:rPr>
              <w:t>3类</w:t>
            </w:r>
          </w:p>
        </w:tc>
        <w:tc>
          <w:tcPr>
            <w:tcW w:w="496" w:type="pct"/>
            <w:shd w:val="clear" w:color="auto" w:fill="auto"/>
            <w:noWrap/>
            <w:vAlign w:val="center"/>
          </w:tcPr>
          <w:p>
            <w:pPr>
              <w:jc w:val="center"/>
              <w:rPr>
                <w:rFonts w:hint="eastAsia"/>
                <w:sz w:val="18"/>
                <w:szCs w:val="18"/>
              </w:rPr>
            </w:pPr>
            <w:r>
              <w:rPr>
                <w:sz w:val="18"/>
                <w:szCs w:val="18"/>
              </w:rPr>
              <w:t>65</w:t>
            </w:r>
          </w:p>
        </w:tc>
        <w:tc>
          <w:tcPr>
            <w:tcW w:w="496" w:type="pct"/>
            <w:shd w:val="clear" w:color="auto" w:fill="auto"/>
            <w:noWrap/>
            <w:vAlign w:val="center"/>
          </w:tcPr>
          <w:p>
            <w:pPr>
              <w:jc w:val="center"/>
              <w:rPr>
                <w:rFonts w:hint="eastAsia"/>
                <w:sz w:val="18"/>
                <w:szCs w:val="18"/>
              </w:rPr>
            </w:pPr>
            <w:r>
              <w:rPr>
                <w:sz w:val="18"/>
                <w:szCs w:val="18"/>
              </w:rPr>
              <w:t>55</w:t>
            </w:r>
          </w:p>
        </w:tc>
        <w:tc>
          <w:tcPr>
            <w:tcW w:w="3108" w:type="pct"/>
            <w:shd w:val="clear" w:color="auto" w:fill="auto"/>
            <w:vAlign w:val="center"/>
          </w:tcPr>
          <w:p>
            <w:pPr>
              <w:rPr>
                <w:rFonts w:hint="eastAsia"/>
                <w:sz w:val="18"/>
                <w:szCs w:val="18"/>
              </w:rPr>
            </w:pPr>
            <w:r>
              <w:rPr>
                <w:rFonts w:hint="eastAsia"/>
                <w:sz w:val="18"/>
                <w:szCs w:val="18"/>
              </w:rPr>
              <w:t>指以工业生产、仓储物流为主要功能，需要防止工业噪声对周围环境产生严重影响的区域。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pPr>
              <w:jc w:val="center"/>
              <w:rPr>
                <w:rFonts w:hint="eastAsia"/>
                <w:sz w:val="18"/>
                <w:szCs w:val="18"/>
              </w:rPr>
            </w:pPr>
            <w:r>
              <w:rPr>
                <w:sz w:val="18"/>
                <w:szCs w:val="18"/>
              </w:rPr>
              <w:t>4类</w:t>
            </w:r>
          </w:p>
        </w:tc>
        <w:tc>
          <w:tcPr>
            <w:tcW w:w="502" w:type="pct"/>
            <w:shd w:val="clear" w:color="auto" w:fill="auto"/>
            <w:noWrap/>
            <w:vAlign w:val="center"/>
          </w:tcPr>
          <w:p>
            <w:pPr>
              <w:jc w:val="center"/>
              <w:rPr>
                <w:rFonts w:hint="eastAsia"/>
                <w:sz w:val="18"/>
                <w:szCs w:val="18"/>
              </w:rPr>
            </w:pPr>
            <w:r>
              <w:rPr>
                <w:sz w:val="18"/>
                <w:szCs w:val="18"/>
              </w:rPr>
              <w:t>4a类</w:t>
            </w:r>
          </w:p>
        </w:tc>
        <w:tc>
          <w:tcPr>
            <w:tcW w:w="496" w:type="pct"/>
            <w:shd w:val="clear" w:color="auto" w:fill="auto"/>
            <w:noWrap/>
            <w:vAlign w:val="center"/>
          </w:tcPr>
          <w:p>
            <w:pPr>
              <w:jc w:val="center"/>
              <w:rPr>
                <w:rFonts w:hint="eastAsia"/>
                <w:sz w:val="18"/>
                <w:szCs w:val="18"/>
              </w:rPr>
            </w:pPr>
            <w:r>
              <w:rPr>
                <w:sz w:val="18"/>
                <w:szCs w:val="18"/>
              </w:rPr>
              <w:t>70</w:t>
            </w:r>
          </w:p>
        </w:tc>
        <w:tc>
          <w:tcPr>
            <w:tcW w:w="496" w:type="pct"/>
            <w:shd w:val="clear" w:color="auto" w:fill="auto"/>
            <w:noWrap/>
            <w:vAlign w:val="center"/>
          </w:tcPr>
          <w:p>
            <w:pPr>
              <w:jc w:val="center"/>
              <w:rPr>
                <w:rFonts w:hint="eastAsia"/>
                <w:sz w:val="18"/>
                <w:szCs w:val="18"/>
              </w:rPr>
            </w:pPr>
            <w:r>
              <w:rPr>
                <w:sz w:val="18"/>
                <w:szCs w:val="18"/>
              </w:rPr>
              <w:t>55</w:t>
            </w:r>
          </w:p>
        </w:tc>
        <w:tc>
          <w:tcPr>
            <w:tcW w:w="3108" w:type="pct"/>
            <w:shd w:val="clear" w:color="auto" w:fill="auto"/>
            <w:vAlign w:val="center"/>
          </w:tcPr>
          <w:p>
            <w:pPr>
              <w:rPr>
                <w:rFonts w:hint="eastAsia"/>
                <w:sz w:val="18"/>
                <w:szCs w:val="18"/>
              </w:rPr>
            </w:pPr>
            <w:r>
              <w:rPr>
                <w:rFonts w:hint="eastAsia"/>
                <w:sz w:val="18"/>
                <w:szCs w:val="18"/>
              </w:rPr>
              <w:t>适用于高速公路、一级公路、二级公路、城市快速路、城市主干路、城市次干路、城市轨道交通、内河航道两侧一定距离之内，需要防止交通噪声对周围环境产生严重影响的区域。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pPr>
              <w:jc w:val="center"/>
              <w:rPr>
                <w:rFonts w:hint="eastAsia"/>
                <w:sz w:val="18"/>
                <w:szCs w:val="18"/>
              </w:rPr>
            </w:pPr>
          </w:p>
        </w:tc>
        <w:tc>
          <w:tcPr>
            <w:tcW w:w="502" w:type="pct"/>
            <w:shd w:val="clear" w:color="auto" w:fill="auto"/>
            <w:noWrap/>
            <w:vAlign w:val="center"/>
          </w:tcPr>
          <w:p>
            <w:pPr>
              <w:jc w:val="center"/>
              <w:rPr>
                <w:rFonts w:hint="eastAsia"/>
                <w:sz w:val="18"/>
                <w:szCs w:val="18"/>
              </w:rPr>
            </w:pPr>
            <w:r>
              <w:rPr>
                <w:sz w:val="18"/>
                <w:szCs w:val="18"/>
              </w:rPr>
              <w:t>4b类</w:t>
            </w:r>
          </w:p>
        </w:tc>
        <w:tc>
          <w:tcPr>
            <w:tcW w:w="496" w:type="pct"/>
            <w:shd w:val="clear" w:color="auto" w:fill="auto"/>
            <w:noWrap/>
            <w:vAlign w:val="center"/>
          </w:tcPr>
          <w:p>
            <w:pPr>
              <w:jc w:val="center"/>
              <w:rPr>
                <w:rFonts w:hint="eastAsia"/>
                <w:sz w:val="18"/>
                <w:szCs w:val="18"/>
              </w:rPr>
            </w:pPr>
            <w:r>
              <w:rPr>
                <w:sz w:val="18"/>
                <w:szCs w:val="18"/>
              </w:rPr>
              <w:t>70</w:t>
            </w:r>
          </w:p>
        </w:tc>
        <w:tc>
          <w:tcPr>
            <w:tcW w:w="496" w:type="pct"/>
            <w:shd w:val="clear" w:color="auto" w:fill="auto"/>
            <w:noWrap/>
            <w:vAlign w:val="center"/>
          </w:tcPr>
          <w:p>
            <w:pPr>
              <w:jc w:val="center"/>
              <w:rPr>
                <w:rFonts w:hint="eastAsia"/>
                <w:sz w:val="18"/>
                <w:szCs w:val="18"/>
              </w:rPr>
            </w:pPr>
            <w:r>
              <w:rPr>
                <w:sz w:val="18"/>
                <w:szCs w:val="18"/>
              </w:rPr>
              <w:t>60</w:t>
            </w:r>
          </w:p>
        </w:tc>
        <w:tc>
          <w:tcPr>
            <w:tcW w:w="3108" w:type="pct"/>
            <w:shd w:val="clear" w:color="auto" w:fill="auto"/>
            <w:vAlign w:val="center"/>
          </w:tcPr>
          <w:p>
            <w:pPr>
              <w:rPr>
                <w:rFonts w:hint="eastAsia"/>
                <w:sz w:val="18"/>
                <w:szCs w:val="18"/>
              </w:rPr>
            </w:pPr>
            <w:r>
              <w:rPr>
                <w:rFonts w:hint="eastAsia"/>
                <w:sz w:val="18"/>
                <w:szCs w:val="18"/>
              </w:rPr>
              <w:t>适用于铁路干线两侧一定距离之内，需要防止交通噪声对周围环境产生严重影响的区域。</w:t>
            </w:r>
          </w:p>
        </w:tc>
      </w:tr>
    </w:tbl>
    <w:p>
      <w:pPr>
        <w:pStyle w:val="33"/>
        <w:spacing w:line="276" w:lineRule="auto"/>
        <w:ind w:left="210" w:leftChars="100" w:firstLine="0" w:firstLineChars="0"/>
        <w:rPr>
          <w:rFonts w:hint="eastAsia"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hint="eastAsia"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hint="eastAsia"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26" w:name="声功能区类别表格"/>
      <w:bookmarkEnd w:id="26"/>
      <w:bookmarkStart w:id="27" w:name="_Toc479326721"/>
      <w:bookmarkStart w:id="28" w:name="_Toc21792"/>
      <w:r>
        <w:rPr>
          <w:rFonts w:hint="eastAsia" w:ascii="Times New Roman" w:hAnsi="Times New Roman"/>
          <w:sz w:val="28"/>
          <w:szCs w:val="28"/>
        </w:rPr>
        <w:t>3.模拟</w:t>
      </w:r>
      <w:r>
        <w:rPr>
          <w:rFonts w:ascii="Times New Roman" w:hAnsi="Times New Roman"/>
          <w:sz w:val="28"/>
          <w:szCs w:val="28"/>
        </w:rPr>
        <w:t>方法</w:t>
      </w:r>
      <w:bookmarkEnd w:id="27"/>
      <w:bookmarkEnd w:id="28"/>
    </w:p>
    <w:p>
      <w:pPr>
        <w:pStyle w:val="3"/>
        <w:rPr>
          <w:rFonts w:hint="eastAsia"/>
          <w:sz w:val="24"/>
          <w:szCs w:val="24"/>
        </w:rPr>
      </w:pPr>
      <w:bookmarkStart w:id="29" w:name="_Toc479326722"/>
      <w:bookmarkStart w:id="30" w:name="_Toc8758"/>
      <w:r>
        <w:rPr>
          <w:rFonts w:hint="eastAsia"/>
          <w:sz w:val="24"/>
          <w:szCs w:val="24"/>
        </w:rPr>
        <w:t>3.1模拟软件</w:t>
      </w:r>
      <w:bookmarkEnd w:id="29"/>
      <w:bookmarkEnd w:id="30"/>
    </w:p>
    <w:p>
      <w:pPr>
        <w:pStyle w:val="33"/>
        <w:spacing w:line="276" w:lineRule="auto"/>
        <w:ind w:firstLine="420"/>
        <w:rPr>
          <w:rFonts w:hint="eastAsia" w:ascii="微软雅黑" w:hAnsi="微软雅黑" w:cs="Times New Roman"/>
          <w:sz w:val="21"/>
          <w:szCs w:val="21"/>
        </w:rPr>
      </w:pPr>
      <w:bookmarkStart w:id="31" w:name="_Toc479326723"/>
      <w:r>
        <w:rPr>
          <w:rFonts w:hint="eastAsia" w:ascii="微软雅黑" w:hAnsi="微软雅黑"/>
          <w:sz w:val="21"/>
          <w:szCs w:val="21"/>
        </w:rPr>
        <w:t>本报告采用建筑</w:t>
      </w:r>
      <w:r>
        <w:rPr>
          <w:rFonts w:ascii="微软雅黑" w:hAnsi="微软雅黑"/>
          <w:sz w:val="21"/>
          <w:szCs w:val="21"/>
        </w:rPr>
        <w:t>声环境分析软件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DU是一款可用</w:t>
      </w:r>
      <w:r>
        <w:rPr>
          <w:rFonts w:ascii="微软雅黑" w:hAnsi="微软雅黑"/>
          <w:sz w:val="21"/>
          <w:szCs w:val="21"/>
        </w:rPr>
        <w:t>于</w:t>
      </w:r>
      <w:r>
        <w:rPr>
          <w:rFonts w:hint="eastAsia" w:ascii="微软雅黑" w:hAnsi="微软雅黑"/>
          <w:sz w:val="21"/>
          <w:szCs w:val="21"/>
        </w:rPr>
        <w:t>噪声计算、评估和预测的软件，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0"/>
        </w:rPr>
        <w:t>》</w:t>
      </w:r>
      <w:r>
        <w:rPr>
          <w:rFonts w:ascii="微软雅黑" w:hAnsi="微软雅黑" w:cs="Times New Roman"/>
          <w:kern w:val="0"/>
          <w:sz w:val="21"/>
          <w:szCs w:val="21"/>
          <w:fitText w:val="294" w:id="0"/>
        </w:rPr>
        <w:t>I</w:t>
      </w:r>
      <w:r>
        <w:rPr>
          <w:rFonts w:ascii="微软雅黑" w:hAnsi="微软雅黑" w:cs="Times New Roman"/>
          <w:sz w:val="21"/>
          <w:szCs w:val="21"/>
        </w:rPr>
        <w:t>SO9613-2：1996、国内公布的《声学户外声传播的衰减第2部分：一般计算方法》GB/T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hint="eastAsia"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15190-2019</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rFonts w:hint="eastAsia"/>
          <w:sz w:val="24"/>
          <w:szCs w:val="24"/>
        </w:rPr>
      </w:pPr>
      <w:bookmarkStart w:id="32" w:name="_Toc4401"/>
      <w:r>
        <w:rPr>
          <w:rFonts w:hint="eastAsia"/>
          <w:sz w:val="24"/>
          <w:szCs w:val="24"/>
        </w:rPr>
        <w:t>3.2分析</w:t>
      </w:r>
      <w:r>
        <w:rPr>
          <w:sz w:val="24"/>
          <w:szCs w:val="24"/>
        </w:rPr>
        <w:t>模</w:t>
      </w:r>
      <w:r>
        <w:rPr>
          <w:rFonts w:hint="eastAsia"/>
          <w:sz w:val="24"/>
          <w:szCs w:val="24"/>
        </w:rPr>
        <w:t>型</w:t>
      </w:r>
      <w:bookmarkEnd w:id="31"/>
      <w:bookmarkEnd w:id="32"/>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33" w:name="建设项目室外声环境分析模型平面图"/>
      <w:bookmarkEnd w:id="33"/>
      <w:r>
        <w:drawing>
          <wp:inline distT="0" distB="0" distL="0" distR="0">
            <wp:extent cx="5667375" cy="43148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1"/>
                    <a:stretch>
                      <a:fillRect/>
                    </a:stretch>
                  </pic:blipFill>
                  <pic:spPr>
                    <a:xfrm>
                      <a:off x="0" y="0"/>
                      <a:ext cx="5667375" cy="4314825"/>
                    </a:xfrm>
                    <a:prstGeom prst="rect">
                      <a:avLst/>
                    </a:prstGeom>
                  </pic:spPr>
                </pic:pic>
              </a:graphicData>
            </a:graphic>
          </wp:inline>
        </w:drawing>
      </w:r>
    </w:p>
    <w:p>
      <w:pPr>
        <w:widowControl/>
        <w:jc w:val="center"/>
        <w:rPr>
          <w:rFonts w:hint="eastAsia"/>
          <w:kern w:val="0"/>
          <w:sz w:val="18"/>
          <w:szCs w:val="18"/>
        </w:rPr>
      </w:pPr>
      <w:r>
        <w:rPr>
          <w:rFonts w:hint="eastAsia"/>
          <w:kern w:val="0"/>
          <w:szCs w:val="21"/>
        </w:rPr>
        <w:t>图3.</w:t>
      </w:r>
      <w:r>
        <w:rPr>
          <w:kern w:val="0"/>
          <w:szCs w:val="21"/>
        </w:rPr>
        <w:t>2-1</w:t>
      </w:r>
      <w:r>
        <w:rPr>
          <w:rFonts w:hint="eastAsia"/>
          <w:kern w:val="0"/>
          <w:szCs w:val="21"/>
        </w:rPr>
        <w:t xml:space="preserve"> 模型平面图</w:t>
      </w:r>
    </w:p>
    <w:p>
      <w:pPr>
        <w:pStyle w:val="3"/>
        <w:rPr>
          <w:rFonts w:hint="eastAsia" w:ascii="宋体"/>
          <w:sz w:val="24"/>
          <w:szCs w:val="24"/>
        </w:rPr>
      </w:pPr>
      <w:bookmarkStart w:id="34" w:name="_Toc479326725"/>
      <w:bookmarkStart w:id="35" w:name="_Toc30074"/>
      <w:r>
        <w:rPr>
          <w:rFonts w:hint="eastAsia"/>
          <w:sz w:val="24"/>
          <w:szCs w:val="24"/>
        </w:rPr>
        <w:t>3.</w:t>
      </w:r>
      <w:r>
        <w:rPr>
          <w:sz w:val="24"/>
          <w:szCs w:val="24"/>
        </w:rPr>
        <w:t>3</w:t>
      </w:r>
      <w:r>
        <w:rPr>
          <w:rFonts w:hint="eastAsia"/>
          <w:sz w:val="24"/>
          <w:szCs w:val="24"/>
        </w:rPr>
        <w:t>计算条件</w:t>
      </w:r>
      <w:bookmarkEnd w:id="34"/>
      <w:bookmarkEnd w:id="35"/>
    </w:p>
    <w:p>
      <w:pPr>
        <w:rPr>
          <w:rFonts w:hint="eastAsia"/>
          <w:b/>
        </w:rPr>
      </w:pPr>
      <w:bookmarkStart w:id="36" w:name="计算条件"/>
      <w:r>
        <w:rPr>
          <w:rFonts w:hint="eastAsia"/>
          <w:b/>
        </w:rPr>
        <w:t>■ 网格设置</w:t>
      </w:r>
    </w:p>
    <w:p>
      <w:pPr>
        <w:rPr>
          <w:rFonts w:hint="eastAsia"/>
          <w:b/>
        </w:rPr>
      </w:pPr>
      <w:r>
        <w:rPr>
          <w:rFonts w:hint="eastAsia"/>
          <w:b/>
          <w:color w:val="000000"/>
        </w:rPr>
        <w:t xml:space="preserve">  平面网格间距：10×10 米</w:t>
      </w:r>
    </w:p>
    <w:p>
      <w:pPr>
        <w:rPr>
          <w:rFonts w:hint="eastAsia"/>
          <w:b/>
        </w:rPr>
      </w:pPr>
      <w:r>
        <w:rPr>
          <w:rFonts w:hint="eastAsia"/>
          <w:b/>
          <w:color w:val="000000"/>
        </w:rPr>
        <w:t xml:space="preserve">  平面网格离地高度：1.5 米</w:t>
      </w:r>
    </w:p>
    <w:p>
      <w:pPr>
        <w:rPr>
          <w:rFonts w:hint="eastAsia"/>
          <w:b/>
        </w:rPr>
      </w:pPr>
      <w:r>
        <w:rPr>
          <w:rFonts w:hint="eastAsia"/>
          <w:b/>
          <w:color w:val="000000"/>
        </w:rPr>
        <w:t xml:space="preserve">  立面网格间距：5×5 米</w:t>
      </w:r>
    </w:p>
    <w:p>
      <w:pPr>
        <w:rPr>
          <w:rFonts w:hint="eastAsia"/>
          <w:b/>
        </w:rPr>
      </w:pPr>
    </w:p>
    <w:p>
      <w:pPr>
        <w:rPr>
          <w:rFonts w:hint="eastAsia"/>
          <w:b/>
        </w:rPr>
      </w:pPr>
      <w:r>
        <w:rPr>
          <w:rFonts w:hint="eastAsia"/>
          <w:b/>
          <w:color w:val="000000"/>
        </w:rPr>
        <w:t>■ 地面效应</w:t>
      </w:r>
    </w:p>
    <w:p>
      <w:pPr>
        <w:rPr>
          <w:rFonts w:hint="eastAsia"/>
          <w:b/>
        </w:rPr>
      </w:pPr>
      <w:r>
        <w:rPr>
          <w:rFonts w:hint="eastAsia"/>
          <w:b/>
          <w:color w:val="000000"/>
        </w:rPr>
        <w:t xml:space="preserve">  地面高度：0 米</w:t>
      </w:r>
    </w:p>
    <w:p>
      <w:pPr>
        <w:rPr>
          <w:rFonts w:hint="eastAsia"/>
          <w:b/>
        </w:rPr>
      </w:pPr>
      <w:r>
        <w:rPr>
          <w:rFonts w:hint="eastAsia"/>
          <w:b/>
          <w:color w:val="000000"/>
        </w:rPr>
        <w:t xml:space="preserve">  计算考虑地面效应</w:t>
      </w:r>
    </w:p>
    <w:p>
      <w:pPr>
        <w:rPr>
          <w:rFonts w:hint="eastAsia"/>
          <w:b/>
        </w:rPr>
      </w:pPr>
      <w:r>
        <w:rPr>
          <w:rFonts w:hint="eastAsia"/>
          <w:b/>
          <w:color w:val="000000"/>
        </w:rPr>
        <w:t xml:space="preserve">  地面效应计算方法：导则算法</w:t>
      </w:r>
    </w:p>
    <w:p>
      <w:pPr>
        <w:rPr>
          <w:rFonts w:hint="eastAsia"/>
          <w:b/>
        </w:rPr>
      </w:pPr>
    </w:p>
    <w:p>
      <w:pPr>
        <w:rPr>
          <w:rFonts w:hint="eastAsia"/>
          <w:b/>
        </w:rPr>
      </w:pPr>
      <w:r>
        <w:rPr>
          <w:rFonts w:hint="eastAsia"/>
          <w:b/>
          <w:color w:val="000000"/>
        </w:rPr>
        <w:t>■ 噪声反射</w:t>
      </w:r>
    </w:p>
    <w:p>
      <w:pPr>
        <w:rPr>
          <w:rFonts w:hint="eastAsia"/>
          <w:b/>
        </w:rPr>
      </w:pPr>
      <w:r>
        <w:rPr>
          <w:rFonts w:hint="eastAsia"/>
          <w:b/>
          <w:color w:val="000000"/>
        </w:rPr>
        <w:t xml:space="preserve">  障碍物考虑的最大反射次数：1</w:t>
      </w:r>
    </w:p>
    <w:p>
      <w:pPr>
        <w:rPr>
          <w:rFonts w:hint="eastAsia"/>
          <w:b/>
        </w:rPr>
      </w:pPr>
    </w:p>
    <w:p>
      <w:pPr>
        <w:rPr>
          <w:rFonts w:hint="eastAsia"/>
          <w:b/>
        </w:rPr>
      </w:pPr>
      <w:r>
        <w:rPr>
          <w:rFonts w:hint="eastAsia"/>
          <w:b/>
          <w:color w:val="000000"/>
        </w:rPr>
        <w:t>■ 空气吸收</w:t>
      </w:r>
    </w:p>
    <w:p>
      <w:pPr>
        <w:rPr>
          <w:rFonts w:hint="eastAsia"/>
          <w:b/>
        </w:rPr>
      </w:pPr>
      <w:r>
        <w:rPr>
          <w:rFonts w:hint="eastAsia"/>
          <w:b/>
          <w:color w:val="000000"/>
        </w:rPr>
        <w:t xml:space="preserve">  气压：101325Pa  气温：16℃  湿度：50%</w:t>
      </w:r>
    </w:p>
    <w:p>
      <w:pPr>
        <w:rPr>
          <w:rFonts w:hint="eastAsia"/>
          <w:b/>
        </w:rPr>
      </w:pPr>
    </w:p>
    <w:p>
      <w:pPr>
        <w:rPr>
          <w:rFonts w:hint="eastAsia"/>
          <w:b/>
        </w:rPr>
      </w:pPr>
      <w:r>
        <w:rPr>
          <w:rFonts w:hint="eastAsia"/>
          <w:b/>
          <w:color w:val="000000"/>
        </w:rPr>
        <w:t>■ 达标统计</w:t>
      </w:r>
    </w:p>
    <w:p>
      <w:pPr>
        <w:rPr>
          <w:rFonts w:hint="eastAsia"/>
          <w:b/>
        </w:rPr>
      </w:pPr>
      <w:r>
        <w:rPr>
          <w:rFonts w:hint="eastAsia"/>
          <w:b/>
          <w:color w:val="000000"/>
        </w:rPr>
        <w:t xml:space="preserve">  建筑物噪声最大值统计方式</w:t>
      </w:r>
    </w:p>
    <w:p>
      <w:pPr>
        <w:rPr>
          <w:rFonts w:hint="eastAsia"/>
          <w:b/>
        </w:rPr>
      </w:pPr>
      <w:r>
        <w:rPr>
          <w:rFonts w:hint="eastAsia"/>
          <w:b/>
          <w:color w:val="000000"/>
        </w:rPr>
        <w:t xml:space="preserve">    取距离建筑物底标高1.5米沿线点</w:t>
      </w:r>
    </w:p>
    <w:p>
      <w:pPr>
        <w:rPr>
          <w:rFonts w:hint="eastAsia"/>
          <w:b/>
        </w:rPr>
      </w:pPr>
      <w:r>
        <w:rPr>
          <w:rFonts w:hint="eastAsia"/>
          <w:b/>
          <w:color w:val="000000"/>
        </w:rPr>
        <w:t xml:space="preserve">  场地环境噪声达标统计方式</w:t>
      </w:r>
    </w:p>
    <w:p>
      <w:pPr>
        <w:rPr>
          <w:rFonts w:hint="eastAsia"/>
          <w:b/>
        </w:rPr>
      </w:pPr>
      <w:r>
        <w:rPr>
          <w:rFonts w:hint="eastAsia"/>
          <w:b/>
          <w:color w:val="000000"/>
        </w:rPr>
        <w:t xml:space="preserve">    场地内命名参评建筑物全部达标</w:t>
      </w:r>
    </w:p>
    <w:bookmarkEnd w:id="36"/>
    <w:p>
      <w:pPr>
        <w:pStyle w:val="3"/>
        <w:rPr>
          <w:rFonts w:hint="eastAsia"/>
          <w:sz w:val="24"/>
          <w:szCs w:val="24"/>
        </w:rPr>
      </w:pPr>
      <w:bookmarkStart w:id="37" w:name="_Toc479326726"/>
      <w:bookmarkStart w:id="38" w:name="_Toc22815"/>
      <w:r>
        <w:rPr>
          <w:rFonts w:hint="eastAsia"/>
          <w:sz w:val="24"/>
          <w:szCs w:val="24"/>
        </w:rPr>
        <w:t>3.</w:t>
      </w:r>
      <w:r>
        <w:rPr>
          <w:sz w:val="24"/>
          <w:szCs w:val="24"/>
        </w:rPr>
        <w:t>4</w:t>
      </w:r>
      <w:r>
        <w:rPr>
          <w:rFonts w:hint="eastAsia"/>
          <w:sz w:val="24"/>
          <w:szCs w:val="24"/>
        </w:rPr>
        <w:t>参数</w:t>
      </w:r>
      <w:r>
        <w:rPr>
          <w:sz w:val="24"/>
          <w:szCs w:val="24"/>
        </w:rPr>
        <w:t>设置</w:t>
      </w:r>
      <w:bookmarkEnd w:id="37"/>
      <w:bookmarkEnd w:id="38"/>
    </w:p>
    <w:p>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jc w:val="center"/>
        <w:rPr>
          <w:rFonts w:hint="eastAsia"/>
        </w:rPr>
      </w:pPr>
      <w:bookmarkStart w:id="39" w:name="声源表"/>
      <w:bookmarkEnd w:id="39"/>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表3.4-1 公路噪声源</w:t>
      </w:r>
      <w:r>
        <w:rPr>
          <w:rFonts w:hint="eastAsia"/>
          <w:sz w:val="21"/>
          <w:szCs w:val="21"/>
        </w:rPr>
        <w:tab/>
      </w:r>
      <w:r>
        <w:rPr>
          <w:rFonts w:hint="eastAsia"/>
          <w:sz w:val="21"/>
          <w:szCs w:val="21"/>
        </w:rPr>
        <w:tab/>
      </w:r>
      <w:r>
        <w:rPr>
          <w:rFonts w:hint="eastAsia"/>
          <w:sz w:val="21"/>
          <w:szCs w:val="21"/>
        </w:rPr>
        <w:tab/>
      </w:r>
      <w:r>
        <w:rPr>
          <w:rFonts w:hint="eastAsia"/>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校内道路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20</w:t>
            </w:r>
          </w:p>
        </w:tc>
        <w:tc>
          <w:tcPr>
            <w:vAlign w:val="center"/>
          </w:tcPr>
          <w:p>
            <w:pPr>
              <w:jc w:val="center"/>
            </w:pPr>
            <w:r>
              <w:t>12</w:t>
            </w:r>
          </w:p>
        </w:tc>
        <w:tc>
          <w:tcPr>
            <w:vAlign w:val="center"/>
          </w:tcPr>
          <w:p>
            <w:pPr>
              <w:jc w:val="center"/>
            </w:pPr>
            <w:r>
              <w:t>2</w:t>
            </w:r>
          </w:p>
        </w:tc>
        <w:tc>
          <w:tcPr>
            <w:vAlign w:val="center"/>
          </w:tcPr>
          <w:p>
            <w:pPr>
              <w:jc w:val="cente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20</w:t>
            </w:r>
          </w:p>
        </w:tc>
        <w:tc>
          <w:tcPr>
            <w:vAlign w:val="center"/>
          </w:tcPr>
          <w:p>
            <w:pPr>
              <w:jc w:val="center"/>
            </w:pPr>
            <w:r>
              <w:t>4</w:t>
            </w:r>
          </w:p>
        </w:tc>
        <w:tc>
          <w:tcPr>
            <w:vAlign w:val="center"/>
          </w:tcPr>
          <w:p>
            <w:pPr>
              <w:jc w:val="center"/>
            </w:pPr>
            <w:r>
              <w:t>0</w:t>
            </w:r>
          </w:p>
        </w:tc>
        <w:tc>
          <w:tcPr>
            <w:vAlign w:val="center"/>
          </w:tcPr>
          <w:p>
            <w:pPr>
              <w:jc w:val="center"/>
            </w:pPr>
            <w:r>
              <w:t>0</w:t>
            </w:r>
          </w:p>
        </w:tc>
      </w:tr>
    </w:tbl>
    <w:p>
      <w:pPr>
        <w:jc w:val="center"/>
        <w:rPr>
          <w:rFonts w:hint="eastAsia"/>
        </w:rPr>
      </w:pPr>
    </w:p>
    <w:p>
      <w:pPr>
        <w:jc w:val="center"/>
        <w:rPr>
          <w:rFonts w:hint="eastAsia"/>
        </w:rPr>
      </w:pP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表3.4-2 水平面声源</w:t>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pPr>
              <w:jc w:val="center"/>
            </w:pPr>
            <w:r>
              <w:t>声源名称</w:t>
            </w:r>
          </w:p>
        </w:tc>
        <w:tc>
          <w:tcPr>
            <w:shd w:val="clear" w:color="auto" w:fill="E6E6E6"/>
            <w:vAlign w:val="center"/>
          </w:tcPr>
          <w:p>
            <w:pPr>
              <w:jc w:val="center"/>
            </w:pPr>
            <w:r>
              <w:t>声源类型</w:t>
            </w:r>
          </w:p>
        </w:tc>
        <w:tc>
          <w:tcPr>
            <w:shd w:val="clear" w:color="auto" w:fill="E6E6E6"/>
            <w:vAlign w:val="center"/>
          </w:tcPr>
          <w:p>
            <w:pPr>
              <w:jc w:val="center"/>
            </w:pPr>
            <w:r>
              <w:t>昼间</w:t>
            </w:r>
          </w:p>
        </w:tc>
        <w:tc>
          <w:tcPr>
            <w:shd w:val="clear" w:color="auto" w:fill="E6E6E6"/>
            <w:vAlign w:val="center"/>
          </w:tcPr>
          <w:p>
            <w:pPr>
              <w:jc w:val="center"/>
            </w:pPr>
            <w: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停车场</w:t>
            </w:r>
          </w:p>
        </w:tc>
        <w:tc>
          <w:tcPr>
            <w:vAlign w:val="center"/>
          </w:tcPr>
          <w:p>
            <w:pPr>
              <w:jc w:val="center"/>
            </w:pPr>
            <w:r>
              <w:t>声源的声功率级</w:t>
            </w:r>
          </w:p>
        </w:tc>
        <w:tc>
          <w:tcPr>
            <w:vAlign w:val="center"/>
          </w:tcPr>
          <w:p>
            <w:pPr>
              <w:jc w:val="center"/>
            </w:pPr>
            <w:r>
              <w:t>60</w:t>
            </w:r>
          </w:p>
        </w:tc>
        <w:tc>
          <w:tcPr>
            <w:vAlign w:val="center"/>
          </w:tcPr>
          <w:p>
            <w:pPr>
              <w:jc w:val="center"/>
            </w:pPr>
            <w:r>
              <w:t>0</w:t>
            </w:r>
          </w:p>
        </w:tc>
      </w:tr>
    </w:tbl>
    <w:p>
      <w:pPr>
        <w:jc w:val="center"/>
        <w:rPr>
          <w:rFonts w:hint="eastAsia"/>
        </w:rPr>
      </w:pPr>
    </w:p>
    <w:p>
      <w:pPr>
        <w:jc w:val="center"/>
        <w:rPr>
          <w:rFonts w:hint="eastAsia"/>
        </w:rPr>
      </w:pP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表3.4-3 垂向面声源</w:t>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1069"/>
        <w:gridCol w:w="1975"/>
        <w:gridCol w:w="1338"/>
        <w:gridCol w:w="13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声源名称</w:t>
            </w:r>
          </w:p>
        </w:tc>
        <w:tc>
          <w:tcPr>
            <w:shd w:val="clear" w:color="auto" w:fill="E6E6E6"/>
            <w:vAlign w:val="center"/>
          </w:tcPr>
          <w:p>
            <w:pPr>
              <w:jc w:val="center"/>
            </w:pPr>
            <w:r>
              <w:t>高度（米）</w:t>
            </w:r>
          </w:p>
        </w:tc>
        <w:tc>
          <w:tcPr>
            <w:shd w:val="clear" w:color="auto" w:fill="E6E6E6"/>
            <w:vAlign w:val="center"/>
          </w:tcPr>
          <w:p>
            <w:pPr>
              <w:jc w:val="center"/>
            </w:pPr>
            <w:r>
              <w:t>声源类型</w:t>
            </w:r>
          </w:p>
        </w:tc>
        <w:tc>
          <w:tcPr>
            <w:shd w:val="clear" w:color="auto" w:fill="E6E6E6"/>
            <w:vAlign w:val="center"/>
          </w:tcPr>
          <w:p>
            <w:pPr>
              <w:jc w:val="center"/>
            </w:pPr>
            <w:r>
              <w:t>昼间</w:t>
            </w:r>
          </w:p>
        </w:tc>
        <w:tc>
          <w:tcPr>
            <w:shd w:val="clear" w:color="auto" w:fill="E6E6E6"/>
            <w:vAlign w:val="center"/>
          </w:tcPr>
          <w:p>
            <w:pPr>
              <w:jc w:val="center"/>
            </w:pPr>
            <w: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机房</w:t>
            </w:r>
          </w:p>
        </w:tc>
        <w:tc>
          <w:tcPr>
            <w:vAlign w:val="center"/>
          </w:tcPr>
          <w:p>
            <w:pPr>
              <w:jc w:val="center"/>
            </w:pPr>
            <w:r>
              <w:t>5</w:t>
            </w:r>
          </w:p>
        </w:tc>
        <w:tc>
          <w:tcPr>
            <w:vAlign w:val="center"/>
          </w:tcPr>
          <w:p>
            <w:pPr>
              <w:jc w:val="center"/>
            </w:pPr>
            <w:r>
              <w:t>声源的声功率级</w:t>
            </w:r>
          </w:p>
        </w:tc>
        <w:tc>
          <w:tcPr>
            <w:vAlign w:val="center"/>
          </w:tcPr>
          <w:p>
            <w:pPr>
              <w:jc w:val="center"/>
            </w:pPr>
            <w:r>
              <w:t>30</w:t>
            </w:r>
          </w:p>
        </w:tc>
        <w:tc>
          <w:tcPr>
            <w:vAlign w:val="center"/>
          </w:tcPr>
          <w:p>
            <w:pPr>
              <w:jc w:val="center"/>
            </w:pPr>
            <w:r>
              <w:t>30</w:t>
            </w:r>
          </w:p>
        </w:tc>
      </w:tr>
    </w:tbl>
    <w:p>
      <w:pPr>
        <w:jc w:val="center"/>
        <w:rPr>
          <w:rFonts w:hint="eastAsia"/>
        </w:rPr>
      </w:pPr>
    </w:p>
    <w:p>
      <w:pPr>
        <w:rPr>
          <w:rFonts w:hint="eastAsia"/>
        </w:rPr>
      </w:pPr>
    </w:p>
    <w:p>
      <w:pPr>
        <w:pStyle w:val="2"/>
        <w:spacing w:line="400" w:lineRule="exact"/>
        <w:rPr>
          <w:rFonts w:ascii="Times New Roman" w:hAnsi="Times New Roman"/>
          <w:sz w:val="28"/>
          <w:szCs w:val="28"/>
        </w:rPr>
      </w:pPr>
      <w:bookmarkStart w:id="40" w:name="_Toc479326727"/>
      <w:bookmarkStart w:id="41" w:name="_Toc20518"/>
      <w:r>
        <w:rPr>
          <w:rFonts w:hint="eastAsia" w:ascii="Times New Roman" w:hAnsi="Times New Roman"/>
          <w:sz w:val="28"/>
          <w:szCs w:val="28"/>
        </w:rPr>
        <w:t>4.模拟结果</w:t>
      </w:r>
      <w:r>
        <w:rPr>
          <w:rFonts w:ascii="Times New Roman" w:hAnsi="Times New Roman"/>
          <w:sz w:val="28"/>
          <w:szCs w:val="28"/>
        </w:rPr>
        <w:t>及分析</w:t>
      </w:r>
      <w:bookmarkEnd w:id="40"/>
      <w:bookmarkEnd w:id="41"/>
      <w:r>
        <w:rPr>
          <w:rFonts w:hint="eastAsia" w:ascii="Times New Roman" w:hAnsi="Times New Roman"/>
          <w:sz w:val="28"/>
          <w:szCs w:val="28"/>
        </w:rPr>
        <w:t xml:space="preserve"> </w:t>
      </w:r>
    </w:p>
    <w:p>
      <w:pPr>
        <w:ind w:firstLine="420" w:firstLineChars="200"/>
        <w:rPr>
          <w:rFonts w:hint="eastAsia"/>
        </w:rPr>
      </w:pPr>
      <w:bookmarkStart w:id="42"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rFonts w:hint="eastAsia"/>
          <w:sz w:val="24"/>
          <w:szCs w:val="24"/>
        </w:rPr>
      </w:pPr>
      <w:bookmarkStart w:id="43" w:name="_Toc1916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42"/>
      <w:bookmarkEnd w:id="43"/>
    </w:p>
    <w:p>
      <w:pPr>
        <w:rPr>
          <w:rFonts w:hint="eastAsia"/>
        </w:rP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rPr>
          <w:rFonts w:hint="eastAsia"/>
        </w:rPr>
      </w:pPr>
    </w:p>
    <w:p>
      <w:pPr>
        <w:jc w:val="center"/>
        <w:rPr>
          <w:rFonts w:ascii="Times New Roman" w:hAnsi="Times New Roman"/>
        </w:rPr>
      </w:pPr>
      <w:bookmarkStart w:id="44" w:name="场地分布图昼"/>
      <w:bookmarkEnd w:id="44"/>
      <w:r>
        <w:drawing>
          <wp:inline distT="0" distB="0" distL="0" distR="0">
            <wp:extent cx="5667375" cy="48291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5667375" cy="4829175"/>
                    </a:xfrm>
                    <a:prstGeom prst="rect">
                      <a:avLst/>
                    </a:prstGeom>
                  </pic:spPr>
                </pic:pic>
              </a:graphicData>
            </a:graphic>
          </wp:inline>
        </w:drawing>
      </w:r>
    </w:p>
    <w:p>
      <w:pPr>
        <w:widowControl/>
        <w:jc w:val="center"/>
        <w:rPr>
          <w:rFonts w:hint="eastAsia"/>
          <w:kern w:val="0"/>
          <w:sz w:val="18"/>
          <w:szCs w:val="18"/>
        </w:rPr>
      </w:pPr>
      <w:r>
        <w:rPr>
          <w:rFonts w:hint="eastAsia"/>
          <w:kern w:val="0"/>
          <w:szCs w:val="21"/>
        </w:rPr>
        <w:t>图4.1</w:t>
      </w:r>
      <w:r>
        <w:rPr>
          <w:kern w:val="0"/>
          <w:szCs w:val="21"/>
        </w:rPr>
        <w:t>-1</w:t>
      </w:r>
      <w:r>
        <w:rPr>
          <w:rFonts w:hint="eastAsia"/>
          <w:kern w:val="0"/>
          <w:szCs w:val="21"/>
        </w:rPr>
        <w:t xml:space="preserve"> 场地1.</w:t>
      </w:r>
      <w:r>
        <w:rPr>
          <w:kern w:val="0"/>
          <w:szCs w:val="21"/>
        </w:rPr>
        <w:t>5m高度处</w:t>
      </w:r>
      <w:r>
        <w:rPr>
          <w:rFonts w:hint="eastAsia"/>
          <w:kern w:val="0"/>
          <w:szCs w:val="21"/>
        </w:rPr>
        <w:t>声压级</w:t>
      </w:r>
      <w:r>
        <w:rPr>
          <w:kern w:val="0"/>
          <w:szCs w:val="21"/>
        </w:rPr>
        <w:t>分布图（</w:t>
      </w:r>
      <w:r>
        <w:rPr>
          <w:rFonts w:hint="eastAsia"/>
          <w:kern w:val="0"/>
          <w:szCs w:val="21"/>
        </w:rPr>
        <w:t>昼间</w:t>
      </w:r>
      <w:r>
        <w:rPr>
          <w:kern w:val="0"/>
          <w:szCs w:val="21"/>
        </w:rPr>
        <w:t>）</w:t>
      </w:r>
    </w:p>
    <w:p>
      <w:pPr>
        <w:jc w:val="center"/>
        <w:rPr>
          <w:rFonts w:ascii="Times New Roman" w:hAnsi="Times New Roman"/>
        </w:rPr>
      </w:pPr>
      <w:bookmarkStart w:id="45" w:name="场地分布图夜"/>
      <w:bookmarkEnd w:id="45"/>
      <w:r>
        <w:drawing>
          <wp:inline distT="0" distB="0" distL="0" distR="0">
            <wp:extent cx="5667375" cy="48291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4"/>
                    <a:stretch>
                      <a:fillRect/>
                    </a:stretch>
                  </pic:blipFill>
                  <pic:spPr>
                    <a:xfrm>
                      <a:off x="0" y="0"/>
                      <a:ext cx="5667375" cy="4829175"/>
                    </a:xfrm>
                    <a:prstGeom prst="rect">
                      <a:avLst/>
                    </a:prstGeom>
                  </pic:spPr>
                </pic:pic>
              </a:graphicData>
            </a:graphic>
          </wp:inline>
        </w:drawing>
      </w:r>
    </w:p>
    <w:p>
      <w:pPr>
        <w:widowControl/>
        <w:jc w:val="center"/>
        <w:rPr>
          <w:rFonts w:hint="eastAsia"/>
          <w:kern w:val="0"/>
          <w:sz w:val="18"/>
          <w:szCs w:val="18"/>
        </w:rPr>
      </w:pPr>
      <w:r>
        <w:rPr>
          <w:rFonts w:hint="eastAsia"/>
          <w:kern w:val="0"/>
          <w:szCs w:val="21"/>
        </w:rPr>
        <w:t>图4.1</w:t>
      </w:r>
      <w:r>
        <w:rPr>
          <w:kern w:val="0"/>
          <w:szCs w:val="21"/>
        </w:rPr>
        <w:t xml:space="preserve">-2 </w:t>
      </w:r>
      <w:r>
        <w:rPr>
          <w:rFonts w:hint="eastAsia"/>
          <w:kern w:val="0"/>
          <w:szCs w:val="21"/>
        </w:rPr>
        <w:t>场地1.</w:t>
      </w:r>
      <w:r>
        <w:rPr>
          <w:kern w:val="0"/>
          <w:szCs w:val="21"/>
        </w:rPr>
        <w:t>5m高度处</w:t>
      </w:r>
      <w:r>
        <w:rPr>
          <w:rFonts w:hint="eastAsia"/>
          <w:kern w:val="0"/>
          <w:szCs w:val="21"/>
        </w:rPr>
        <w:t>声压级</w:t>
      </w:r>
      <w:r>
        <w:rPr>
          <w:kern w:val="0"/>
          <w:szCs w:val="21"/>
        </w:rPr>
        <w:t>分布图（</w:t>
      </w:r>
      <w:r>
        <w:rPr>
          <w:rFonts w:hint="eastAsia"/>
          <w:kern w:val="0"/>
          <w:szCs w:val="21"/>
        </w:rPr>
        <w:t>夜间</w:t>
      </w:r>
      <w:r>
        <w:rPr>
          <w:kern w:val="0"/>
          <w:szCs w:val="21"/>
        </w:rPr>
        <w:t>）</w:t>
      </w:r>
    </w:p>
    <w:p>
      <w:pPr>
        <w:jc w:val="center"/>
        <w:rPr>
          <w:rFonts w:ascii="Times New Roman" w:hAnsi="Times New Roman"/>
        </w:rPr>
      </w:pPr>
      <w:bookmarkStart w:id="46" w:name="场地噪声分布俯瞰昼"/>
      <w:bookmarkEnd w:id="46"/>
      <w:r>
        <w:drawing>
          <wp:inline distT="0" distB="0" distL="0" distR="0">
            <wp:extent cx="5667375" cy="48291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5"/>
                    <a:stretch>
                      <a:fillRect/>
                    </a:stretch>
                  </pic:blipFill>
                  <pic:spPr>
                    <a:xfrm>
                      <a:off x="0" y="0"/>
                      <a:ext cx="5667375" cy="4829175"/>
                    </a:xfrm>
                    <a:prstGeom prst="rect">
                      <a:avLst/>
                    </a:prstGeom>
                  </pic:spPr>
                </pic:pic>
              </a:graphicData>
            </a:graphic>
          </wp:inline>
        </w:drawing>
      </w:r>
    </w:p>
    <w:p>
      <w:pPr>
        <w:widowControl/>
        <w:jc w:val="center"/>
        <w:rPr>
          <w:rFonts w:hint="eastAsia"/>
          <w:kern w:val="0"/>
          <w:sz w:val="18"/>
          <w:szCs w:val="18"/>
        </w:rPr>
      </w:pPr>
      <w:r>
        <w:rPr>
          <w:rFonts w:hint="eastAsia"/>
          <w:kern w:val="0"/>
          <w:szCs w:val="21"/>
        </w:rPr>
        <w:t>图4.1</w:t>
      </w:r>
      <w:r>
        <w:rPr>
          <w:kern w:val="0"/>
          <w:szCs w:val="21"/>
        </w:rPr>
        <w:t>-3</w:t>
      </w:r>
      <w:r>
        <w:rPr>
          <w:rFonts w:hint="eastAsia"/>
          <w:kern w:val="0"/>
          <w:szCs w:val="21"/>
        </w:rPr>
        <w:t xml:space="preserve">  场地噪声分布俯瞰图（昼间）</w:t>
      </w:r>
    </w:p>
    <w:p>
      <w:pPr>
        <w:widowControl/>
        <w:jc w:val="center"/>
        <w:rPr>
          <w:rFonts w:hint="eastAsia" w:ascii="宋体" w:hAnsi="宋体"/>
          <w:szCs w:val="21"/>
        </w:rPr>
      </w:pPr>
      <w:bookmarkStart w:id="47" w:name="场地噪声分布俯瞰夜"/>
      <w:bookmarkEnd w:id="47"/>
      <w:r>
        <w:drawing>
          <wp:inline distT="0" distB="0" distL="0" distR="0">
            <wp:extent cx="5667375" cy="48291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6"/>
                    <a:stretch>
                      <a:fillRect/>
                    </a:stretch>
                  </pic:blipFill>
                  <pic:spPr>
                    <a:xfrm>
                      <a:off x="0" y="0"/>
                      <a:ext cx="5667375" cy="4829175"/>
                    </a:xfrm>
                    <a:prstGeom prst="rect">
                      <a:avLst/>
                    </a:prstGeom>
                  </pic:spPr>
                </pic:pic>
              </a:graphicData>
            </a:graphic>
          </wp:inline>
        </w:drawing>
      </w:r>
    </w:p>
    <w:p>
      <w:pPr>
        <w:widowControl/>
        <w:jc w:val="center"/>
        <w:rPr>
          <w:rFonts w:hint="eastAsia"/>
          <w:kern w:val="0"/>
          <w:sz w:val="18"/>
          <w:szCs w:val="18"/>
        </w:rPr>
      </w:pPr>
      <w:r>
        <w:rPr>
          <w:rFonts w:hint="eastAsia"/>
          <w:kern w:val="0"/>
          <w:szCs w:val="21"/>
        </w:rPr>
        <w:t>图4.1</w:t>
      </w:r>
      <w:r>
        <w:rPr>
          <w:kern w:val="0"/>
          <w:szCs w:val="21"/>
        </w:rPr>
        <w:t xml:space="preserve">-4  </w:t>
      </w:r>
      <w:r>
        <w:rPr>
          <w:rFonts w:hint="eastAsia"/>
          <w:kern w:val="0"/>
          <w:szCs w:val="21"/>
        </w:rPr>
        <w:t>场地噪声分布俯瞰图（夜间）</w:t>
      </w:r>
    </w:p>
    <w:p>
      <w:pPr>
        <w:jc w:val="center"/>
        <w:rPr>
          <w:rFonts w:ascii="Times New Roman" w:hAnsi="Times New Roman"/>
          <w:b/>
          <w:color w:val="FF0000"/>
        </w:rPr>
      </w:pPr>
    </w:p>
    <w:p>
      <w:pPr>
        <w:pStyle w:val="3"/>
        <w:rPr>
          <w:rFonts w:hint="eastAsia"/>
          <w:sz w:val="24"/>
          <w:szCs w:val="24"/>
        </w:rPr>
      </w:pPr>
      <w:bookmarkStart w:id="48" w:name="_Toc479326729"/>
      <w:bookmarkStart w:id="49" w:name="_Toc10807"/>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8"/>
      <w:r>
        <w:rPr>
          <w:rFonts w:hint="eastAsia"/>
          <w:sz w:val="24"/>
          <w:szCs w:val="24"/>
        </w:rPr>
        <w:t>情况</w:t>
      </w:r>
      <w:bookmarkEnd w:id="49"/>
    </w:p>
    <w:p>
      <w:pPr>
        <w:spacing w:line="276" w:lineRule="auto"/>
        <w:ind w:firstLine="420"/>
        <w:rPr>
          <w:rFonts w:ascii="Times New Roman" w:hAnsi="Times New Roman" w:cs="宋体"/>
          <w:szCs w:val="21"/>
        </w:rPr>
      </w:pPr>
      <w:r>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参评建筑昼间和夜间沿底轮廓线1.5米分析高度处噪声分布情况，每栋参评建筑物俯视图圆圈内上下两个数字分别表示该建筑的昼间和夜间最大噪声值，红色填充代表该建筑昼间或夜间噪声值至少有一项超过三</w:t>
      </w:r>
      <w:r>
        <w:rPr>
          <w:rFonts w:hint="eastAsia" w:ascii="Times New Roman" w:hAnsi="Times New Roman" w:cs="宋体"/>
          <w:szCs w:val="21"/>
        </w:rPr>
        <w:t>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50" w:name="建筑附近声压分布图昼"/>
      <w:bookmarkEnd w:id="50"/>
      <w:r>
        <w:drawing>
          <wp:inline distT="0" distB="0" distL="0" distR="0">
            <wp:extent cx="5667375" cy="4810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7"/>
                    <a:stretch>
                      <a:fillRect/>
                    </a:stretch>
                  </pic:blipFill>
                  <pic:spPr>
                    <a:xfrm>
                      <a:off x="0" y="0"/>
                      <a:ext cx="5667375" cy="4810125"/>
                    </a:xfrm>
                    <a:prstGeom prst="rect">
                      <a:avLst/>
                    </a:prstGeom>
                  </pic:spPr>
                </pic:pic>
              </a:graphicData>
            </a:graphic>
          </wp:inline>
        </w:drawing>
      </w:r>
    </w:p>
    <w:p>
      <w:pPr>
        <w:widowControl/>
        <w:jc w:val="center"/>
        <w:rPr>
          <w:rFonts w:hint="eastAsia"/>
          <w:kern w:val="0"/>
          <w:sz w:val="18"/>
          <w:szCs w:val="18"/>
        </w:rPr>
      </w:pPr>
      <w:r>
        <w:rPr>
          <w:rFonts w:hint="eastAsia"/>
          <w:kern w:val="0"/>
          <w:szCs w:val="21"/>
        </w:rPr>
        <w:t>图4.</w:t>
      </w:r>
      <w:r>
        <w:rPr>
          <w:kern w:val="0"/>
          <w:szCs w:val="21"/>
        </w:rPr>
        <w:t>2-1</w:t>
      </w:r>
      <w:r>
        <w:rPr>
          <w:rFonts w:hint="eastAsia"/>
          <w:kern w:val="0"/>
          <w:szCs w:val="21"/>
        </w:rPr>
        <w:t xml:space="preserve"> 参评建筑附近区域</w:t>
      </w:r>
      <w:r>
        <w:rPr>
          <w:kern w:val="0"/>
          <w:szCs w:val="21"/>
        </w:rPr>
        <w:t>1.5m</w:t>
      </w:r>
      <w:r>
        <w:rPr>
          <w:rFonts w:hint="eastAsia"/>
          <w:kern w:val="0"/>
          <w:szCs w:val="21"/>
        </w:rPr>
        <w:t>高度处声压级平面分布图（昼间）</w:t>
      </w:r>
    </w:p>
    <w:p>
      <w:pPr>
        <w:jc w:val="center"/>
        <w:rPr>
          <w:rFonts w:ascii="Times New Roman" w:hAnsi="Times New Roman"/>
        </w:rPr>
      </w:pPr>
      <w:bookmarkStart w:id="51" w:name="建筑附近声压分布图夜"/>
      <w:bookmarkEnd w:id="51"/>
      <w:r>
        <w:drawing>
          <wp:inline distT="0" distB="0" distL="0" distR="0">
            <wp:extent cx="5667375" cy="48101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8"/>
                    <a:stretch>
                      <a:fillRect/>
                    </a:stretch>
                  </pic:blipFill>
                  <pic:spPr>
                    <a:xfrm>
                      <a:off x="0" y="0"/>
                      <a:ext cx="5667375" cy="4810125"/>
                    </a:xfrm>
                    <a:prstGeom prst="rect">
                      <a:avLst/>
                    </a:prstGeom>
                  </pic:spPr>
                </pic:pic>
              </a:graphicData>
            </a:graphic>
          </wp:inline>
        </w:drawing>
      </w:r>
    </w:p>
    <w:p>
      <w:pPr>
        <w:widowControl/>
        <w:jc w:val="center"/>
        <w:rPr>
          <w:rFonts w:hint="eastAsia"/>
          <w:kern w:val="0"/>
          <w:szCs w:val="21"/>
        </w:rPr>
      </w:pPr>
      <w:r>
        <w:rPr>
          <w:rFonts w:hint="eastAsia"/>
          <w:kern w:val="0"/>
          <w:szCs w:val="21"/>
        </w:rPr>
        <w:t>图4.</w:t>
      </w:r>
      <w:r>
        <w:rPr>
          <w:kern w:val="0"/>
          <w:szCs w:val="21"/>
        </w:rPr>
        <w:t>2-2</w:t>
      </w:r>
      <w:r>
        <w:rPr>
          <w:rFonts w:hint="eastAsia"/>
          <w:kern w:val="0"/>
          <w:szCs w:val="21"/>
        </w:rPr>
        <w:t xml:space="preserve"> 参评建筑附近区域</w:t>
      </w:r>
      <w:r>
        <w:rPr>
          <w:kern w:val="0"/>
          <w:szCs w:val="21"/>
        </w:rPr>
        <w:t>1.5m</w:t>
      </w:r>
      <w:r>
        <w:rPr>
          <w:rFonts w:hint="eastAsia"/>
          <w:kern w:val="0"/>
          <w:szCs w:val="21"/>
        </w:rPr>
        <w:t>高度处声压级平面分布图（夜间）</w:t>
      </w:r>
    </w:p>
    <w:p>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pPr>
        <w:ind w:firstLine="420"/>
        <w:jc w:val="center"/>
        <w:rPr>
          <w:rFonts w:hint="eastAsia"/>
        </w:rP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9"/>
                    <a:stretch>
                      <a:fillRect/>
                    </a:stretch>
                  </pic:blipFill>
                  <pic:spPr>
                    <a:xfrm>
                      <a:off x="0" y="0"/>
                      <a:ext cx="3704762" cy="476190"/>
                    </a:xfrm>
                    <a:prstGeom prst="rect">
                      <a:avLst/>
                    </a:prstGeom>
                  </pic:spPr>
                </pic:pic>
              </a:graphicData>
            </a:graphic>
          </wp:inline>
        </w:drawing>
      </w:r>
    </w:p>
    <w:p>
      <w:pPr>
        <w:widowControl/>
        <w:jc w:val="center"/>
        <w:rPr>
          <w:rFonts w:hint="eastAsia" w:ascii="宋体" w:hAnsi="宋体"/>
          <w:szCs w:val="21"/>
        </w:rPr>
      </w:pPr>
      <w:bookmarkStart w:id="52" w:name="建筑附近声压分布鸟瞰图昼"/>
      <w:r>
        <w:drawing>
          <wp:inline distT="0" distB="0" distL="0" distR="0">
            <wp:extent cx="5667375" cy="41624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0"/>
                    <a:stretch>
                      <a:fillRect/>
                    </a:stretch>
                  </pic:blipFill>
                  <pic:spPr>
                    <a:xfrm>
                      <a:off x="0" y="0"/>
                      <a:ext cx="5667375" cy="4162425"/>
                    </a:xfrm>
                    <a:prstGeom prst="rect">
                      <a:avLst/>
                    </a:prstGeom>
                  </pic:spPr>
                </pic:pic>
              </a:graphicData>
            </a:graphic>
          </wp:inline>
        </w:drawing>
      </w:r>
    </w:p>
    <w:bookmarkEnd w:id="52"/>
    <w:p>
      <w:pPr>
        <w:widowControl/>
        <w:jc w:val="center"/>
        <w:rPr>
          <w:rFonts w:hint="eastAsia" w:ascii="宋体" w:hAnsi="宋体"/>
          <w:szCs w:val="21"/>
        </w:rPr>
      </w:pPr>
    </w:p>
    <w:p>
      <w:pPr>
        <w:widowControl/>
        <w:tabs>
          <w:tab w:val="center" w:pos="4153"/>
          <w:tab w:val="right" w:pos="8306"/>
        </w:tabs>
        <w:rPr>
          <w:rFonts w:hint="eastAsia"/>
          <w:kern w:val="0"/>
          <w:sz w:val="18"/>
          <w:szCs w:val="18"/>
        </w:rPr>
      </w:pPr>
      <w:r>
        <w:rPr>
          <w:kern w:val="0"/>
          <w:sz w:val="18"/>
          <w:szCs w:val="18"/>
        </w:rPr>
        <w:tab/>
      </w:r>
      <w:r>
        <w:rPr>
          <w:rFonts w:hint="eastAsia"/>
          <w:kern w:val="0"/>
          <w:szCs w:val="21"/>
        </w:rPr>
        <w:t>图4.</w:t>
      </w:r>
      <w:r>
        <w:rPr>
          <w:kern w:val="0"/>
          <w:szCs w:val="21"/>
        </w:rPr>
        <w:t>2-3</w:t>
      </w:r>
      <w:r>
        <w:rPr>
          <w:rFonts w:hint="eastAsia"/>
          <w:kern w:val="0"/>
          <w:szCs w:val="21"/>
        </w:rPr>
        <w:t xml:space="preserve"> 参评建筑附近区域声压级鸟瞰分布图（昼间）</w:t>
      </w:r>
      <w:r>
        <w:rPr>
          <w:kern w:val="0"/>
          <w:sz w:val="18"/>
          <w:szCs w:val="18"/>
        </w:rPr>
        <w:tab/>
      </w:r>
    </w:p>
    <w:p>
      <w:pPr>
        <w:widowControl/>
        <w:jc w:val="center"/>
        <w:rPr>
          <w:rFonts w:hint="eastAsia" w:ascii="宋体" w:hAnsi="宋体"/>
          <w:szCs w:val="21"/>
        </w:rPr>
      </w:pPr>
    </w:p>
    <w:p>
      <w:pPr>
        <w:widowControl/>
        <w:jc w:val="center"/>
        <w:rPr>
          <w:rFonts w:hint="eastAsia" w:ascii="宋体" w:hAnsi="宋体"/>
          <w:szCs w:val="21"/>
        </w:rPr>
      </w:pPr>
      <w:bookmarkStart w:id="53" w:name="建筑附近声压分布鸟瞰图夜"/>
      <w:bookmarkEnd w:id="53"/>
      <w:r>
        <w:drawing>
          <wp:inline distT="0" distB="0" distL="0" distR="0">
            <wp:extent cx="5667375" cy="41624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0"/>
                    <a:stretch>
                      <a:fillRect/>
                    </a:stretch>
                  </pic:blipFill>
                  <pic:spPr>
                    <a:xfrm>
                      <a:off x="0" y="0"/>
                      <a:ext cx="5667375" cy="4162425"/>
                    </a:xfrm>
                    <a:prstGeom prst="rect">
                      <a:avLst/>
                    </a:prstGeom>
                  </pic:spPr>
                </pic:pic>
              </a:graphicData>
            </a:graphic>
          </wp:inline>
        </w:drawing>
      </w:r>
    </w:p>
    <w:p>
      <w:pPr>
        <w:widowControl/>
        <w:jc w:val="center"/>
        <w:rPr>
          <w:rFonts w:hint="eastAsia"/>
          <w:kern w:val="0"/>
          <w:sz w:val="18"/>
          <w:szCs w:val="18"/>
        </w:rPr>
      </w:pPr>
      <w:r>
        <w:rPr>
          <w:rFonts w:hint="eastAsia"/>
          <w:kern w:val="0"/>
          <w:szCs w:val="21"/>
        </w:rPr>
        <w:t>图4.</w:t>
      </w:r>
      <w:r>
        <w:rPr>
          <w:kern w:val="0"/>
          <w:szCs w:val="21"/>
        </w:rPr>
        <w:t>2-4</w:t>
      </w:r>
      <w:r>
        <w:rPr>
          <w:rFonts w:hint="eastAsia"/>
          <w:kern w:val="0"/>
          <w:szCs w:val="21"/>
        </w:rPr>
        <w:t xml:space="preserve"> 参评建筑附近区域声压级鸟瞰分布图（夜间）</w:t>
      </w:r>
    </w:p>
    <w:p>
      <w:pPr>
        <w:widowControl/>
        <w:spacing w:before="240"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spacing w:before="240"/>
        <w:jc w:val="center"/>
        <w:rPr>
          <w:rFonts w:hint="eastAsia"/>
          <w:szCs w:val="21"/>
        </w:rPr>
      </w:pPr>
      <w:r>
        <w:rPr>
          <w:rFonts w:hint="eastAsia" w:cs="宋体"/>
          <w:sz w:val="18"/>
          <w:szCs w:val="18"/>
        </w:rPr>
        <w:t xml:space="preserve">               </w:t>
      </w:r>
      <w:r>
        <w:rPr>
          <w:rFonts w:cs="宋体"/>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rFonts w:hint="eastAsia"/>
          <w:kern w:val="0"/>
          <w:szCs w:val="21"/>
        </w:rPr>
        <w:t>表4</w:t>
      </w:r>
      <w:r>
        <w:rPr>
          <w:kern w:val="0"/>
          <w:szCs w:val="21"/>
        </w:rPr>
        <w:t xml:space="preserve">.2 </w:t>
      </w:r>
      <w:r>
        <w:rPr>
          <w:rFonts w:hint="eastAsia"/>
          <w:kern w:val="0"/>
          <w:szCs w:val="21"/>
        </w:rPr>
        <w:t xml:space="preserve">参评建筑达标统计  </w:t>
      </w:r>
      <w:r>
        <w:rPr>
          <w:kern w:val="0"/>
          <w:szCs w:val="21"/>
        </w:rPr>
        <w:t xml:space="preserve">           </w:t>
      </w:r>
      <w:r>
        <w:rPr>
          <w:rFonts w:hint="eastAsia"/>
          <w:kern w:val="0"/>
          <w:szCs w:val="21"/>
        </w:rPr>
        <w:t xml:space="preserve">   单位</w:t>
      </w:r>
      <w:r>
        <w:rPr>
          <w:kern w:val="0"/>
          <w:szCs w:val="21"/>
        </w:rPr>
        <w:t>：dB(A</w:t>
      </w:r>
      <w:r>
        <w:rPr>
          <w:rFonts w:hint="eastAsia"/>
          <w:kern w:val="0"/>
          <w:szCs w:val="21"/>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S1</w:t>
            </w:r>
          </w:p>
        </w:tc>
        <w:tc>
          <w:tcPr>
            <w:vAlign w:val="center"/>
          </w:tcPr>
          <w:p>
            <w:pPr>
              <w:jc w:val="center"/>
            </w:pPr>
            <w:r>
              <w:t>昼间</w:t>
            </w:r>
          </w:p>
        </w:tc>
        <w:tc>
          <w:tcPr>
            <w:vAlign w:val="center"/>
          </w:tcPr>
          <w:p>
            <w:pPr>
              <w:jc w:val="center"/>
            </w:pPr>
            <w:r>
              <w:t>46</w:t>
            </w:r>
          </w:p>
        </w:tc>
        <w:tc>
          <w:tcPr>
            <w:vAlign w:val="center"/>
          </w:tcPr>
          <w:p>
            <w:pPr>
              <w:jc w:val="center"/>
            </w:pPr>
            <w:r>
              <w:t>60</w:t>
            </w:r>
          </w:p>
        </w:tc>
        <w:tc>
          <w:tcPr>
            <w:vAlign w:val="center"/>
          </w:tcPr>
          <w:p>
            <w:pPr>
              <w:jc w:val="center"/>
            </w:pPr>
            <w:r>
              <w:t>65</w:t>
            </w:r>
          </w:p>
        </w:tc>
        <w:tc>
          <w:tcPr>
            <w:vMerge w:val="restart"/>
            <w:vAlign w:val="center"/>
          </w:tcPr>
          <w:p>
            <w:pPr>
              <w:jc w:val="center"/>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32</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S2</w:t>
            </w:r>
          </w:p>
        </w:tc>
        <w:tc>
          <w:tcPr>
            <w:vAlign w:val="center"/>
          </w:tcPr>
          <w:p>
            <w:pPr>
              <w:jc w:val="center"/>
            </w:pPr>
            <w:r>
              <w:t>昼间</w:t>
            </w:r>
          </w:p>
        </w:tc>
        <w:tc>
          <w:tcPr>
            <w:vAlign w:val="center"/>
          </w:tcPr>
          <w:p>
            <w:pPr>
              <w:jc w:val="center"/>
            </w:pPr>
            <w:r>
              <w:t>46</w:t>
            </w:r>
          </w:p>
        </w:tc>
        <w:tc>
          <w:tcPr>
            <w:vAlign w:val="center"/>
          </w:tcPr>
          <w:p>
            <w:pPr>
              <w:jc w:val="center"/>
            </w:pPr>
            <w:r>
              <w:t>60</w:t>
            </w:r>
          </w:p>
        </w:tc>
        <w:tc>
          <w:tcPr>
            <w:vAlign w:val="center"/>
          </w:tcPr>
          <w:p>
            <w:pPr>
              <w:jc w:val="center"/>
            </w:pPr>
            <w:r>
              <w:t>65</w:t>
            </w:r>
          </w:p>
        </w:tc>
        <w:tc>
          <w:tcPr>
            <w:vMerge w:val="restart"/>
            <w:vAlign w:val="center"/>
          </w:tcPr>
          <w:p>
            <w:pPr>
              <w:jc w:val="center"/>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36</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S3</w:t>
            </w:r>
          </w:p>
        </w:tc>
        <w:tc>
          <w:tcPr>
            <w:vAlign w:val="center"/>
          </w:tcPr>
          <w:p>
            <w:pPr>
              <w:jc w:val="center"/>
            </w:pPr>
            <w:r>
              <w:t>昼间</w:t>
            </w:r>
          </w:p>
        </w:tc>
        <w:tc>
          <w:tcPr>
            <w:vAlign w:val="center"/>
          </w:tcPr>
          <w:p>
            <w:pPr>
              <w:jc w:val="center"/>
            </w:pPr>
            <w:r>
              <w:t>48</w:t>
            </w:r>
          </w:p>
        </w:tc>
        <w:tc>
          <w:tcPr>
            <w:vAlign w:val="center"/>
          </w:tcPr>
          <w:p>
            <w:pPr>
              <w:jc w:val="center"/>
            </w:pPr>
            <w:r>
              <w:t>60</w:t>
            </w:r>
          </w:p>
        </w:tc>
        <w:tc>
          <w:tcPr>
            <w:vAlign w:val="center"/>
          </w:tcPr>
          <w:p>
            <w:pPr>
              <w:jc w:val="center"/>
            </w:pPr>
            <w:r>
              <w:t>65</w:t>
            </w:r>
          </w:p>
        </w:tc>
        <w:tc>
          <w:tcPr>
            <w:vMerge w:val="restart"/>
            <w:vAlign w:val="center"/>
          </w:tcPr>
          <w:p>
            <w:pPr>
              <w:jc w:val="center"/>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34</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S4</w:t>
            </w:r>
          </w:p>
        </w:tc>
        <w:tc>
          <w:tcPr>
            <w:vAlign w:val="center"/>
          </w:tcPr>
          <w:p>
            <w:pPr>
              <w:jc w:val="center"/>
            </w:pPr>
            <w:r>
              <w:t>昼间</w:t>
            </w:r>
          </w:p>
        </w:tc>
        <w:tc>
          <w:tcPr>
            <w:vAlign w:val="center"/>
          </w:tcPr>
          <w:p>
            <w:pPr>
              <w:jc w:val="center"/>
            </w:pPr>
            <w:r>
              <w:t>49</w:t>
            </w:r>
          </w:p>
        </w:tc>
        <w:tc>
          <w:tcPr>
            <w:vAlign w:val="center"/>
          </w:tcPr>
          <w:p>
            <w:pPr>
              <w:jc w:val="center"/>
            </w:pPr>
            <w:r>
              <w:t>60</w:t>
            </w:r>
          </w:p>
        </w:tc>
        <w:tc>
          <w:tcPr>
            <w:vAlign w:val="center"/>
          </w:tcPr>
          <w:p>
            <w:pPr>
              <w:jc w:val="center"/>
            </w:pPr>
            <w:r>
              <w:t>65</w:t>
            </w:r>
          </w:p>
        </w:tc>
        <w:tc>
          <w:tcPr>
            <w:vMerge w:val="restart"/>
            <w:vAlign w:val="center"/>
          </w:tcPr>
          <w:p>
            <w:pPr>
              <w:jc w:val="center"/>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41</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S5</w:t>
            </w:r>
          </w:p>
        </w:tc>
        <w:tc>
          <w:tcPr>
            <w:vAlign w:val="center"/>
          </w:tcPr>
          <w:p>
            <w:pPr>
              <w:jc w:val="center"/>
            </w:pPr>
            <w:r>
              <w:t>昼间</w:t>
            </w:r>
          </w:p>
        </w:tc>
        <w:tc>
          <w:tcPr>
            <w:vAlign w:val="center"/>
          </w:tcPr>
          <w:p>
            <w:pPr>
              <w:jc w:val="center"/>
            </w:pPr>
            <w:r>
              <w:t>46</w:t>
            </w:r>
          </w:p>
        </w:tc>
        <w:tc>
          <w:tcPr>
            <w:vAlign w:val="center"/>
          </w:tcPr>
          <w:p>
            <w:pPr>
              <w:jc w:val="center"/>
            </w:pPr>
            <w:r>
              <w:t>60</w:t>
            </w:r>
          </w:p>
        </w:tc>
        <w:tc>
          <w:tcPr>
            <w:vAlign w:val="center"/>
          </w:tcPr>
          <w:p>
            <w:pPr>
              <w:jc w:val="center"/>
            </w:pPr>
            <w:r>
              <w:t>65</w:t>
            </w:r>
          </w:p>
        </w:tc>
        <w:tc>
          <w:tcPr>
            <w:vMerge w:val="restart"/>
            <w:vAlign w:val="center"/>
          </w:tcPr>
          <w:p>
            <w:pPr>
              <w:jc w:val="center"/>
            </w:pPr>
            <w:r>
              <w:t>8</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25</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S6</w:t>
            </w:r>
          </w:p>
        </w:tc>
        <w:tc>
          <w:tcPr>
            <w:vAlign w:val="center"/>
          </w:tcPr>
          <w:p>
            <w:pPr>
              <w:jc w:val="center"/>
            </w:pPr>
            <w:r>
              <w:t>昼间</w:t>
            </w:r>
          </w:p>
        </w:tc>
        <w:tc>
          <w:tcPr>
            <w:vAlign w:val="center"/>
          </w:tcPr>
          <w:p>
            <w:pPr>
              <w:jc w:val="center"/>
            </w:pPr>
            <w:r>
              <w:t>49</w:t>
            </w:r>
          </w:p>
        </w:tc>
        <w:tc>
          <w:tcPr>
            <w:vAlign w:val="center"/>
          </w:tcPr>
          <w:p>
            <w:pPr>
              <w:jc w:val="center"/>
            </w:pPr>
            <w:r>
              <w:t>60</w:t>
            </w:r>
          </w:p>
        </w:tc>
        <w:tc>
          <w:tcPr>
            <w:vAlign w:val="center"/>
          </w:tcPr>
          <w:p>
            <w:pPr>
              <w:jc w:val="center"/>
            </w:pPr>
            <w:r>
              <w:t>65</w:t>
            </w:r>
          </w:p>
        </w:tc>
        <w:tc>
          <w:tcPr>
            <w:vMerge w:val="restart"/>
            <w:vAlign w:val="center"/>
          </w:tcPr>
          <w:p>
            <w:pPr>
              <w:jc w:val="center"/>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39</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办公楼</w:t>
            </w:r>
          </w:p>
        </w:tc>
        <w:tc>
          <w:tcPr>
            <w:vAlign w:val="center"/>
          </w:tcPr>
          <w:p>
            <w:pPr>
              <w:jc w:val="center"/>
            </w:pPr>
            <w:r>
              <w:t>昼间</w:t>
            </w:r>
          </w:p>
        </w:tc>
        <w:tc>
          <w:tcPr>
            <w:vAlign w:val="center"/>
          </w:tcPr>
          <w:p>
            <w:pPr>
              <w:jc w:val="center"/>
            </w:pPr>
            <w:r>
              <w:t>61</w:t>
            </w:r>
          </w:p>
        </w:tc>
        <w:tc>
          <w:tcPr>
            <w:vAlign w:val="center"/>
          </w:tcPr>
          <w:p>
            <w:pPr>
              <w:jc w:val="center"/>
            </w:pPr>
            <w:r>
              <w:t>60</w:t>
            </w:r>
          </w:p>
        </w:tc>
        <w:tc>
          <w:tcPr>
            <w:vAlign w:val="center"/>
          </w:tcPr>
          <w:p>
            <w:pPr>
              <w:jc w:val="center"/>
            </w:pPr>
            <w:r>
              <w:t>65</w:t>
            </w:r>
          </w:p>
        </w:tc>
        <w:tc>
          <w:tcPr>
            <w:vMerge w:val="restart"/>
            <w:vAlign w:val="center"/>
          </w:tcPr>
          <w:p>
            <w:pPr>
              <w:jc w:val="center"/>
            </w:pPr>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38</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小学楼</w:t>
            </w:r>
          </w:p>
        </w:tc>
        <w:tc>
          <w:tcPr>
            <w:vAlign w:val="center"/>
          </w:tcPr>
          <w:p>
            <w:pPr>
              <w:jc w:val="center"/>
            </w:pPr>
            <w:r>
              <w:t>昼间</w:t>
            </w:r>
          </w:p>
        </w:tc>
        <w:tc>
          <w:tcPr>
            <w:vAlign w:val="center"/>
          </w:tcPr>
          <w:p>
            <w:pPr>
              <w:jc w:val="center"/>
            </w:pPr>
            <w:r>
              <w:t>50</w:t>
            </w:r>
          </w:p>
        </w:tc>
        <w:tc>
          <w:tcPr>
            <w:vAlign w:val="center"/>
          </w:tcPr>
          <w:p>
            <w:pPr>
              <w:jc w:val="center"/>
            </w:pPr>
            <w:r>
              <w:t>60</w:t>
            </w:r>
          </w:p>
        </w:tc>
        <w:tc>
          <w:tcPr>
            <w:vAlign w:val="center"/>
          </w:tcPr>
          <w:p>
            <w:pPr>
              <w:jc w:val="center"/>
            </w:pPr>
            <w:r>
              <w:t>65</w:t>
            </w:r>
          </w:p>
        </w:tc>
        <w:tc>
          <w:tcPr>
            <w:vMerge w:val="restart"/>
            <w:vAlign w:val="center"/>
          </w:tcPr>
          <w:p>
            <w:pPr>
              <w:jc w:val="center"/>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41</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54" w:name="建筑物噪声最大值统计表格"/>
      <w:bookmarkEnd w:id="54"/>
    </w:p>
    <w:p>
      <w:pPr>
        <w:pStyle w:val="2"/>
        <w:rPr>
          <w:rFonts w:ascii="Times New Roman" w:hAnsi="Times New Roman"/>
          <w:sz w:val="28"/>
          <w:szCs w:val="28"/>
        </w:rPr>
      </w:pPr>
      <w:bookmarkStart w:id="55" w:name="_Toc479326730"/>
      <w:bookmarkStart w:id="56" w:name="_Toc4310"/>
      <w:bookmarkStart w:id="66" w:name="_GoBack"/>
      <w:bookmarkEnd w:id="66"/>
      <w:r>
        <w:rPr>
          <w:rFonts w:hint="eastAsia" w:ascii="Times New Roman" w:hAnsi="Times New Roman"/>
          <w:sz w:val="28"/>
          <w:szCs w:val="28"/>
        </w:rPr>
        <w:t>5.结论</w:t>
      </w:r>
      <w:bookmarkEnd w:id="55"/>
      <w:bookmarkEnd w:id="56"/>
    </w:p>
    <w:p>
      <w:pPr>
        <w:ind w:firstLine="420" w:firstLineChars="200"/>
        <w:rPr>
          <w:rFonts w:ascii="Times New Roman" w:hAnsi="Times New Roman"/>
          <w:szCs w:val="21"/>
        </w:rPr>
      </w:pPr>
      <w:bookmarkStart w:id="57" w:name="标准名称4"/>
      <w:r>
        <w:rPr>
          <w:rFonts w:hint="eastAsia"/>
        </w:rPr>
        <w:t>《福建省绿色建筑设计标准》DBJ/T 13-197-2022</w:t>
      </w:r>
      <w:bookmarkEnd w:id="57"/>
      <w:r>
        <w:rPr>
          <w:rFonts w:hint="eastAsia" w:ascii="Times New Roman" w:hAnsi="Times New Roman"/>
          <w:szCs w:val="21"/>
        </w:rPr>
        <w:t>要求:</w:t>
      </w:r>
    </w:p>
    <w:p>
      <w:pPr>
        <w:rPr>
          <w:rFonts w:hint="eastAsia"/>
        </w:rPr>
      </w:pPr>
      <w:bookmarkStart w:id="58" w:name="室外条文内容1"/>
      <w:bookmarkEnd w:id="58"/>
      <w:r>
        <w:rPr>
          <w:rFonts w:hint="eastAsia"/>
        </w:rPr>
        <w:t xml:space="preserve"> </w:t>
      </w:r>
      <w:r>
        <w:t xml:space="preserve"> </w:t>
      </w:r>
      <w:r>
        <w:rPr>
          <w:rFonts w:hint="eastAsia"/>
        </w:rPr>
        <w:t xml:space="preserve"> 4.2.14 建筑布局和场地设计时应根据室外噪声模拟预测分析结果，对总平面布局、建筑功能分区、声屏障布置等方面进行优化设计，并应符合下列要求（设计分值为8分）：</w:t>
      </w:r>
    </w:p>
    <w:p>
      <w:pPr>
        <w:rPr>
          <w:rFonts w:hint="eastAsia"/>
        </w:rPr>
      </w:pPr>
      <w:r>
        <w:rPr>
          <w:rFonts w:hint="eastAsia"/>
        </w:rPr>
        <w:t xml:space="preserve">  1 环境噪声值大于2类声环境功能区标准限值，且小于等于3类声环境功能区标准限值，得4分；</w:t>
      </w:r>
    </w:p>
    <w:p>
      <w:pPr>
        <w:rPr>
          <w:rFonts w:hint="eastAsia"/>
        </w:rPr>
      </w:pPr>
      <w:r>
        <w:rPr>
          <w:rFonts w:hint="eastAsia"/>
        </w:rPr>
        <w:t xml:space="preserve">  2 环境噪声值小于等于2类声环境功能区标准限值，得8分。</w:t>
      </w:r>
    </w:p>
    <w:p>
      <w:pPr>
        <w:widowControl/>
        <w:jc w:val="center"/>
        <w:rPr>
          <w:rFonts w:hint="eastAsia" w:cs="宋体"/>
          <w:sz w:val="18"/>
          <w:szCs w:val="18"/>
        </w:rPr>
      </w:pPr>
      <w:r>
        <w:rPr>
          <w:rFonts w:hint="eastAsia" w:cs="宋体"/>
          <w:sz w:val="18"/>
          <w:szCs w:val="18"/>
        </w:rPr>
        <w:t xml:space="preserve"> </w:t>
      </w:r>
      <w:r>
        <w:rPr>
          <w:rFonts w:cs="宋体"/>
          <w:sz w:val="18"/>
          <w:szCs w:val="18"/>
        </w:rPr>
        <w:t xml:space="preserve">                          </w:t>
      </w:r>
      <w:r>
        <w:rPr>
          <w:rFonts w:hint="eastAsia" w:cs="宋体"/>
          <w:szCs w:val="21"/>
        </w:rPr>
        <w:t>表5.</w:t>
      </w:r>
      <w:r>
        <w:rPr>
          <w:rFonts w:cs="宋体"/>
          <w:szCs w:val="21"/>
        </w:rPr>
        <w:t>1</w:t>
      </w:r>
      <w:r>
        <w:rPr>
          <w:rFonts w:hint="eastAsia" w:cs="宋体"/>
          <w:szCs w:val="21"/>
        </w:rPr>
        <w:t xml:space="preserve">   环境噪声综合得分表 </w:t>
      </w:r>
      <w:r>
        <w:rPr>
          <w:rFonts w:cs="宋体"/>
          <w:szCs w:val="21"/>
        </w:rPr>
        <w:t xml:space="preserve">   </w:t>
      </w:r>
      <w:r>
        <w:rPr>
          <w:rFonts w:hint="eastAsia" w:cs="宋体"/>
          <w:szCs w:val="21"/>
        </w:rPr>
        <w:t xml:space="preserve">       </w:t>
      </w:r>
      <w:r>
        <w:rPr>
          <w:rFonts w:cs="宋体"/>
          <w:szCs w:val="21"/>
        </w:rPr>
        <w:t xml:space="preserve">    </w:t>
      </w:r>
      <w:r>
        <w:rPr>
          <w:rFonts w:hint="eastAsia" w:cs="宋体"/>
          <w:szCs w:val="21"/>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pPr>
              <w:jc w:val="center"/>
              <w:rPr>
                <w:rFonts w:hint="eastAsia"/>
              </w:rPr>
            </w:pPr>
            <w:r>
              <w:rPr>
                <w:rFonts w:hint="eastAsia"/>
              </w:rPr>
              <w:t>时段</w:t>
            </w:r>
          </w:p>
        </w:tc>
        <w:tc>
          <w:tcPr>
            <w:tcW w:w="1659" w:type="dxa"/>
            <w:shd w:val="clear" w:color="auto" w:fill="F1F1F1" w:themeFill="background1" w:themeFillShade="F2"/>
          </w:tcPr>
          <w:p>
            <w:pPr>
              <w:jc w:val="center"/>
              <w:rPr>
                <w:rFonts w:hint="eastAsia"/>
              </w:rPr>
            </w:pPr>
            <w:r>
              <w:rPr>
                <w:rFonts w:hint="eastAsia"/>
              </w:rPr>
              <w:t>噪声最大值</w:t>
            </w:r>
          </w:p>
        </w:tc>
        <w:tc>
          <w:tcPr>
            <w:tcW w:w="1659" w:type="dxa"/>
            <w:shd w:val="clear" w:color="auto" w:fill="F1F1F1" w:themeFill="background1" w:themeFillShade="F2"/>
          </w:tcPr>
          <w:p>
            <w:pPr>
              <w:jc w:val="center"/>
              <w:rPr>
                <w:rFonts w:hint="eastAsia"/>
              </w:rPr>
            </w:pPr>
            <w:r>
              <w:t>2</w:t>
            </w:r>
            <w:r>
              <w:rPr>
                <w:rFonts w:hint="eastAsia"/>
              </w:rPr>
              <w:t>类噪声限值</w:t>
            </w:r>
          </w:p>
        </w:tc>
        <w:tc>
          <w:tcPr>
            <w:tcW w:w="1659" w:type="dxa"/>
            <w:shd w:val="clear" w:color="auto" w:fill="F1F1F1" w:themeFill="background1" w:themeFillShade="F2"/>
          </w:tcPr>
          <w:p>
            <w:pPr>
              <w:jc w:val="center"/>
              <w:rPr>
                <w:rFonts w:hint="eastAsia"/>
              </w:rPr>
            </w:pPr>
            <w:r>
              <w:t>3</w:t>
            </w:r>
            <w:r>
              <w:rPr>
                <w:rFonts w:hint="eastAsia"/>
              </w:rPr>
              <w:t>类噪声限值</w:t>
            </w:r>
          </w:p>
        </w:tc>
        <w:tc>
          <w:tcPr>
            <w:tcW w:w="1660" w:type="dxa"/>
            <w:shd w:val="clear" w:color="auto" w:fill="F1F1F1" w:themeFill="background1" w:themeFillShade="F2"/>
          </w:tcPr>
          <w:p>
            <w:pPr>
              <w:jc w:val="center"/>
              <w:rPr>
                <w:rFonts w:hint="eastAsia"/>
              </w:rPr>
            </w:pPr>
            <w:r>
              <w:rPr>
                <w:rFonts w:hint="eastAsia"/>
              </w:rPr>
              <w:t>得分情况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pPr>
              <w:jc w:val="center"/>
              <w:rPr>
                <w:rFonts w:hint="eastAsia"/>
              </w:rPr>
            </w:pPr>
            <w:r>
              <w:rPr>
                <w:rFonts w:hint="eastAsia"/>
              </w:rPr>
              <w:t>昼间</w:t>
            </w:r>
          </w:p>
        </w:tc>
        <w:tc>
          <w:tcPr>
            <w:tcW w:w="1659" w:type="dxa"/>
          </w:tcPr>
          <w:p>
            <w:pPr>
              <w:jc w:val="center"/>
              <w:rPr>
                <w:rFonts w:hint="eastAsia"/>
                <w:b/>
              </w:rPr>
            </w:pPr>
            <w:bookmarkStart w:id="59" w:name="昼间噪声最大值"/>
            <w:r>
              <w:rPr>
                <w:b/>
              </w:rPr>
              <w:t>61</w:t>
            </w:r>
            <w:bookmarkEnd w:id="59"/>
          </w:p>
        </w:tc>
        <w:tc>
          <w:tcPr>
            <w:tcW w:w="1659" w:type="dxa"/>
          </w:tcPr>
          <w:p>
            <w:pPr>
              <w:jc w:val="center"/>
              <w:rPr>
                <w:rFonts w:hint="eastAsia"/>
              </w:rPr>
            </w:pPr>
            <w:r>
              <w:rPr>
                <w:bCs/>
              </w:rPr>
              <w:t>60</w:t>
            </w:r>
          </w:p>
        </w:tc>
        <w:tc>
          <w:tcPr>
            <w:tcW w:w="1659" w:type="dxa"/>
          </w:tcPr>
          <w:p>
            <w:pPr>
              <w:jc w:val="center"/>
              <w:rPr>
                <w:rFonts w:hint="eastAsia"/>
              </w:rPr>
            </w:pPr>
            <w:r>
              <w:rPr>
                <w:bCs/>
              </w:rPr>
              <w:t>65</w:t>
            </w:r>
          </w:p>
        </w:tc>
        <w:tc>
          <w:tcPr>
            <w:tcW w:w="1660" w:type="dxa"/>
            <w:vMerge w:val="restart"/>
            <w:vAlign w:val="center"/>
          </w:tcPr>
          <w:p>
            <w:pPr>
              <w:jc w:val="center"/>
              <w:rPr>
                <w:rFonts w:hint="eastAsia"/>
                <w:b/>
                <w:bCs/>
              </w:rPr>
            </w:pPr>
            <w:bookmarkStart w:id="60" w:name="得分情况"/>
            <w:r>
              <w:rPr>
                <w:b/>
                <w:bCs/>
              </w:rPr>
              <w:t>4</w:t>
            </w:r>
            <w:bookmarkEnd w:id="60"/>
            <w:r>
              <w:rPr>
                <w:rFonts w:hint="eastAsia"/>
                <w:b/>
                <w:bCs/>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pPr>
              <w:jc w:val="center"/>
              <w:rPr>
                <w:rFonts w:hint="eastAsia"/>
              </w:rPr>
            </w:pPr>
            <w:r>
              <w:rPr>
                <w:rFonts w:hint="eastAsia"/>
              </w:rPr>
              <w:t>夜间</w:t>
            </w:r>
          </w:p>
        </w:tc>
        <w:tc>
          <w:tcPr>
            <w:tcW w:w="1659" w:type="dxa"/>
          </w:tcPr>
          <w:p>
            <w:pPr>
              <w:jc w:val="center"/>
              <w:rPr>
                <w:rFonts w:hint="eastAsia"/>
                <w:b/>
              </w:rPr>
            </w:pPr>
            <w:bookmarkStart w:id="61" w:name="夜间噪声最大值"/>
            <w:r>
              <w:rPr>
                <w:b/>
              </w:rPr>
              <w:t>41</w:t>
            </w:r>
            <w:bookmarkEnd w:id="61"/>
          </w:p>
        </w:tc>
        <w:tc>
          <w:tcPr>
            <w:tcW w:w="1659" w:type="dxa"/>
          </w:tcPr>
          <w:p>
            <w:pPr>
              <w:jc w:val="center"/>
              <w:rPr>
                <w:rFonts w:hint="eastAsia"/>
                <w:b/>
              </w:rPr>
            </w:pPr>
            <w:r>
              <w:rPr>
                <w:bCs/>
              </w:rPr>
              <w:t>50</w:t>
            </w:r>
          </w:p>
        </w:tc>
        <w:tc>
          <w:tcPr>
            <w:tcW w:w="1659" w:type="dxa"/>
          </w:tcPr>
          <w:p>
            <w:pPr>
              <w:jc w:val="center"/>
              <w:rPr>
                <w:rFonts w:hint="eastAsia"/>
                <w:b/>
              </w:rPr>
            </w:pPr>
            <w:r>
              <w:rPr>
                <w:bCs/>
              </w:rPr>
              <w:t>55</w:t>
            </w:r>
          </w:p>
        </w:tc>
        <w:tc>
          <w:tcPr>
            <w:tcW w:w="1660" w:type="dxa"/>
            <w:vMerge w:val="continue"/>
          </w:tcPr>
          <w:p>
            <w:pPr>
              <w:jc w:val="center"/>
              <w:rPr>
                <w:rFonts w:hint="eastAsia"/>
                <w:b/>
              </w:rPr>
            </w:pPr>
          </w:p>
        </w:tc>
      </w:tr>
    </w:tbl>
    <w:p>
      <w:pPr>
        <w:spacing w:line="276" w:lineRule="auto"/>
        <w:ind w:firstLine="420" w:firstLineChars="200"/>
        <w:rPr>
          <w:rFonts w:ascii="Times New Roman" w:hAnsi="Times New Roman"/>
          <w:szCs w:val="21"/>
        </w:rPr>
      </w:pPr>
    </w:p>
    <w:p>
      <w:pPr>
        <w:ind w:firstLine="210" w:firstLineChars="100"/>
        <w:rPr>
          <w:rFonts w:hint="eastAsia"/>
        </w:rPr>
      </w:pPr>
      <w:r>
        <w:rPr>
          <w:rFonts w:hint="eastAsia" w:ascii="宋体" w:hAnsi="Calibri"/>
        </w:rPr>
        <w:t>综上所述，经过软件模拟和结果统计分析，最终判定本项目</w:t>
      </w:r>
      <w:bookmarkStart w:id="62" w:name="满足结论"/>
      <w:r>
        <w:rPr>
          <w:rFonts w:hint="eastAsia"/>
          <w:b/>
        </w:rPr>
        <w:t>满足</w:t>
      </w:r>
      <w:bookmarkEnd w:id="62"/>
      <w:r>
        <w:rPr>
          <w:rFonts w:hint="eastAsia"/>
          <w:b/>
        </w:rPr>
        <w:t xml:space="preserve"> </w:t>
      </w:r>
      <w:bookmarkStart w:id="63" w:name="标准名称3"/>
      <w:r>
        <w:rPr>
          <w:rFonts w:hint="eastAsia"/>
        </w:rPr>
        <w:t>《福建省绿色建筑设计标准》DBJ/T 13-197-2022</w:t>
      </w:r>
      <w:bookmarkEnd w:id="63"/>
      <w:r>
        <w:rPr>
          <w:rFonts w:hint="eastAsia"/>
        </w:rPr>
        <w:t>地方标准</w:t>
      </w:r>
      <w:bookmarkStart w:id="64" w:name="室外条文编号"/>
      <w:r>
        <w:rPr>
          <w:rFonts w:hint="eastAsia"/>
        </w:rPr>
        <w:t>第4.2.14条</w:t>
      </w:r>
      <w:bookmarkEnd w:id="64"/>
      <w:r>
        <w:rPr>
          <w:rFonts w:hint="eastAsia"/>
        </w:rPr>
        <w:t>要求，</w:t>
      </w:r>
      <w:bookmarkStart w:id="65" w:name="得分结论"/>
      <w:r>
        <w:rPr>
          <w:b/>
        </w:rPr>
        <w:t>得 4 分</w:t>
      </w:r>
      <w:bookmarkEnd w:id="65"/>
      <w:r>
        <w:rPr>
          <w:rFonts w:hint="eastAsia"/>
          <w:b/>
        </w:rPr>
        <w:t xml:space="preserve">。 </w:t>
      </w:r>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96"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rPr>
    </w:pPr>
    <w:r>
      <w:rPr>
        <w:rStyle w:val="18"/>
      </w:rPr>
      <w:fldChar w:fldCharType="begin"/>
    </w:r>
    <w:r>
      <w:rPr>
        <w:rStyle w:val="18"/>
      </w:rPr>
      <w:instrText xml:space="preserve">PAGE  </w:instrText>
    </w:r>
    <w:r>
      <w:rPr>
        <w:rStyle w:val="18"/>
      </w:rPr>
      <w:fldChar w:fldCharType="end"/>
    </w:r>
  </w:p>
  <w:p>
    <w:pPr>
      <w:pStyle w:val="1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sz w:val="21"/>
        <w:szCs w:val="21"/>
      </w:rPr>
    </w:pPr>
    <w:r>
      <w:fldChar w:fldCharType="begin"/>
    </w:r>
    <w:r>
      <w:instrText xml:space="preserve"> HYPERLINK "http://www.gbsware.cn/" </w:instrText>
    </w:r>
    <w:r>
      <w:fldChar w:fldCharType="separate"/>
    </w:r>
    <w:r>
      <w:rPr>
        <w:kern w:val="0"/>
        <w:sz w:val="21"/>
        <w:szCs w:val="20"/>
        <w:lang w:val="en-GB"/>
      </w:rPr>
      <w:t>http://www.gbsware.cn/</w:t>
    </w:r>
    <w:r>
      <w:rPr>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4</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w:instrTex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instrText xml:space="preserve">6</w:instrText>
    </w:r>
    <w:r>
      <w:rPr>
        <w:rFonts w:ascii="Times New Roman" w:hAnsi="Times New Roman"/>
        <w:kern w:val="0"/>
        <w:sz w:val="21"/>
        <w:szCs w:val="20"/>
        <w:lang w:val="en-GB"/>
      </w:rPr>
      <w:fldChar w:fldCharType="end"/>
    </w:r>
    <w:r>
      <w:rPr>
        <w:rFonts w:ascii="Times New Roman" w:hAnsi="Times New Roman"/>
        <w:kern w:val="0"/>
        <w:sz w:val="21"/>
        <w:szCs w:val="20"/>
        <w:lang w:val="en-GB"/>
      </w:rPr>
      <w:instrText xml:space="preserve">-2\* Arabic  \* MERGEFORMAT </w:instrText>
    </w:r>
    <w:r>
      <w:rPr>
        <w:rFonts w:ascii="Times New Roman" w:hAnsi="Times New Roman"/>
        <w:kern w:val="0"/>
        <w:sz w:val="21"/>
        <w:szCs w:val="20"/>
        <w:lang w:val="en-GB"/>
      </w:rPr>
      <w:fldChar w:fldCharType="separate"/>
    </w:r>
    <w:r>
      <w:rPr>
        <w:rFonts w:ascii="Times New Roman" w:hAnsi="Times New Roman"/>
        <w:b/>
        <w:kern w:val="0"/>
        <w:sz w:val="21"/>
        <w:szCs w:val="20"/>
        <w:lang w:val="en-GB"/>
      </w:rPr>
      <w:t>4</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drawing>
        <wp:inline distT="0" distB="0" distL="0" distR="0">
          <wp:extent cx="972185" cy="251460"/>
          <wp:effectExtent l="0" t="0" r="0" b="0"/>
          <wp:docPr id="2124165255" name="Picture 212416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65255" name="Picture 21241652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r>
      <w:rPr>
        <w:rFonts w:hint="eastAsia"/>
        <w:sz w:val="21"/>
        <w:szCs w:val="21"/>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76F156F"/>
    <w:multiLevelType w:val="multilevel"/>
    <w:tmpl w:val="576F156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07026A0"/>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2076"/>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A762E"/>
    <w:rsid w:val="002B23BF"/>
    <w:rsid w:val="002B262A"/>
    <w:rsid w:val="002B328B"/>
    <w:rsid w:val="002B3AC4"/>
    <w:rsid w:val="002C05E5"/>
    <w:rsid w:val="002C183F"/>
    <w:rsid w:val="002C4D9C"/>
    <w:rsid w:val="002C64DD"/>
    <w:rsid w:val="002D393A"/>
    <w:rsid w:val="002D4CF3"/>
    <w:rsid w:val="002E59ED"/>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1689"/>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2DB"/>
    <w:rsid w:val="00440666"/>
    <w:rsid w:val="00445CF4"/>
    <w:rsid w:val="004474F8"/>
    <w:rsid w:val="00447BFE"/>
    <w:rsid w:val="00451C6F"/>
    <w:rsid w:val="004636CA"/>
    <w:rsid w:val="00465BD1"/>
    <w:rsid w:val="00466BDB"/>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25DF3"/>
    <w:rsid w:val="00534C28"/>
    <w:rsid w:val="00536167"/>
    <w:rsid w:val="00541147"/>
    <w:rsid w:val="0054589E"/>
    <w:rsid w:val="00545D17"/>
    <w:rsid w:val="005523A5"/>
    <w:rsid w:val="00553731"/>
    <w:rsid w:val="00554ABA"/>
    <w:rsid w:val="00563807"/>
    <w:rsid w:val="00573516"/>
    <w:rsid w:val="00577BAB"/>
    <w:rsid w:val="00582112"/>
    <w:rsid w:val="00595E38"/>
    <w:rsid w:val="00596BBF"/>
    <w:rsid w:val="005A6DF2"/>
    <w:rsid w:val="005C20D1"/>
    <w:rsid w:val="005C2ADF"/>
    <w:rsid w:val="005C35BF"/>
    <w:rsid w:val="005C5A16"/>
    <w:rsid w:val="005D17E3"/>
    <w:rsid w:val="005D70E3"/>
    <w:rsid w:val="005E1713"/>
    <w:rsid w:val="005E3F82"/>
    <w:rsid w:val="005E4CFE"/>
    <w:rsid w:val="005E6AD7"/>
    <w:rsid w:val="005F3A0A"/>
    <w:rsid w:val="005F3FE9"/>
    <w:rsid w:val="00604292"/>
    <w:rsid w:val="00604CC9"/>
    <w:rsid w:val="00614DE0"/>
    <w:rsid w:val="00617658"/>
    <w:rsid w:val="006279F3"/>
    <w:rsid w:val="00631037"/>
    <w:rsid w:val="00635B5B"/>
    <w:rsid w:val="00637AFF"/>
    <w:rsid w:val="006448A0"/>
    <w:rsid w:val="0065136A"/>
    <w:rsid w:val="0065654E"/>
    <w:rsid w:val="006660F4"/>
    <w:rsid w:val="00667148"/>
    <w:rsid w:val="00676F74"/>
    <w:rsid w:val="00683ECD"/>
    <w:rsid w:val="00684684"/>
    <w:rsid w:val="00687BD4"/>
    <w:rsid w:val="00696819"/>
    <w:rsid w:val="006A13BA"/>
    <w:rsid w:val="006A4C1D"/>
    <w:rsid w:val="006B2CD4"/>
    <w:rsid w:val="006B44E5"/>
    <w:rsid w:val="006B4A8B"/>
    <w:rsid w:val="006C041E"/>
    <w:rsid w:val="006D07B4"/>
    <w:rsid w:val="006D30EA"/>
    <w:rsid w:val="006D44EB"/>
    <w:rsid w:val="006D757B"/>
    <w:rsid w:val="006E1CA1"/>
    <w:rsid w:val="006E7F52"/>
    <w:rsid w:val="007108C0"/>
    <w:rsid w:val="007121F1"/>
    <w:rsid w:val="0071467E"/>
    <w:rsid w:val="00721DC1"/>
    <w:rsid w:val="00734ED7"/>
    <w:rsid w:val="0073685B"/>
    <w:rsid w:val="0074079C"/>
    <w:rsid w:val="00740F1D"/>
    <w:rsid w:val="0074110A"/>
    <w:rsid w:val="00741D1A"/>
    <w:rsid w:val="00746459"/>
    <w:rsid w:val="00747657"/>
    <w:rsid w:val="007524FA"/>
    <w:rsid w:val="00752AD7"/>
    <w:rsid w:val="0075593C"/>
    <w:rsid w:val="00761CF1"/>
    <w:rsid w:val="00762DE0"/>
    <w:rsid w:val="007637A7"/>
    <w:rsid w:val="00781128"/>
    <w:rsid w:val="007873B1"/>
    <w:rsid w:val="00792428"/>
    <w:rsid w:val="00794146"/>
    <w:rsid w:val="007955EF"/>
    <w:rsid w:val="0079632C"/>
    <w:rsid w:val="007A15A2"/>
    <w:rsid w:val="007A4F00"/>
    <w:rsid w:val="007A6B7B"/>
    <w:rsid w:val="007B0FCA"/>
    <w:rsid w:val="007B3895"/>
    <w:rsid w:val="007B4E82"/>
    <w:rsid w:val="007D0F85"/>
    <w:rsid w:val="007D1479"/>
    <w:rsid w:val="007D35E4"/>
    <w:rsid w:val="007D3B87"/>
    <w:rsid w:val="007E3185"/>
    <w:rsid w:val="007F30C9"/>
    <w:rsid w:val="007F7CBB"/>
    <w:rsid w:val="007F7D94"/>
    <w:rsid w:val="008010F1"/>
    <w:rsid w:val="008050F2"/>
    <w:rsid w:val="00814755"/>
    <w:rsid w:val="00815E72"/>
    <w:rsid w:val="00816591"/>
    <w:rsid w:val="00817805"/>
    <w:rsid w:val="00820ED6"/>
    <w:rsid w:val="00831DA2"/>
    <w:rsid w:val="008325DF"/>
    <w:rsid w:val="0083700A"/>
    <w:rsid w:val="00841238"/>
    <w:rsid w:val="008428AD"/>
    <w:rsid w:val="00845ED9"/>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F094C"/>
    <w:rsid w:val="009F18F1"/>
    <w:rsid w:val="009F3D06"/>
    <w:rsid w:val="00A01D82"/>
    <w:rsid w:val="00A02A4B"/>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341A3"/>
    <w:rsid w:val="00B3552D"/>
    <w:rsid w:val="00B377BD"/>
    <w:rsid w:val="00B42132"/>
    <w:rsid w:val="00B4493F"/>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1FD9"/>
    <w:rsid w:val="00BC3F18"/>
    <w:rsid w:val="00BE122C"/>
    <w:rsid w:val="00BE4BB3"/>
    <w:rsid w:val="00BE51B5"/>
    <w:rsid w:val="00BE5B8B"/>
    <w:rsid w:val="00BE6E1D"/>
    <w:rsid w:val="00C006AC"/>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0C14"/>
    <w:rsid w:val="00D11A20"/>
    <w:rsid w:val="00D14CD0"/>
    <w:rsid w:val="00D15A17"/>
    <w:rsid w:val="00D207FB"/>
    <w:rsid w:val="00D21815"/>
    <w:rsid w:val="00D24FB2"/>
    <w:rsid w:val="00D303E4"/>
    <w:rsid w:val="00D34E70"/>
    <w:rsid w:val="00D35F01"/>
    <w:rsid w:val="00D4295A"/>
    <w:rsid w:val="00D60FF6"/>
    <w:rsid w:val="00D62874"/>
    <w:rsid w:val="00D650C0"/>
    <w:rsid w:val="00D71C25"/>
    <w:rsid w:val="00D73004"/>
    <w:rsid w:val="00D83B4F"/>
    <w:rsid w:val="00D87027"/>
    <w:rsid w:val="00DA3C21"/>
    <w:rsid w:val="00DA60F0"/>
    <w:rsid w:val="00DA710A"/>
    <w:rsid w:val="00DB7C13"/>
    <w:rsid w:val="00DC15F5"/>
    <w:rsid w:val="00DD0A81"/>
    <w:rsid w:val="00DF0317"/>
    <w:rsid w:val="00DF085E"/>
    <w:rsid w:val="00DF2B98"/>
    <w:rsid w:val="00DF2D10"/>
    <w:rsid w:val="00DF513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75808"/>
    <w:rsid w:val="00F82E22"/>
    <w:rsid w:val="00F85F15"/>
    <w:rsid w:val="00F8780D"/>
    <w:rsid w:val="00F95680"/>
    <w:rsid w:val="00FA060E"/>
    <w:rsid w:val="00FA0657"/>
    <w:rsid w:val="00FA1493"/>
    <w:rsid w:val="00FB0C2B"/>
    <w:rsid w:val="00FB751F"/>
    <w:rsid w:val="00FC2740"/>
    <w:rsid w:val="00FC5C1E"/>
    <w:rsid w:val="00FC792A"/>
    <w:rsid w:val="00FD4B97"/>
    <w:rsid w:val="00FD5846"/>
    <w:rsid w:val="00FD633D"/>
    <w:rsid w:val="00FE2DCA"/>
    <w:rsid w:val="00FE4B5B"/>
    <w:rsid w:val="00FF1FA5"/>
    <w:rsid w:val="00FF21E4"/>
    <w:rsid w:val="00FF4D64"/>
    <w:rsid w:val="3F90116E"/>
    <w:rsid w:val="5070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 w:type="table" w:customStyle="1" w:styleId="37">
    <w:name w:val="网格型1"/>
    <w:basedOn w:val="15"/>
    <w:qFormat/>
    <w:uiPriority w:val="39"/>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bmp"/><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jpeg"/><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053C2-A9F1-4C04-855F-0C3360460606}">
  <ds:schemaRefs/>
</ds:datastoreItem>
</file>

<file path=docProps/app.xml><?xml version="1.0" encoding="utf-8"?>
<Properties xmlns="http://schemas.openxmlformats.org/officeDocument/2006/extended-properties" xmlns:vt="http://schemas.openxmlformats.org/officeDocument/2006/docPropsVTypes">
  <Template>tmp4.dotx</Template>
  <Pages>15</Pages>
  <Words>2938</Words>
  <Characters>3519</Characters>
  <Lines>27</Lines>
  <Paragraphs>7</Paragraphs>
  <TotalTime>1</TotalTime>
  <ScaleCrop>false</ScaleCrop>
  <LinksUpToDate>false</LinksUpToDate>
  <CharactersWithSpaces>3793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2025-12-03T13:19:00Z</dcterms:created>
  <dc:creator>半江芦苇</dc:creator>
  <cp:lastModifiedBy>半江芦苇</cp:lastModifiedBy>
  <dcterms:modified xsi:type="dcterms:W3CDTF">2025-12-03T13:20:19Z</dcterms:modified>
  <dc:title>总图室外噪声分析报告</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0AC7C4AFA859411AA9A259118D967463_12</vt:lpwstr>
  </property>
</Properties>
</file>