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0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</w:rPr>
              <w:t>书</w:t>
            </w:r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筑绿未来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2025-AA-BB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福州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xxxx工程建设有限公司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xxxx建筑设计研究院有限公司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2025年11月30日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T18060052160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_Toc29229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_Toc22788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_Toc22788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_Toc2144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_Toc11477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_Toc19782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_Toc4658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_Toc8608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_Toc9714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_Toc9714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_Toc22938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_Toc22938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_Toc13175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_Toc13175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_Toc25422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_Toc1971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_Toc31291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_Toc31291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_Toc20781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_Toc20781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9229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筑绿未来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福州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26.08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119.30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IVA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714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7147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3" w:name="_Toc22788"/>
      <w:bookmarkStart w:id="24" w:name="TitleFormat"/>
      <w:r>
        <w:rPr>
          <w:rFonts w:hint="eastAsia"/>
        </w:rPr>
        <w:t>设计依据</w:t>
      </w:r>
      <w:bookmarkEnd w:id="23"/>
    </w:p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>
      <w:pPr>
        <w:pStyle w:val="2"/>
      </w:pPr>
      <w:bookmarkStart w:id="26" w:name="_Toc2144"/>
      <w:r>
        <w:rPr>
          <w:rFonts w:hint="eastAsia"/>
        </w:rPr>
        <w:t>计算规定</w:t>
      </w:r>
      <w:bookmarkEnd w:id="26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>
      <w:pPr>
        <w:pStyle w:val="4"/>
      </w:pPr>
      <w:bookmarkStart w:id="27" w:name="_Toc11477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9782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4658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218.52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860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9714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139619.94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132728.15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人行道面积(㎡)</w:t>
            </w:r>
          </w:p>
        </w:tc>
        <w:tc>
          <w:tcPr>
            <w:vAlign w:val="center"/>
          </w:tcPr>
          <w:p>
            <w:r>
              <w:t>19418.95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内部车道面积(㎡)</w:t>
            </w:r>
          </w:p>
        </w:tc>
        <w:tc>
          <w:tcPr>
            <w:vAlign w:val="center"/>
          </w:tcPr>
          <w:p>
            <w:r>
              <w:t>13863.68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草地面积(㎡)</w:t>
            </w:r>
          </w:p>
        </w:tc>
        <w:tc>
          <w:tcPr>
            <w:vAlign w:val="center"/>
          </w:tcPr>
          <w:p>
            <w:r>
              <w:t>108355.74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14767.52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乔木面积(㎡)</w:t>
            </w:r>
          </w:p>
        </w:tc>
        <w:tc>
          <w:tcPr>
            <w:vAlign w:val="center"/>
          </w:tcPr>
          <w:p>
            <w:r>
              <w:t>6152.16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226.54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爬藤棚架面积(㎡)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屋顶绿化面积(㎡)</w:t>
            </w:r>
          </w:p>
        </w:tc>
        <w:tc>
          <w:tcPr>
            <w:vAlign w:val="center"/>
          </w:tcPr>
          <w:p>
            <w:r>
              <w:t>3954.99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渗透性硬地面积(㎡)</w:t>
            </w:r>
          </w:p>
        </w:tc>
        <w:tc>
          <w:tcPr>
            <w:vAlign w:val="center"/>
          </w:tcPr>
          <w:p>
            <w:r>
              <w:t>19302.32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4.64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</w:tbl>
    <w:p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22938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13175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未命名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办公楼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447.4</w:t>
            </w:r>
          </w:p>
        </w:tc>
        <w:tc>
          <w:tcPr>
            <w:vAlign w:val="center"/>
          </w:tcPr>
          <w:p>
            <w:r>
              <w:t>31.4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宿舍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小学楼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3355.9</w:t>
            </w:r>
          </w:p>
        </w:tc>
        <w:tc>
          <w:tcPr>
            <w:vAlign w:val="center"/>
          </w:tcPr>
          <w:p>
            <w:r>
              <w:t>66.8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>
      <w:pPr>
        <w:pStyle w:val="4"/>
      </w:pPr>
      <w:bookmarkStart w:id="38" w:name="_Toc25422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6142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>
      <w:pPr>
        <w:pStyle w:val="4"/>
      </w:pPr>
      <w:bookmarkStart w:id="40" w:name="_Toc1971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19419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1.31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19419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1.31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1.31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2" w:name="_Toc31291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办公楼</w:t>
            </w:r>
          </w:p>
        </w:tc>
        <w:tc>
          <w:tcPr>
            <w:vAlign w:val="center"/>
          </w:tcPr>
          <w:p>
            <w:r>
              <w:t>447.4</w:t>
            </w:r>
          </w:p>
        </w:tc>
        <w:tc>
          <w:tcPr>
            <w:vAlign w:val="center"/>
          </w:tcPr>
          <w:p>
            <w:r>
              <w:t>46.7</w:t>
            </w:r>
          </w:p>
        </w:tc>
        <w:tc>
          <w:tcPr>
            <w:vAlign w:val="center"/>
          </w:tcPr>
          <w:p>
            <w:r>
              <w:t>447.4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宿舍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3088.5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小学楼</w:t>
            </w:r>
          </w:p>
        </w:tc>
        <w:tc>
          <w:tcPr>
            <w:vAlign w:val="center"/>
          </w:tcPr>
          <w:p>
            <w:r>
              <w:t>3355.9</w:t>
            </w:r>
          </w:p>
        </w:tc>
        <w:tc>
          <w:tcPr>
            <w:vAlign w:val="center"/>
          </w:tcPr>
          <w:p>
            <w:r>
              <w:t>809.4</w:t>
            </w:r>
          </w:p>
        </w:tc>
        <w:tc>
          <w:tcPr>
            <w:vAlign w:val="center"/>
          </w:tcPr>
          <w:p>
            <w:r>
              <w:t>3355.9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6891.8</w:t>
            </w:r>
          </w:p>
        </w:tc>
        <w:tc>
          <w:tcPr>
            <w:vAlign w:val="center"/>
          </w:tcPr>
          <w:p>
            <w:r>
              <w:t>3944.6</w:t>
            </w:r>
          </w:p>
        </w:tc>
        <w:tc>
          <w:tcPr>
            <w:vAlign w:val="center"/>
          </w:tcPr>
          <w:p>
            <w:r>
              <w:t>6891.8</w:t>
            </w:r>
          </w:p>
        </w:tc>
        <w:tc>
          <w:tcPr>
            <w:vAlign w:val="center"/>
          </w:tcPr>
          <w:p>
            <w:r>
              <w:t>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屋面绿化率"/>
      <w:bookmarkEnd w:id="43"/>
    </w:p>
    <w:p>
      <w:pPr>
        <w:pStyle w:val="2"/>
      </w:pPr>
      <w:bookmarkStart w:id="44" w:name="_Toc20781"/>
      <w:bookmarkStart w:id="51" w:name="_GoBack"/>
      <w:bookmarkEnd w:id="51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1265C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861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1874</Words>
  <Characters>3065</Characters>
  <Lines>274</Lines>
  <Paragraphs>283</Paragraphs>
  <TotalTime>1</TotalTime>
  <ScaleCrop>false</ScaleCrop>
  <LinksUpToDate>false</LinksUpToDate>
  <CharactersWithSpaces>3130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2025-11-30T14:41:00Z</dcterms:created>
  <dc:creator>半江芦苇</dc:creator>
  <cp:lastModifiedBy>半江芦苇</cp:lastModifiedBy>
  <dcterms:modified xsi:type="dcterms:W3CDTF">2025-11-30T14:42:42Z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