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ind w:left="-1418" w:leftChars="-675" w:firstLine="420"/>
        <w:rPr>
          <w:rFonts w:hint="eastAsia" w:ascii="宋体" w:hAnsi="宋体"/>
          <w:b/>
          <w:bCs/>
          <w:sz w:val="32"/>
          <w:szCs w:val="32"/>
        </w:rPr>
      </w:pPr>
      <w:r>
        <w:rPr>
          <w:lang w:val="en-US"/>
        </w:rPr>
        <w:drawing>
          <wp:anchor distT="0" distB="0" distL="114300" distR="114300" simplePos="0" relativeHeight="251658240"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pPr>
        <w:spacing w:line="180" w:lineRule="atLeast"/>
        <w:rPr>
          <w:rFonts w:hint="eastAsia" w:ascii="微软雅黑" w:hAnsi="微软雅黑" w:eastAsia="微软雅黑"/>
          <w:bCs/>
          <w:sz w:val="40"/>
          <w:szCs w:val="21"/>
          <w:lang w:val="en-US"/>
        </w:rPr>
      </w:pPr>
    </w:p>
    <w:p>
      <w:pPr>
        <w:spacing w:line="180" w:lineRule="atLeast"/>
        <w:ind w:firstLine="800"/>
        <w:jc w:val="center"/>
        <w:rPr>
          <w:rFonts w:hint="eastAsia"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筑绿未来</w:t>
      </w:r>
    </w:p>
    <w:p>
      <w:pPr>
        <w:spacing w:line="180" w:lineRule="atLeast"/>
        <w:ind w:firstLine="800"/>
        <w:rPr>
          <w:rFonts w:hint="eastAsia"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pPr>
        <w:jc w:val="center"/>
        <w:rPr>
          <w:rFonts w:hint="eastAsia"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pPr>
        <w:ind w:firstLine="602"/>
        <w:jc w:val="center"/>
        <w:rPr>
          <w:rFonts w:hint="eastAsia" w:ascii="宋体" w:hAnsi="宋体"/>
          <w:b/>
          <w:bCs/>
          <w:sz w:val="30"/>
          <w:szCs w:val="32"/>
          <w:lang w:val="en-US"/>
        </w:rPr>
      </w:pPr>
    </w:p>
    <w:p>
      <w:pPr>
        <w:ind w:firstLine="602"/>
        <w:jc w:val="center"/>
        <w:rPr>
          <w:rFonts w:hint="eastAsia" w:ascii="宋体" w:hAnsi="宋体"/>
          <w:b/>
          <w:bCs/>
          <w:sz w:val="30"/>
          <w:szCs w:val="32"/>
          <w:lang w:val="en-US"/>
        </w:rPr>
      </w:pPr>
    </w:p>
    <w:p>
      <w:pPr>
        <w:ind w:firstLine="602"/>
        <w:jc w:val="center"/>
        <w:rPr>
          <w:rFonts w:hint="eastAsia" w:ascii="宋体" w:hAnsi="宋体"/>
          <w:b/>
          <w:bCs/>
          <w:sz w:val="30"/>
          <w:szCs w:val="32"/>
          <w:lang w:val="en-US"/>
        </w:rPr>
      </w:pPr>
      <w:bookmarkStart w:id="1" w:name="二维码"/>
      <w:r>
        <w:drawing>
          <wp:inline distT="0" distB="0" distL="0" distR="0">
            <wp:extent cx="1009650" cy="10096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pPr>
        <w:ind w:firstLine="602"/>
        <w:jc w:val="center"/>
        <w:rPr>
          <w:rFonts w:hint="eastAsia" w:ascii="宋体" w:hAnsi="宋体"/>
          <w:b/>
          <w:bCs/>
          <w:sz w:val="30"/>
          <w:szCs w:val="32"/>
          <w:lang w:val="en-US"/>
        </w:rPr>
      </w:pPr>
    </w:p>
    <w:p>
      <w:pPr>
        <w:ind w:firstLine="602"/>
        <w:jc w:val="center"/>
        <w:rPr>
          <w:rFonts w:hint="eastAsia" w:ascii="宋体" w:hAnsi="宋体"/>
          <w:b/>
          <w:bCs/>
          <w:sz w:val="30"/>
          <w:szCs w:val="32"/>
          <w:lang w:val="en-US"/>
        </w:rPr>
      </w:pPr>
    </w:p>
    <w:p>
      <w:pPr>
        <w:rPr>
          <w:rFonts w:hint="eastAsia" w:ascii="宋体" w:hAnsi="宋体"/>
          <w:b/>
          <w:bCs/>
          <w:sz w:val="30"/>
          <w:szCs w:val="32"/>
          <w:lang w:val="en-US"/>
        </w:rPr>
      </w:pPr>
    </w:p>
    <w:p>
      <w:pPr>
        <w:ind w:firstLine="560"/>
        <w:rPr>
          <w:rFonts w:hint="eastAsia" w:ascii="宋体" w:hAnsi="宋体" w:cs="宋体"/>
          <w:sz w:val="24"/>
          <w:szCs w:val="24"/>
          <w:lang w:val="en-US"/>
        </w:rPr>
      </w:pPr>
      <w:r>
        <w:rPr>
          <w:rFonts w:hint="eastAsia" w:ascii="微软雅黑" w:hAnsi="微软雅黑" w:eastAsia="微软雅黑" w:cs="宋体"/>
          <w:color w:val="000000"/>
          <w:sz w:val="28"/>
          <w:szCs w:val="28"/>
          <w:lang w:val="en-US"/>
        </w:rPr>
        <w:t>编制单位：</w:t>
      </w:r>
    </w:p>
    <w:p>
      <w:pPr>
        <w:ind w:firstLine="560"/>
        <w:rPr>
          <w:rFonts w:hint="eastAsia"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2025年12月4日</w:t>
      </w:r>
    </w:p>
    <w:p>
      <w:pPr>
        <w:spacing w:line="1000" w:lineRule="exact"/>
        <w:ind w:firstLine="643"/>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_Toc584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_Toc584 </w:instrText>
      </w:r>
      <w:r>
        <w:fldChar w:fldCharType="separate"/>
      </w:r>
      <w:r>
        <w:t>4</w:t>
      </w:r>
      <w:r>
        <w:fldChar w:fldCharType="end"/>
      </w:r>
      <w:r>
        <w:rPr>
          <w:rFonts w:ascii="宋体" w:hAnsi="宋体"/>
          <w:bCs w:val="0"/>
          <w:caps/>
        </w:rPr>
        <w:fldChar w:fldCharType="end"/>
      </w:r>
    </w:p>
    <w:p>
      <w:pPr>
        <w:pStyle w:val="18"/>
        <w:tabs>
          <w:tab w:val="right" w:leader="dot" w:pos="9070"/>
          <w:tab w:val="clear" w:pos="540"/>
          <w:tab w:val="clear" w:pos="840"/>
          <w:tab w:val="clear" w:pos="9360"/>
        </w:tabs>
      </w:pPr>
      <w:r>
        <w:fldChar w:fldCharType="begin"/>
      </w:r>
      <w:r>
        <w:instrText xml:space="preserve"> HYPERLINK \l _Toc9447 </w:instrText>
      </w:r>
      <w:r>
        <w:fldChar w:fldCharType="separate"/>
      </w:r>
      <w:r>
        <w:rPr>
          <w:lang w:bidi="zh-CN"/>
        </w:rPr>
        <w:t xml:space="preserve">1.1 </w:t>
      </w:r>
      <w:r>
        <w:rPr>
          <w:rFonts w:hint="eastAsia"/>
        </w:rPr>
        <w:t>建筑模型图</w:t>
      </w:r>
      <w:r>
        <w:tab/>
      </w:r>
      <w:r>
        <w:fldChar w:fldCharType="begin"/>
      </w:r>
      <w:r>
        <w:instrText xml:space="preserve"> PAGEREF _Toc9447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_Toc2028 </w:instrText>
      </w:r>
      <w:r>
        <w:fldChar w:fldCharType="separate"/>
      </w:r>
      <w:r>
        <w:rPr>
          <w:lang w:bidi="zh-CN"/>
        </w:rPr>
        <w:t xml:space="preserve">1.2 </w:t>
      </w:r>
      <w:r>
        <w:t>主要技术措施</w:t>
      </w:r>
      <w:r>
        <w:tab/>
      </w:r>
      <w:r>
        <w:fldChar w:fldCharType="begin"/>
      </w:r>
      <w:r>
        <w:instrText xml:space="preserve"> PAGEREF _Toc2028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_Toc15650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_Toc15650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_Toc1501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_Toc1501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_Toc10507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_Toc10507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_Toc25618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_Toc25618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_Toc12087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_Toc12087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_Toc23368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_Toc23368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_Toc26630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_Toc26630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_Toc8874 </w:instrText>
      </w:r>
      <w:r>
        <w:fldChar w:fldCharType="separate"/>
      </w:r>
      <w:r>
        <w:rPr>
          <w:lang w:bidi="zh-CN"/>
        </w:rPr>
        <w:t xml:space="preserve">3.4 </w:t>
      </w:r>
      <w:r>
        <w:rPr>
          <w:rFonts w:hint="eastAsia"/>
        </w:rPr>
        <w:t>影响因素 Impact categories</w:t>
      </w:r>
      <w:r>
        <w:tab/>
      </w:r>
      <w:r>
        <w:fldChar w:fldCharType="begin"/>
      </w:r>
      <w:r>
        <w:instrText xml:space="preserve"> PAGEREF _Toc8874 </w:instrText>
      </w:r>
      <w:r>
        <w:fldChar w:fldCharType="separate"/>
      </w:r>
      <w:r>
        <w:t>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_Toc21782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_Toc21782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_Toc18419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_Toc18419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_Toc32108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_Toc32108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_Toc28035 </w:instrText>
      </w:r>
      <w:r>
        <w:fldChar w:fldCharType="separate"/>
      </w:r>
      <w:r>
        <w:rPr>
          <w:lang w:bidi="zh-CN"/>
        </w:rPr>
        <w:t xml:space="preserve">4.3 </w:t>
      </w:r>
      <w:r>
        <w:rPr>
          <w:rFonts w:hint="eastAsia"/>
        </w:rPr>
        <w:t>取舍原则 Cut-off</w:t>
      </w:r>
      <w:r>
        <w:tab/>
      </w:r>
      <w:r>
        <w:fldChar w:fldCharType="begin"/>
      </w:r>
      <w:r>
        <w:instrText xml:space="preserve"> PAGEREF _Toc28035 </w:instrText>
      </w:r>
      <w:r>
        <w:fldChar w:fldCharType="separate"/>
      </w:r>
      <w:r>
        <w:t>8</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_Toc31653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_Toc31653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_Toc17981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_Toc17981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_Toc5868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_Toc5868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_Toc9509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_Toc9509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_Toc1176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_Toc1176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_Toc26389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_Toc26389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_Toc8078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_Toc8078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_Toc28423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_Toc28423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_Toc3037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_Toc3037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_Toc29127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_Toc29127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_Toc12345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_Toc12345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_Toc29699 </w:instrText>
      </w:r>
      <w:r>
        <w:fldChar w:fldCharType="separate"/>
      </w:r>
      <w:r>
        <w:rPr>
          <w:rFonts w:hint="eastAsia" w:eastAsia="宋体"/>
          <w:szCs w:val="24"/>
          <w:lang w:val="en-GB"/>
        </w:rPr>
        <w:t xml:space="preserve">5.4.2 </w:t>
      </w:r>
      <w:r>
        <w:t>建筑拆除阶段</w:t>
      </w:r>
      <w:r>
        <w:tab/>
      </w:r>
      <w:r>
        <w:fldChar w:fldCharType="begin"/>
      </w:r>
      <w:r>
        <w:instrText xml:space="preserve"> PAGEREF _Toc29699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_Toc31799 </w:instrText>
      </w:r>
      <w:r>
        <w:fldChar w:fldCharType="separate"/>
      </w:r>
      <w:r>
        <w:rPr>
          <w:lang w:bidi="zh-CN"/>
        </w:rPr>
        <w:t xml:space="preserve">5.5 </w:t>
      </w:r>
      <w:r>
        <w:rPr>
          <w:rFonts w:hint="eastAsia"/>
        </w:rPr>
        <w:t>结果汇总</w:t>
      </w:r>
      <w:r>
        <w:t>Results summary</w:t>
      </w:r>
      <w:r>
        <w:tab/>
      </w:r>
      <w:r>
        <w:fldChar w:fldCharType="begin"/>
      </w:r>
      <w:r>
        <w:instrText xml:space="preserve"> PAGEREF _Toc31799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_Toc13845 </w:instrText>
      </w:r>
      <w:r>
        <w:fldChar w:fldCharType="separate"/>
      </w:r>
      <w:r>
        <w:rPr>
          <w:rFonts w:hint="eastAsia" w:eastAsia="宋体"/>
          <w:szCs w:val="24"/>
          <w:lang w:val="en-GB"/>
        </w:rPr>
        <w:t xml:space="preserve">5.5.1 </w:t>
      </w:r>
      <w:r>
        <w:rPr>
          <w:rFonts w:hint="eastAsia"/>
        </w:rPr>
        <w:t>碳排放强度</w:t>
      </w:r>
      <w:r>
        <w:tab/>
      </w:r>
      <w:r>
        <w:fldChar w:fldCharType="begin"/>
      </w:r>
      <w:r>
        <w:instrText xml:space="preserve"> PAGEREF _Toc13845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_Toc27000 </w:instrText>
      </w:r>
      <w:r>
        <w:fldChar w:fldCharType="separate"/>
      </w:r>
      <w:r>
        <w:rPr>
          <w:rFonts w:hint="eastAsia" w:eastAsia="宋体"/>
          <w:szCs w:val="24"/>
          <w:lang w:val="en-GB"/>
        </w:rPr>
        <w:t xml:space="preserve">5.5.2 </w:t>
      </w:r>
      <w:r>
        <w:t>总碳排放量</w:t>
      </w:r>
      <w:r>
        <w:tab/>
      </w:r>
      <w:r>
        <w:fldChar w:fldCharType="begin"/>
      </w:r>
      <w:r>
        <w:instrText xml:space="preserve"> PAGEREF _Toc27000 </w:instrText>
      </w:r>
      <w:r>
        <w:fldChar w:fldCharType="separate"/>
      </w:r>
      <w:r>
        <w:t>14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_Toc25350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_Toc25350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_Toc22313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_Toc22313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_Toc17546 </w:instrText>
      </w:r>
      <w:r>
        <w:fldChar w:fldCharType="separate"/>
      </w:r>
      <w:r>
        <w:rPr>
          <w:rFonts w:hint="eastAsia"/>
        </w:rPr>
        <w:t>1) 完整性说明</w:t>
      </w:r>
      <w:r>
        <w:tab/>
      </w:r>
      <w:r>
        <w:fldChar w:fldCharType="begin"/>
      </w:r>
      <w:r>
        <w:instrText xml:space="preserve"> PAGEREF _Toc17546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_Toc6781 </w:instrText>
      </w:r>
      <w:r>
        <w:fldChar w:fldCharType="separate"/>
      </w:r>
      <w:r>
        <w:rPr>
          <w:rFonts w:hint="eastAsia"/>
        </w:rPr>
        <w:t xml:space="preserve">2) </w:t>
      </w:r>
      <w:r>
        <w:t>数据质量评估</w:t>
      </w:r>
      <w:r>
        <w:tab/>
      </w:r>
      <w:r>
        <w:fldChar w:fldCharType="begin"/>
      </w:r>
      <w:r>
        <w:instrText xml:space="preserve"> PAGEREF _Toc6781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_Toc3084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_Toc3084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_Toc13333 </w:instrText>
      </w:r>
      <w:r>
        <w:fldChar w:fldCharType="separate"/>
      </w:r>
      <w:r>
        <w:rPr>
          <w:lang w:bidi="zh-CN"/>
        </w:rPr>
        <w:t xml:space="preserve">6.3 </w:t>
      </w:r>
      <w:r>
        <w:rPr>
          <w:rFonts w:hint="eastAsia"/>
        </w:rPr>
        <w:t>改进建议</w:t>
      </w:r>
      <w:r>
        <w:tab/>
      </w:r>
      <w:r>
        <w:fldChar w:fldCharType="begin"/>
      </w:r>
      <w:r>
        <w:instrText xml:space="preserve"> PAGEREF _Toc13333 </w:instrText>
      </w:r>
      <w:r>
        <w:fldChar w:fldCharType="separate"/>
      </w:r>
      <w:r>
        <w:t>15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_Toc267 </w:instrText>
      </w:r>
      <w:r>
        <w:fldChar w:fldCharType="separate"/>
      </w:r>
      <w:r>
        <w:rPr>
          <w:lang w:bidi="zh-CN"/>
        </w:rPr>
        <w:t xml:space="preserve">7 </w:t>
      </w:r>
      <w:r>
        <w:rPr>
          <w:rFonts w:hint="eastAsia"/>
        </w:rPr>
        <w:t>附录</w:t>
      </w:r>
      <w:r>
        <w:tab/>
      </w:r>
      <w:r>
        <w:fldChar w:fldCharType="begin"/>
      </w:r>
      <w:r>
        <w:instrText xml:space="preserve"> PAGEREF _Toc267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_Toc22887 </w:instrText>
      </w:r>
      <w:r>
        <w:fldChar w:fldCharType="separate"/>
      </w:r>
      <w:r>
        <w:rPr>
          <w:lang w:val="en-US" w:bidi="zh-CN"/>
        </w:rPr>
        <w:t xml:space="preserve">7.1 </w:t>
      </w:r>
      <w:r>
        <w:rPr>
          <w:lang w:val="en-US"/>
        </w:rPr>
        <w:t>围护结构概况</w:t>
      </w:r>
      <w:r>
        <w:tab/>
      </w:r>
      <w:r>
        <w:fldChar w:fldCharType="begin"/>
      </w:r>
      <w:r>
        <w:instrText xml:space="preserve"> PAGEREF _Toc22887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_Toc10060 </w:instrText>
      </w:r>
      <w:r>
        <w:fldChar w:fldCharType="separate"/>
      </w:r>
      <w:r>
        <w:rPr>
          <w:lang w:val="en-US" w:bidi="zh-CN"/>
        </w:rPr>
        <w:t xml:space="preserve">7.2 </w:t>
      </w:r>
      <w:r>
        <w:rPr>
          <w:lang w:val="en-US"/>
        </w:rPr>
        <w:t>房间类型</w:t>
      </w:r>
      <w:r>
        <w:tab/>
      </w:r>
      <w:r>
        <w:fldChar w:fldCharType="begin"/>
      </w:r>
      <w:r>
        <w:instrText xml:space="preserve"> PAGEREF _Toc10060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_Toc15013 </w:instrText>
      </w:r>
      <w:r>
        <w:fldChar w:fldCharType="separate"/>
      </w:r>
      <w:r>
        <w:rPr>
          <w:rFonts w:hint="eastAsia" w:eastAsia="宋体"/>
          <w:szCs w:val="24"/>
          <w:lang w:val="en-GB"/>
        </w:rPr>
        <w:t xml:space="preserve">7.2.1 </w:t>
      </w:r>
      <w:r>
        <w:rPr>
          <w:lang w:val="en-US"/>
        </w:rPr>
        <w:t>房间参数表</w:t>
      </w:r>
      <w:r>
        <w:tab/>
      </w:r>
      <w:r>
        <w:fldChar w:fldCharType="begin"/>
      </w:r>
      <w:r>
        <w:instrText xml:space="preserve"> PAGEREF _Toc15013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_Toc17327 </w:instrText>
      </w:r>
      <w:r>
        <w:fldChar w:fldCharType="separate"/>
      </w:r>
      <w:r>
        <w:rPr>
          <w:rFonts w:hint="eastAsia" w:eastAsia="宋体"/>
          <w:szCs w:val="24"/>
          <w:lang w:val="en-GB"/>
        </w:rPr>
        <w:t xml:space="preserve">7.2.2 </w:t>
      </w:r>
      <w:r>
        <w:rPr>
          <w:lang w:val="en-US"/>
        </w:rPr>
        <w:t>作息时间表</w:t>
      </w:r>
      <w:r>
        <w:tab/>
      </w:r>
      <w:r>
        <w:fldChar w:fldCharType="begin"/>
      </w:r>
      <w:r>
        <w:instrText xml:space="preserve"> PAGEREF _Toc17327 </w:instrText>
      </w:r>
      <w:r>
        <w:fldChar w:fldCharType="separate"/>
      </w:r>
      <w:r>
        <w:t>18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_Toc28864 </w:instrText>
      </w:r>
      <w:r>
        <w:fldChar w:fldCharType="separate"/>
      </w:r>
      <w:r>
        <w:rPr>
          <w:lang w:val="en-US" w:bidi="zh-CN"/>
        </w:rPr>
        <w:t xml:space="preserve">7.3 </w:t>
      </w:r>
      <w:r>
        <w:rPr>
          <w:lang w:val="en-US"/>
        </w:rPr>
        <w:t>系统类型</w:t>
      </w:r>
      <w:r>
        <w:tab/>
      </w:r>
      <w:r>
        <w:fldChar w:fldCharType="begin"/>
      </w:r>
      <w:r>
        <w:instrText xml:space="preserve"> PAGEREF _Toc28864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_Toc7343 </w:instrText>
      </w:r>
      <w:r>
        <w:fldChar w:fldCharType="separate"/>
      </w:r>
      <w:r>
        <w:rPr>
          <w:rFonts w:hint="eastAsia" w:eastAsia="宋体"/>
          <w:szCs w:val="24"/>
          <w:lang w:val="en-GB"/>
        </w:rPr>
        <w:t xml:space="preserve">7.3.1 </w:t>
      </w:r>
      <w:r>
        <w:rPr>
          <w:lang w:val="en-US"/>
        </w:rPr>
        <w:t>系统分区</w:t>
      </w:r>
      <w:r>
        <w:tab/>
      </w:r>
      <w:r>
        <w:fldChar w:fldCharType="begin"/>
      </w:r>
      <w:r>
        <w:instrText xml:space="preserve"> PAGEREF _Toc7343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_Toc7274 </w:instrText>
      </w:r>
      <w:r>
        <w:fldChar w:fldCharType="separate"/>
      </w:r>
      <w:r>
        <w:rPr>
          <w:rFonts w:hint="eastAsia" w:eastAsia="宋体"/>
          <w:szCs w:val="24"/>
          <w:lang w:val="en-GB"/>
        </w:rPr>
        <w:t xml:space="preserve">7.3.2 </w:t>
      </w:r>
      <w:r>
        <w:rPr>
          <w:lang w:val="en-US"/>
        </w:rPr>
        <w:t>热回收参数</w:t>
      </w:r>
      <w:r>
        <w:tab/>
      </w:r>
      <w:r>
        <w:fldChar w:fldCharType="begin"/>
      </w:r>
      <w:r>
        <w:instrText xml:space="preserve"> PAGEREF _Toc7274 </w:instrText>
      </w:r>
      <w:r>
        <w:fldChar w:fldCharType="separate"/>
      </w:r>
      <w:r>
        <w:t>18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_Toc31697 </w:instrText>
      </w:r>
      <w:r>
        <w:fldChar w:fldCharType="separate"/>
      </w:r>
      <w:r>
        <w:rPr>
          <w:lang w:val="en-US" w:bidi="zh-CN"/>
        </w:rPr>
        <w:t xml:space="preserve">7.4 </w:t>
      </w:r>
      <w:r>
        <w:rPr>
          <w:lang w:val="en-US"/>
        </w:rPr>
        <w:t>制冷系统</w:t>
      </w:r>
      <w:r>
        <w:tab/>
      </w:r>
      <w:r>
        <w:fldChar w:fldCharType="begin"/>
      </w:r>
      <w:r>
        <w:instrText xml:space="preserve"> PAGEREF _Toc31697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_Toc17994 </w:instrText>
      </w:r>
      <w:r>
        <w:fldChar w:fldCharType="separate"/>
      </w:r>
      <w:r>
        <w:rPr>
          <w:rFonts w:hint="eastAsia" w:eastAsia="宋体"/>
          <w:szCs w:val="24"/>
          <w:lang w:val="en-GB"/>
        </w:rPr>
        <w:t xml:space="preserve">7.4.1 </w:t>
      </w:r>
      <w:r>
        <w:rPr>
          <w:lang w:val="en-US"/>
        </w:rPr>
        <w:t>多联机/单元式空调能耗</w:t>
      </w:r>
      <w:r>
        <w:tab/>
      </w:r>
      <w:r>
        <w:fldChar w:fldCharType="begin"/>
      </w:r>
      <w:r>
        <w:instrText xml:space="preserve"> PAGEREF _Toc17994 </w:instrText>
      </w:r>
      <w:r>
        <w:fldChar w:fldCharType="separate"/>
      </w:r>
      <w:r>
        <w:t>18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_Toc24455 </w:instrText>
      </w:r>
      <w:r>
        <w:fldChar w:fldCharType="separate"/>
      </w:r>
      <w:r>
        <w:rPr>
          <w:lang w:val="en-US" w:bidi="zh-CN"/>
        </w:rPr>
        <w:t xml:space="preserve">7.5 </w:t>
      </w:r>
      <w:r>
        <w:rPr>
          <w:lang w:val="en-US"/>
        </w:rPr>
        <w:t>空调风机</w:t>
      </w:r>
      <w:r>
        <w:tab/>
      </w:r>
      <w:r>
        <w:fldChar w:fldCharType="begin"/>
      </w:r>
      <w:r>
        <w:instrText xml:space="preserve"> PAGEREF _Toc24455 </w:instrText>
      </w:r>
      <w:r>
        <w:fldChar w:fldCharType="separate"/>
      </w:r>
      <w:r>
        <w:t>18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_Toc20931 </w:instrText>
      </w:r>
      <w:r>
        <w:fldChar w:fldCharType="separate"/>
      </w:r>
      <w:r>
        <w:rPr>
          <w:lang w:val="en-US" w:bidi="zh-CN"/>
        </w:rPr>
        <w:t xml:space="preserve">7.6 </w:t>
      </w:r>
      <w:r>
        <w:rPr>
          <w:lang w:val="en-US"/>
        </w:rPr>
        <w:t>照明</w:t>
      </w:r>
      <w:r>
        <w:tab/>
      </w:r>
      <w:r>
        <w:fldChar w:fldCharType="begin"/>
      </w:r>
      <w:r>
        <w:instrText xml:space="preserve"> PAGEREF _Toc20931 </w:instrText>
      </w:r>
      <w:r>
        <w:fldChar w:fldCharType="separate"/>
      </w:r>
      <w:r>
        <w:t>19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_Toc2403 </w:instrText>
      </w:r>
      <w:r>
        <w:fldChar w:fldCharType="separate"/>
      </w:r>
      <w:r>
        <w:rPr>
          <w:lang w:val="en-US" w:bidi="zh-CN"/>
        </w:rPr>
        <w:t xml:space="preserve">7.7 </w:t>
      </w:r>
      <w:r>
        <w:rPr>
          <w:lang w:val="en-US"/>
        </w:rPr>
        <w:t>插座设备</w:t>
      </w:r>
      <w:r>
        <w:tab/>
      </w:r>
      <w:r>
        <w:fldChar w:fldCharType="begin"/>
      </w:r>
      <w:r>
        <w:instrText xml:space="preserve"> PAGEREF _Toc2403 </w:instrText>
      </w:r>
      <w:r>
        <w:fldChar w:fldCharType="separate"/>
      </w:r>
      <w:r>
        <w:t>19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_Toc7931 </w:instrText>
      </w:r>
      <w:r>
        <w:fldChar w:fldCharType="separate"/>
      </w:r>
      <w:r>
        <w:rPr>
          <w:lang w:val="en-US" w:bidi="zh-CN"/>
        </w:rPr>
        <w:t xml:space="preserve">7.8 </w:t>
      </w:r>
      <w:r>
        <w:rPr>
          <w:lang w:val="en-US"/>
        </w:rPr>
        <w:t>光伏发电</w:t>
      </w:r>
      <w:r>
        <w:tab/>
      </w:r>
      <w:r>
        <w:fldChar w:fldCharType="begin"/>
      </w:r>
      <w:r>
        <w:instrText xml:space="preserve"> PAGEREF _Toc7931 </w:instrText>
      </w:r>
      <w:r>
        <w:fldChar w:fldCharType="separate"/>
      </w:r>
      <w:r>
        <w:t>20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_Toc12926 </w:instrText>
      </w:r>
      <w:r>
        <w:fldChar w:fldCharType="separate"/>
      </w:r>
      <w:r>
        <w:rPr>
          <w:lang w:val="en-US" w:bidi="zh-CN"/>
        </w:rPr>
        <w:t xml:space="preserve">7.9 </w:t>
      </w:r>
      <w:r>
        <w:rPr>
          <w:lang w:val="en-US"/>
        </w:rPr>
        <w:t>时间表</w:t>
      </w:r>
      <w:r>
        <w:tab/>
      </w:r>
      <w:r>
        <w:fldChar w:fldCharType="begin"/>
      </w:r>
      <w:r>
        <w:instrText xml:space="preserve"> PAGEREF _Toc12926 </w:instrText>
      </w:r>
      <w:r>
        <w:fldChar w:fldCharType="separate"/>
      </w:r>
      <w:r>
        <w:t>22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_Toc7681 </w:instrText>
      </w:r>
      <w:r>
        <w:fldChar w:fldCharType="separate"/>
      </w:r>
      <w:r>
        <w:rPr>
          <w:rFonts w:hint="eastAsia" w:eastAsia="宋体"/>
          <w:szCs w:val="24"/>
          <w:lang w:val="en-GB"/>
        </w:rPr>
        <w:t xml:space="preserve">7.9.1 </w:t>
      </w:r>
      <w:r>
        <w:t>工作日/节假日人员逐时在室率(%)</w:t>
      </w:r>
      <w:r>
        <w:tab/>
      </w:r>
      <w:r>
        <w:fldChar w:fldCharType="begin"/>
      </w:r>
      <w:r>
        <w:instrText xml:space="preserve"> PAGEREF _Toc7681 </w:instrText>
      </w:r>
      <w:r>
        <w:fldChar w:fldCharType="separate"/>
      </w:r>
      <w:r>
        <w:t>22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_Toc16516 </w:instrText>
      </w:r>
      <w:r>
        <w:fldChar w:fldCharType="separate"/>
      </w:r>
      <w:r>
        <w:rPr>
          <w:rFonts w:hint="eastAsia" w:eastAsia="宋体"/>
          <w:szCs w:val="24"/>
          <w:lang w:val="en-GB"/>
        </w:rPr>
        <w:t xml:space="preserve">7.9.2 </w:t>
      </w:r>
      <w:r>
        <w:t>工作日/节假日照明开关时间表(%)</w:t>
      </w:r>
      <w:r>
        <w:tab/>
      </w:r>
      <w:r>
        <w:fldChar w:fldCharType="begin"/>
      </w:r>
      <w:r>
        <w:instrText xml:space="preserve"> PAGEREF _Toc16516 </w:instrText>
      </w:r>
      <w:r>
        <w:fldChar w:fldCharType="separate"/>
      </w:r>
      <w:r>
        <w:t>25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_Toc25670 </w:instrText>
      </w:r>
      <w:r>
        <w:fldChar w:fldCharType="separate"/>
      </w:r>
      <w:r>
        <w:rPr>
          <w:rFonts w:hint="eastAsia" w:eastAsia="宋体"/>
          <w:szCs w:val="24"/>
          <w:lang w:val="en-GB"/>
        </w:rPr>
        <w:t xml:space="preserve">7.9.3 </w:t>
      </w:r>
      <w:r>
        <w:t>工作日/节假日设备逐时使用率(%)</w:t>
      </w:r>
      <w:r>
        <w:tab/>
      </w:r>
      <w:r>
        <w:fldChar w:fldCharType="begin"/>
      </w:r>
      <w:r>
        <w:instrText xml:space="preserve"> PAGEREF _Toc25670 </w:instrText>
      </w:r>
      <w:r>
        <w:fldChar w:fldCharType="separate"/>
      </w:r>
      <w:r>
        <w:t>29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_Toc26572 </w:instrText>
      </w:r>
      <w:r>
        <w:fldChar w:fldCharType="separate"/>
      </w:r>
      <w:r>
        <w:rPr>
          <w:rFonts w:hint="eastAsia" w:eastAsia="宋体"/>
          <w:szCs w:val="24"/>
          <w:lang w:val="en-GB"/>
        </w:rPr>
        <w:t xml:space="preserve">7.9.4 </w:t>
      </w:r>
      <w:r>
        <w:t>工作日/节假日空调系统运行时间表(1:开,0:关)</w:t>
      </w:r>
      <w:r>
        <w:tab/>
      </w:r>
      <w:r>
        <w:fldChar w:fldCharType="begin"/>
      </w:r>
      <w:r>
        <w:instrText xml:space="preserve"> PAGEREF _Toc26572 </w:instrText>
      </w:r>
      <w:r>
        <w:fldChar w:fldCharType="separate"/>
      </w:r>
      <w:r>
        <w:t>33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_Toc7880 </w:instrText>
      </w:r>
      <w:r>
        <w:fldChar w:fldCharType="separate"/>
      </w:r>
      <w:r>
        <w:rPr>
          <w:rFonts w:hint="eastAsia" w:eastAsia="宋体"/>
          <w:szCs w:val="24"/>
          <w:lang w:val="en-GB"/>
        </w:rPr>
        <w:t xml:space="preserve">7.9.5 </w:t>
      </w:r>
      <w:r>
        <w:t>工作日/节假日新风运行时间表(%)</w:t>
      </w:r>
      <w:r>
        <w:tab/>
      </w:r>
      <w:r>
        <w:fldChar w:fldCharType="begin"/>
      </w:r>
      <w:r>
        <w:instrText xml:space="preserve"> PAGEREF _Toc7880 </w:instrText>
      </w:r>
      <w:r>
        <w:fldChar w:fldCharType="separate"/>
      </w:r>
      <w:r>
        <w:t>33</w:t>
      </w:r>
      <w:r>
        <w:fldChar w:fldCharType="end"/>
      </w:r>
      <w:r>
        <w:fldChar w:fldCharType="end"/>
      </w:r>
    </w:p>
    <w:p>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p>
    <w:p>
      <w:pPr>
        <w:pStyle w:val="2"/>
      </w:pPr>
      <w:bookmarkStart w:id="4" w:name="_Toc584"/>
      <w:r>
        <w:rPr>
          <w:rFonts w:hint="eastAsia"/>
        </w:rPr>
        <w:t>建筑概况 B</w:t>
      </w:r>
      <w:r>
        <w:t>uilding description</w:t>
      </w:r>
      <w:bookmarkEnd w:id="4"/>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5" w:name="工程名称"/>
            <w:r>
              <w:t>筑绿未来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6"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7" w:name="纬度"/>
            <w:r>
              <w:rPr>
                <w:rFonts w:hint="eastAsia" w:ascii="宋体" w:hAnsi="宋体"/>
                <w:lang w:val="en-US"/>
              </w:rPr>
              <w:t>26.00°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8"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9"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0" w:name="地上建筑面积"/>
            <w:r>
              <w:rPr>
                <w:rFonts w:hint="eastAsia" w:ascii="宋体" w:hAnsi="宋体"/>
                <w:lang w:val="en-US"/>
              </w:rPr>
              <w:t>11926.36    地下</w:t>
            </w:r>
            <w:bookmarkStart w:id="11" w:name="地下建筑面积"/>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2" w:name="地上建筑层数"/>
            <w:r>
              <w:rPr>
                <w:rFonts w:hint="eastAsia" w:ascii="宋体" w:hAnsi="宋体"/>
                <w:lang w:val="en-US"/>
              </w:rPr>
              <w:t>7          地下</w:t>
            </w:r>
            <w:bookmarkStart w:id="13"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4" w:name="地上建筑高度"/>
            <w:r>
              <w:rPr>
                <w:rFonts w:hint="eastAsia" w:ascii="宋体" w:hAnsi="宋体"/>
                <w:lang w:val="en-US"/>
              </w:rPr>
              <w:t>23.90     地下</w:t>
            </w:r>
            <w:bookmarkStart w:id="15" w:name="地下建筑高度"/>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16" w:name="建筑体积"/>
            <w:r>
              <w:t>47754.11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17" w:name="外表面积"/>
            <w:r>
              <w:t>16462.99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18" w:name="北向角度"/>
            <w: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19" w:name="结构类型"/>
            <w:r>
              <w:t>框架结构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0" w:name="外墙ρ"/>
            <w:r>
              <w:rPr>
                <w:rFonts w:hint="eastAsia"/>
              </w:rPr>
              <w:t>0.65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1" w:name="屋顶ρ"/>
            <w:r>
              <w:rPr>
                <w:rFonts w:hint="eastAsia"/>
              </w:rPr>
              <w:t>0.62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22" w:name="控温期"/>
            <w:r>
              <w:t>供冷期:5.1-10.1</w:t>
            </w:r>
          </w:p>
        </w:tc>
      </w:tr>
    </w:tbl>
    <w:p>
      <w:pPr>
        <w:pStyle w:val="4"/>
      </w:pPr>
      <w:bookmarkStart w:id="23" w:name="_Toc9447"/>
      <w:r>
        <w:rPr>
          <w:rFonts w:hint="eastAsia"/>
        </w:rPr>
        <w:t>建筑模型图</w:t>
      </w:r>
      <w:bookmarkEnd w:id="23"/>
    </w:p>
    <w:p>
      <w:pPr>
        <w:pStyle w:val="3"/>
        <w:rPr>
          <w:rFonts w:hint="eastAsia" w:eastAsia="宋体"/>
          <w:lang w:eastAsia="zh-CN"/>
        </w:rPr>
      </w:pPr>
      <w:r>
        <w:rPr>
          <w:rFonts w:hint="eastAsia" w:eastAsia="宋体"/>
          <w:lang w:eastAsia="zh-CN"/>
        </w:rPr>
        <w:drawing>
          <wp:inline distT="0" distB="0" distL="114300" distR="114300">
            <wp:extent cx="5755005" cy="3528060"/>
            <wp:effectExtent l="0" t="0" r="9525" b="1905"/>
            <wp:docPr id="1" name="图片 1" descr="模型观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模型观察"/>
                    <pic:cNvPicPr>
                      <a:picLocks noChangeAspect="1"/>
                    </pic:cNvPicPr>
                  </pic:nvPicPr>
                  <pic:blipFill>
                    <a:blip r:embed="rId12"/>
                    <a:stretch>
                      <a:fillRect/>
                    </a:stretch>
                  </pic:blipFill>
                  <pic:spPr>
                    <a:xfrm>
                      <a:off x="0" y="0"/>
                      <a:ext cx="5755005" cy="3528060"/>
                    </a:xfrm>
                    <a:prstGeom prst="rect">
                      <a:avLst/>
                    </a:prstGeom>
                  </pic:spPr>
                </pic:pic>
              </a:graphicData>
            </a:graphic>
          </wp:inline>
        </w:drawing>
      </w:r>
      <w:bookmarkStart w:id="107" w:name="_GoBack"/>
      <w:bookmarkEnd w:id="107"/>
    </w:p>
    <w:p>
      <w:pPr>
        <w:pStyle w:val="4"/>
      </w:pPr>
      <w:bookmarkStart w:id="24" w:name="_Toc2028"/>
      <w:r>
        <w:t>主要技术措施</w:t>
      </w:r>
      <w:bookmarkEnd w:id="24"/>
    </w:p>
    <w:p>
      <w:pPr>
        <w:pStyle w:val="3"/>
        <w:ind w:firstLine="0" w:firstLineChars="0"/>
        <w:rPr>
          <w:lang w:val="en-US"/>
        </w:rPr>
      </w:pPr>
      <w:r>
        <w:rPr>
          <w:rFonts w:hint="eastAsia"/>
          <w:lang w:val="en-US"/>
        </w:rPr>
        <w:t>本工程采用的碳减排措施:</w:t>
      </w:r>
    </w:p>
    <w:p>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pPr>
        <w:pStyle w:val="3"/>
        <w:numPr>
          <w:ilvl w:val="0"/>
          <w:numId w:val="2"/>
        </w:numPr>
        <w:ind w:firstLineChars="0"/>
        <w:rPr>
          <w:color w:val="A6A6A6" w:themeColor="background1" w:themeShade="A6"/>
          <w:lang w:val="en-US"/>
        </w:rPr>
      </w:pPr>
      <w:r>
        <w:rPr>
          <w:color w:val="A6A6A6" w:themeColor="background1" w:themeShade="A6"/>
          <w:lang w:val="en-US"/>
        </w:rPr>
        <w:t>地源热泵</w:t>
      </w:r>
    </w:p>
    <w:p>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pPr>
        <w:pStyle w:val="2"/>
      </w:pPr>
      <w:bookmarkStart w:id="25" w:name="_Toc15650"/>
      <w:r>
        <w:rPr>
          <w:rFonts w:hint="eastAsia"/>
        </w:rPr>
        <w:t>分析目的和工具 Pur</w:t>
      </w:r>
      <w:r>
        <w:t>pose of the assessment and tools</w:t>
      </w:r>
      <w:bookmarkEnd w:id="25"/>
    </w:p>
    <w:p>
      <w:pPr>
        <w:pStyle w:val="4"/>
      </w:pPr>
      <w:bookmarkStart w:id="26" w:name="_Toc1501"/>
      <w:r>
        <w:rPr>
          <w:rFonts w:hint="eastAsia"/>
        </w:rPr>
        <w:t>分析目的 P</w:t>
      </w:r>
      <w:r>
        <w:t>urpose of the analysis</w:t>
      </w:r>
      <w:bookmarkEnd w:id="26"/>
    </w:p>
    <w:p>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pPr>
        <w:ind w:firstLine="420"/>
        <w:rPr>
          <w:lang w:val="en-US"/>
        </w:rPr>
      </w:pPr>
    </w:p>
    <w:p>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pPr>
        <w:pStyle w:val="3"/>
        <w:spacing w:line="240" w:lineRule="auto"/>
        <w:ind w:firstLine="420"/>
      </w:pPr>
    </w:p>
    <w:p>
      <w:pPr>
        <w:pStyle w:val="3"/>
        <w:numPr>
          <w:ilvl w:val="0"/>
          <w:numId w:val="3"/>
        </w:numPr>
        <w:snapToGrid w:val="0"/>
        <w:spacing w:line="240" w:lineRule="auto"/>
        <w:ind w:firstLineChars="0"/>
        <w:jc w:val="left"/>
        <w:rPr>
          <w:b/>
        </w:rPr>
      </w:pPr>
      <w:r>
        <w:rPr>
          <w:rFonts w:hint="eastAsia"/>
          <w:b/>
        </w:rPr>
        <w:t>《绿色建筑评价标准》GB/T50378-2019</w:t>
      </w:r>
    </w:p>
    <w:p>
      <w:pPr>
        <w:ind w:firstLine="420"/>
        <w:rPr>
          <w:b/>
        </w:rPr>
      </w:pPr>
      <w:r>
        <w:rPr>
          <w:rFonts w:hint="eastAsia"/>
        </w:rPr>
        <w:t>9.2.7  进行建筑碳排放计算分析，采取措施降低单位建筑面积碳排放强度，评价分值为12分。</w:t>
      </w:r>
    </w:p>
    <w:p>
      <w:pPr>
        <w:pStyle w:val="4"/>
      </w:pPr>
      <w:bookmarkStart w:id="27" w:name="_Toc10507"/>
      <w:r>
        <w:rPr>
          <w:rFonts w:hint="eastAsia"/>
        </w:rPr>
        <w:t>分析工具 A</w:t>
      </w:r>
      <w:r>
        <w:t>ssessment software</w:t>
      </w:r>
      <w:bookmarkEnd w:id="27"/>
    </w:p>
    <w:p>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pPr>
        <w:pStyle w:val="2"/>
      </w:pPr>
      <w:bookmarkStart w:id="28" w:name="_Toc25618"/>
      <w:bookmarkStart w:id="29" w:name="_Toc59802421"/>
      <w:bookmarkStart w:id="30" w:name="_Toc58336110"/>
      <w:bookmarkStart w:id="31" w:name="_Toc59787735"/>
      <w:bookmarkStart w:id="32" w:name="_Toc59800596"/>
      <w:r>
        <w:rPr>
          <w:rFonts w:hint="eastAsia"/>
        </w:rPr>
        <w:t>建筑的全生命周期分析 Life</w:t>
      </w:r>
      <w:r>
        <w:t xml:space="preserve"> Cycle Assessment methodology</w:t>
      </w:r>
      <w:bookmarkEnd w:id="28"/>
    </w:p>
    <w:p>
      <w:pPr>
        <w:pStyle w:val="4"/>
      </w:pPr>
      <w:bookmarkStart w:id="33" w:name="_Toc12087"/>
      <w:r>
        <w:rPr>
          <w:rFonts w:hint="eastAsia"/>
        </w:rPr>
        <w:t xml:space="preserve">建筑的全生命周期分析 </w:t>
      </w:r>
      <w:r>
        <w:t>About Life Cycle Assessment for Building</w:t>
      </w:r>
      <w:bookmarkEnd w:id="33"/>
    </w:p>
    <w:p>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pPr>
        <w:pStyle w:val="3"/>
        <w:ind w:firstLine="0" w:firstLineChars="0"/>
        <w:rPr>
          <w:lang w:val="en-US"/>
        </w:rPr>
      </w:pPr>
    </w:p>
    <w:p>
      <w:pPr>
        <w:pStyle w:val="4"/>
        <w:tabs>
          <w:tab w:val="clear" w:pos="432"/>
        </w:tabs>
      </w:pPr>
      <w:bookmarkStart w:id="34" w:name="_Toc23368"/>
      <w:r>
        <w:t>执行标准</w:t>
      </w:r>
      <w:r>
        <w:rPr>
          <w:rFonts w:hint="eastAsia"/>
        </w:rPr>
        <w:t xml:space="preserve"> App</w:t>
      </w:r>
      <w:r>
        <w:t>licable Standards</w:t>
      </w:r>
      <w:bookmarkEnd w:id="34"/>
    </w:p>
    <w:p>
      <w:pPr>
        <w:pStyle w:val="3"/>
        <w:ind w:firstLine="420"/>
        <w:rPr>
          <w:lang w:val="en-US"/>
        </w:rPr>
      </w:pPr>
      <w:bookmarkStart w:id="35" w:name="计算依据"/>
      <w:r>
        <w:rPr>
          <w:lang w:val="en-US"/>
        </w:rPr>
        <w:t>1. 《建筑节能与可再生能源利用通用规范》GB 55015-2021</w:t>
      </w:r>
    </w:p>
    <w:p>
      <w:pPr>
        <w:pStyle w:val="3"/>
        <w:ind w:firstLine="420"/>
        <w:rPr>
          <w:lang w:val="en-US"/>
        </w:rPr>
      </w:pPr>
      <w:r>
        <w:rPr>
          <w:lang w:val="en-US"/>
        </w:rPr>
        <w:t>2. 《建筑碳排放计算标准》GB/T 51366-2019</w:t>
      </w:r>
    </w:p>
    <w:p>
      <w:pPr>
        <w:pStyle w:val="3"/>
        <w:ind w:firstLine="420"/>
        <w:rPr>
          <w:lang w:val="en-US"/>
        </w:rPr>
      </w:pPr>
      <w:r>
        <w:rPr>
          <w:lang w:val="en-US"/>
        </w:rPr>
        <w:t>3. 《绿色建筑评价标准》(GB/T 50378-2019)局部修订(2024年版)</w:t>
      </w:r>
    </w:p>
    <w:p>
      <w:pPr>
        <w:pStyle w:val="3"/>
        <w:ind w:firstLine="420"/>
        <w:rPr>
          <w:lang w:val="en-US"/>
        </w:rPr>
      </w:pPr>
      <w:r>
        <w:rPr>
          <w:lang w:val="en-US"/>
        </w:rPr>
        <w:t>4. 《民用建筑绿色性能计算标准》JGJ/T 449-2018</w:t>
      </w:r>
    </w:p>
    <w:p>
      <w:pPr>
        <w:pStyle w:val="4"/>
      </w:pPr>
      <w:bookmarkStart w:id="36" w:name="_Toc26630"/>
      <w:r>
        <w:rPr>
          <w:rFonts w:hint="eastAsia"/>
        </w:rPr>
        <w:t xml:space="preserve">碳排放计算边界 </w:t>
      </w:r>
      <w:r>
        <w:t>System boundary</w:t>
      </w:r>
      <w:bookmarkEnd w:id="36"/>
    </w:p>
    <w:p>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pPr>
        <w:pStyle w:val="3"/>
        <w:ind w:firstLine="440"/>
        <w:jc w:val="center"/>
        <w:rPr>
          <w:rFonts w:hint="eastAsia" w:ascii="宋体" w:hAnsi="宋体"/>
          <w:lang w:val="en-US"/>
        </w:rPr>
      </w:pPr>
      <w:r>
        <w:rPr>
          <w:rFonts w:hint="eastAsia" w:ascii="宋体" w:hAnsi="宋体"/>
          <w:color w:val="000000"/>
          <w:sz w:val="22"/>
          <w:szCs w:val="22"/>
        </w:rPr>
        <w:t>建筑全生命期碳排放计算系统边界</w:t>
      </w:r>
    </w:p>
    <w:p>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pPr>
              <w:pStyle w:val="3"/>
              <w:ind w:firstLine="0" w:firstLineChars="0"/>
              <w:jc w:val="center"/>
              <w:rPr>
                <w:lang w:val="en-US"/>
              </w:rPr>
            </w:pPr>
            <w:r>
              <w:rPr>
                <w:rFonts w:hint="eastAsia"/>
                <w:lang w:val="en-US"/>
              </w:rPr>
              <w:t>产生环境影响原因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pPr>
              <w:pStyle w:val="3"/>
              <w:ind w:firstLine="0" w:firstLineChars="0"/>
              <w:rPr>
                <w:lang w:val="en-US"/>
              </w:rPr>
            </w:pPr>
            <w:r>
              <w:rPr>
                <w:rFonts w:hint="eastAsia"/>
                <w:lang w:val="en-US"/>
              </w:rPr>
              <w:t>建材准备阶段 P</w:t>
            </w:r>
          </w:p>
        </w:tc>
        <w:tc>
          <w:tcPr>
            <w:tcW w:w="6626" w:type="dxa"/>
            <w:tcBorders>
              <w:left w:val="nil"/>
              <w:bottom w:val="nil"/>
              <w:right w:val="nil"/>
            </w:tcBorders>
          </w:tcPr>
          <w:p>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pPr>
              <w:pStyle w:val="3"/>
              <w:ind w:firstLine="0" w:firstLineChars="0"/>
              <w:rPr>
                <w:lang w:val="en-US"/>
              </w:rPr>
            </w:pPr>
            <w:r>
              <w:rPr>
                <w:rFonts w:hint="eastAsia"/>
                <w:lang w:val="en-US"/>
              </w:rPr>
              <w:t>建材出厂运输到建造现场，现场的材料加工、机械设备使用、场</w:t>
            </w:r>
          </w:p>
          <w:p>
            <w:pPr>
              <w:pStyle w:val="3"/>
              <w:ind w:firstLine="0" w:firstLineChars="0"/>
              <w:rPr>
                <w:lang w:val="en-US"/>
              </w:rPr>
            </w:pPr>
            <w:r>
              <w:rPr>
                <w:rFonts w:hint="eastAsia"/>
                <w:lang w:val="en-US"/>
              </w:rPr>
              <w:t>内运输等消耗，主要包括柴油、汽油、电力和水，以及环境排放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pPr>
              <w:pStyle w:val="3"/>
              <w:ind w:firstLine="0" w:firstLineChars="0"/>
              <w:rPr>
                <w:lang w:val="en-US"/>
              </w:rPr>
            </w:pPr>
            <w:r>
              <w:rPr>
                <w:rFonts w:hint="eastAsia"/>
                <w:lang w:val="en-US"/>
              </w:rPr>
              <w:t>建筑日常运营时的用能，主要包括供暖、通风、空调、照明等消</w:t>
            </w:r>
          </w:p>
          <w:p>
            <w:pPr>
              <w:pStyle w:val="3"/>
              <w:ind w:firstLine="0" w:firstLineChars="0"/>
              <w:rPr>
                <w:lang w:val="en-US"/>
              </w:rPr>
            </w:pPr>
            <w:r>
              <w:rPr>
                <w:rFonts w:hint="eastAsia"/>
                <w:lang w:val="en-US"/>
              </w:rPr>
              <w:t>耗的能源，如电力、天然气、外购热等，以及由此引起的环境排</w:t>
            </w:r>
          </w:p>
          <w:p>
            <w:pPr>
              <w:pStyle w:val="3"/>
              <w:ind w:firstLine="0" w:firstLineChars="0"/>
              <w:rPr>
                <w:lang w:val="en-US"/>
              </w:rPr>
            </w:pPr>
            <w:r>
              <w:rPr>
                <w:rFonts w:hint="eastAsia"/>
                <w:lang w:val="en-US"/>
              </w:rPr>
              <w:t>放；也包括建筑使用期间替换建材的生产带来的环境影响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pPr>
              <w:pStyle w:val="3"/>
              <w:ind w:firstLine="0" w:firstLineChars="0"/>
              <w:rPr>
                <w:lang w:val="en-US"/>
              </w:rPr>
            </w:pPr>
            <w:r>
              <w:rPr>
                <w:rFonts w:hint="eastAsia"/>
                <w:lang w:val="en-US"/>
              </w:rPr>
              <w:t>建筑拆除过程中的消耗，如电力、柴油等，以及拆除后废弃物的</w:t>
            </w:r>
          </w:p>
          <w:p>
            <w:pPr>
              <w:pStyle w:val="3"/>
              <w:ind w:firstLine="0" w:firstLineChars="0"/>
              <w:rPr>
                <w:lang w:val="en-US"/>
              </w:rPr>
            </w:pPr>
            <w:r>
              <w:rPr>
                <w:rFonts w:hint="eastAsia"/>
                <w:lang w:val="en-US"/>
              </w:rPr>
              <w:t>回收再利用和运输填埋造成的环境影响及效益</w:t>
            </w:r>
          </w:p>
        </w:tc>
      </w:tr>
    </w:tbl>
    <w:p>
      <w:pPr>
        <w:ind w:firstLine="420"/>
        <w:rPr>
          <w:lang w:val="en-US"/>
        </w:rPr>
      </w:pPr>
      <w:r>
        <w:rPr>
          <w:rFonts w:hint="eastAsia"/>
          <w:lang w:val="en-US"/>
        </w:rPr>
        <w:t>建筑全生命周期的环境影响指标结果 LCAW 等于各阶段指标结果汇总，</w:t>
      </w:r>
    </w:p>
    <w:p>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pPr>
        <w:ind w:firstLine="420"/>
        <w:rPr>
          <w:vertAlign w:val="subscript"/>
          <w:lang w:val="en-US"/>
        </w:rPr>
      </w:pPr>
    </w:p>
    <w:p>
      <w:pPr>
        <w:pStyle w:val="4"/>
      </w:pPr>
      <w:bookmarkStart w:id="37" w:name="_Toc8874"/>
      <w:r>
        <w:rPr>
          <w:rFonts w:hint="eastAsia"/>
        </w:rPr>
        <w:t>影响因素 Impact categories</w:t>
      </w:r>
      <w:bookmarkEnd w:id="37"/>
    </w:p>
    <w:p>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pPr>
        <w:pStyle w:val="2"/>
      </w:pPr>
      <w:bookmarkStart w:id="38" w:name="_Toc21782"/>
      <w:r>
        <w:rPr>
          <w:rFonts w:hint="eastAsia"/>
        </w:rPr>
        <w:t>数据来源与取舍原则 Analysis data sources and cut-off principle</w:t>
      </w:r>
      <w:bookmarkEnd w:id="38"/>
    </w:p>
    <w:p>
      <w:pPr>
        <w:pStyle w:val="4"/>
      </w:pPr>
      <w:bookmarkStart w:id="39" w:name="_Toc18419"/>
      <w:r>
        <w:rPr>
          <w:rFonts w:hint="eastAsia"/>
        </w:rPr>
        <w:t>用量（活动）数据来源 Activity data sources</w:t>
      </w:r>
      <w:bookmarkEnd w:id="39"/>
    </w:p>
    <w:p>
      <w:pPr>
        <w:pStyle w:val="3"/>
        <w:numPr>
          <w:ilvl w:val="0"/>
          <w:numId w:val="4"/>
        </w:numPr>
        <w:ind w:firstLineChars="0"/>
        <w:rPr>
          <w:b/>
          <w:lang w:val="en-US"/>
        </w:rPr>
      </w:pPr>
      <w:r>
        <w:rPr>
          <w:rFonts w:hint="eastAsia"/>
          <w:b/>
          <w:lang w:val="en-US"/>
        </w:rPr>
        <w:t>建筑材料用量</w:t>
      </w:r>
    </w:p>
    <w:p>
      <w:pPr>
        <w:pStyle w:val="3"/>
        <w:ind w:firstLine="420"/>
        <w:rPr>
          <w:lang w:val="en-US"/>
        </w:rPr>
      </w:pPr>
      <w:r>
        <w:rPr>
          <w:rFonts w:hint="eastAsia"/>
          <w:lang w:val="en-US"/>
        </w:rPr>
        <w:t>本报告中的建材用量来源：</w:t>
      </w:r>
    </w:p>
    <w:p>
      <w:pPr>
        <w:pStyle w:val="3"/>
        <w:ind w:firstLine="420"/>
        <w:rPr>
          <w:color w:val="A6A6A6" w:themeColor="background1" w:themeShade="A6"/>
          <w:lang w:val="en-US"/>
        </w:rPr>
      </w:pPr>
      <w:r>
        <w:rPr>
          <w:rFonts w:hint="eastAsia"/>
          <w:color w:val="A6A6A6" w:themeColor="background1" w:themeShade="A6"/>
          <w:lang w:val="en-US"/>
        </w:rPr>
        <w:t>工程预算清单、决算清单；</w:t>
      </w:r>
    </w:p>
    <w:p>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pPr>
        <w:pStyle w:val="3"/>
        <w:numPr>
          <w:ilvl w:val="0"/>
          <w:numId w:val="4"/>
        </w:numPr>
        <w:ind w:firstLineChars="0"/>
        <w:rPr>
          <w:color w:val="A6A6A6" w:themeColor="background1" w:themeShade="A6"/>
          <w:lang w:val="en-US"/>
        </w:rPr>
      </w:pPr>
      <w:r>
        <w:rPr>
          <w:rFonts w:hint="eastAsia"/>
          <w:b/>
          <w:lang w:val="en-US"/>
        </w:rPr>
        <w:t>建筑材料运输</w:t>
      </w:r>
    </w:p>
    <w:p>
      <w:pPr>
        <w:pStyle w:val="3"/>
        <w:ind w:left="420" w:firstLine="0" w:firstLineChars="0"/>
        <w:rPr>
          <w:lang w:val="en-US"/>
        </w:rPr>
      </w:pPr>
      <w:r>
        <w:rPr>
          <w:rFonts w:hint="eastAsia"/>
          <w:lang w:val="en-US"/>
        </w:rPr>
        <w:t>优先项目建材供货地点的交通测算；</w:t>
      </w:r>
    </w:p>
    <w:p>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pPr>
        <w:pStyle w:val="3"/>
        <w:numPr>
          <w:ilvl w:val="0"/>
          <w:numId w:val="4"/>
        </w:numPr>
        <w:ind w:firstLineChars="0"/>
        <w:rPr>
          <w:b/>
          <w:lang w:val="en-US"/>
        </w:rPr>
      </w:pPr>
      <w:r>
        <w:rPr>
          <w:rFonts w:hint="eastAsia"/>
          <w:b/>
          <w:lang w:val="en-US"/>
        </w:rPr>
        <w:t>建材碳排放数据</w:t>
      </w:r>
    </w:p>
    <w:p>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pPr>
        <w:pStyle w:val="3"/>
        <w:numPr>
          <w:ilvl w:val="0"/>
          <w:numId w:val="4"/>
        </w:numPr>
        <w:ind w:firstLineChars="0"/>
        <w:rPr>
          <w:b/>
          <w:lang w:val="en-US"/>
        </w:rPr>
      </w:pPr>
      <w:r>
        <w:rPr>
          <w:b/>
          <w:lang w:val="en-US"/>
        </w:rPr>
        <w:t>施工碳排放数据</w:t>
      </w:r>
    </w:p>
    <w:p>
      <w:pPr>
        <w:pStyle w:val="3"/>
        <w:ind w:firstLine="420"/>
        <w:rPr>
          <w:color w:val="A6A6A6" w:themeColor="background1" w:themeShade="A6"/>
          <w:lang w:val="en-US"/>
        </w:rPr>
      </w:pPr>
      <w:r>
        <w:rPr>
          <w:rFonts w:hint="eastAsia"/>
          <w:color w:val="A6A6A6" w:themeColor="background1" w:themeShade="A6"/>
          <w:lang w:val="en-US"/>
        </w:rPr>
        <w:t>施工台账、预（决）算清单；</w:t>
      </w:r>
    </w:p>
    <w:p>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pPr>
        <w:pStyle w:val="3"/>
        <w:numPr>
          <w:ilvl w:val="0"/>
          <w:numId w:val="4"/>
        </w:numPr>
        <w:ind w:firstLineChars="0"/>
        <w:rPr>
          <w:b/>
          <w:lang w:val="en-US"/>
        </w:rPr>
      </w:pPr>
      <w:r>
        <w:rPr>
          <w:b/>
          <w:lang w:val="en-US"/>
        </w:rPr>
        <w:t>建筑运行数据</w:t>
      </w:r>
    </w:p>
    <w:p>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pPr>
        <w:pStyle w:val="3"/>
        <w:numPr>
          <w:ilvl w:val="0"/>
          <w:numId w:val="4"/>
        </w:numPr>
        <w:ind w:firstLineChars="0"/>
        <w:rPr>
          <w:b/>
          <w:lang w:val="en-US"/>
        </w:rPr>
      </w:pPr>
      <w:r>
        <w:rPr>
          <w:b/>
          <w:lang w:val="en-US"/>
        </w:rPr>
        <w:t>建筑拆除数据</w:t>
      </w:r>
    </w:p>
    <w:p>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pPr>
        <w:pStyle w:val="3"/>
        <w:numPr>
          <w:ilvl w:val="0"/>
          <w:numId w:val="4"/>
        </w:numPr>
        <w:ind w:firstLineChars="0"/>
        <w:rPr>
          <w:b/>
          <w:lang w:val="en-US"/>
        </w:rPr>
      </w:pPr>
      <w:r>
        <w:rPr>
          <w:b/>
          <w:lang w:val="en-US"/>
        </w:rPr>
        <w:t>建筑维护数据</w:t>
      </w:r>
    </w:p>
    <w:p>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pPr>
        <w:pStyle w:val="3"/>
        <w:numPr>
          <w:ilvl w:val="0"/>
          <w:numId w:val="4"/>
        </w:numPr>
        <w:ind w:firstLineChars="0"/>
        <w:rPr>
          <w:b/>
          <w:lang w:val="en-US"/>
        </w:rPr>
      </w:pPr>
      <w:r>
        <w:rPr>
          <w:rFonts w:hint="eastAsia"/>
          <w:b/>
          <w:lang w:val="en-US"/>
        </w:rPr>
        <w:t>建筑景观数据</w:t>
      </w:r>
    </w:p>
    <w:p>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pPr>
        <w:pStyle w:val="3"/>
        <w:ind w:left="840" w:firstLine="0" w:firstLineChars="0"/>
        <w:rPr>
          <w:b/>
          <w:lang w:val="en-US"/>
        </w:rPr>
      </w:pPr>
    </w:p>
    <w:p>
      <w:pPr>
        <w:pStyle w:val="4"/>
      </w:pPr>
      <w:bookmarkStart w:id="40" w:name="_Toc32108"/>
      <w:r>
        <w:rPr>
          <w:rFonts w:hint="eastAsia"/>
        </w:rPr>
        <w:t>排放数据来源 Emission factor data sources</w:t>
      </w:r>
      <w:bookmarkEnd w:id="40"/>
    </w:p>
    <w:p>
      <w:pPr>
        <w:pStyle w:val="3"/>
        <w:numPr>
          <w:ilvl w:val="0"/>
          <w:numId w:val="5"/>
        </w:numPr>
        <w:ind w:firstLineChars="0"/>
        <w:rPr>
          <w:b/>
          <w:lang w:val="en-US"/>
        </w:rPr>
      </w:pPr>
      <w:r>
        <w:rPr>
          <w:rFonts w:hint="eastAsia"/>
          <w:b/>
          <w:lang w:val="en-US"/>
        </w:rPr>
        <w:t>建材碳排放因子</w:t>
      </w:r>
    </w:p>
    <w:p>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pPr>
        <w:pStyle w:val="3"/>
        <w:numPr>
          <w:ilvl w:val="0"/>
          <w:numId w:val="5"/>
        </w:numPr>
        <w:ind w:firstLineChars="0"/>
        <w:rPr>
          <w:b/>
          <w:lang w:val="en-US"/>
        </w:rPr>
      </w:pPr>
      <w:r>
        <w:rPr>
          <w:rFonts w:hint="eastAsia"/>
          <w:b/>
          <w:lang w:val="en-US"/>
        </w:rPr>
        <w:t>电网平均碳排放因子</w:t>
      </w:r>
    </w:p>
    <w:p>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pPr>
        <w:pStyle w:val="3"/>
        <w:numPr>
          <w:ilvl w:val="0"/>
          <w:numId w:val="5"/>
        </w:numPr>
        <w:ind w:firstLineChars="0"/>
        <w:rPr>
          <w:b/>
          <w:lang w:val="en-US"/>
        </w:rPr>
      </w:pPr>
      <w:r>
        <w:rPr>
          <w:b/>
          <w:lang w:val="en-US"/>
        </w:rPr>
        <w:t>能源碳排放因子</w:t>
      </w:r>
    </w:p>
    <w:p>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pPr>
        <w:pStyle w:val="3"/>
        <w:numPr>
          <w:ilvl w:val="0"/>
          <w:numId w:val="5"/>
        </w:numPr>
        <w:ind w:firstLineChars="0"/>
        <w:rPr>
          <w:b/>
          <w:lang w:val="en-US"/>
        </w:rPr>
      </w:pPr>
      <w:r>
        <w:rPr>
          <w:b/>
          <w:lang w:val="en-US"/>
        </w:rPr>
        <w:t>绿化固碳量</w:t>
      </w:r>
    </w:p>
    <w:p>
      <w:pPr>
        <w:pStyle w:val="3"/>
        <w:ind w:firstLine="420"/>
        <w:rPr>
          <w:lang w:val="en-US"/>
        </w:rPr>
      </w:pPr>
      <w:r>
        <w:rPr>
          <w:rFonts w:hint="eastAsia"/>
          <w:lang w:val="en-US"/>
        </w:rPr>
        <w:t>绿化固碳量参考广东省住房和城乡建设厅《建筑碳排放计算导则（试行）》附录3。</w:t>
      </w:r>
    </w:p>
    <w:p>
      <w:pPr>
        <w:pStyle w:val="4"/>
      </w:pPr>
      <w:bookmarkStart w:id="41" w:name="_Toc28035"/>
      <w:r>
        <w:rPr>
          <w:rFonts w:hint="eastAsia"/>
        </w:rPr>
        <w:t>取舍原则 Cut-off</w:t>
      </w:r>
      <w:bookmarkEnd w:id="41"/>
    </w:p>
    <w:p>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pPr>
        <w:pStyle w:val="3"/>
        <w:ind w:firstLine="420"/>
        <w:rPr>
          <w:lang w:val="en-US"/>
        </w:rPr>
      </w:pPr>
      <w:r>
        <w:rPr>
          <w:rFonts w:hint="eastAsia"/>
          <w:lang w:val="en-US"/>
        </w:rPr>
        <w:t>（2）低价值废物作为原料，如粉煤灰、矿渣、秸秆、生活垃圾等，可忽略其上游生产数据；</w:t>
      </w:r>
    </w:p>
    <w:p>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p>
      <w:pPr>
        <w:pStyle w:val="2"/>
      </w:pPr>
      <w:bookmarkStart w:id="42" w:name="_Toc31653"/>
      <w:r>
        <w:rPr>
          <w:rFonts w:hint="eastAsia"/>
        </w:rPr>
        <w:t>全生命周期分析结果</w:t>
      </w:r>
      <w:r>
        <w:t>Life Cycle Assessment Results</w:t>
      </w:r>
      <w:bookmarkEnd w:id="42"/>
    </w:p>
    <w:p>
      <w:pPr>
        <w:pStyle w:val="4"/>
      </w:pPr>
      <w:bookmarkStart w:id="43" w:name="_Toc103699712"/>
      <w:bookmarkStart w:id="44" w:name="_Toc17981"/>
      <w:r>
        <w:t>建材生产运输碳排放</w:t>
      </w:r>
      <w:bookmarkEnd w:id="43"/>
      <w:r>
        <w:rPr>
          <w:rFonts w:hint="eastAsia"/>
        </w:rPr>
        <w:t xml:space="preserve"> </w:t>
      </w:r>
      <w:r>
        <w:t>Product and transport stage</w:t>
      </w:r>
      <w:bookmarkEnd w:id="44"/>
    </w:p>
    <w:p>
      <w:pPr>
        <w:pStyle w:val="5"/>
        <w:rPr>
          <w:rFonts w:hint="eastAsia"/>
        </w:rPr>
      </w:pPr>
      <w:bookmarkStart w:id="45" w:name="_Toc103699713"/>
      <w:bookmarkStart w:id="46" w:name="_Toc5868"/>
      <w:r>
        <w:t>建材生产阶段</w:t>
      </w:r>
      <w:bookmarkEnd w:id="45"/>
      <w:r>
        <w:rPr>
          <w:rFonts w:hint="eastAsia"/>
        </w:rPr>
        <w:t xml:space="preserve"> </w:t>
      </w:r>
      <w:r>
        <w:rPr>
          <w:color w:val="000000"/>
        </w:rPr>
        <w:t>Product stage</w:t>
      </w:r>
      <w:bookmarkEnd w:id="46"/>
    </w:p>
    <w:tbl>
      <w:tblPr>
        <w:tblStyle w:val="19"/>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6929.21</w:t>
            </w:r>
          </w:p>
        </w:tc>
        <w:tc>
          <w:tcPr>
            <w:vAlign w:val="center"/>
          </w:tcPr>
          <w:p>
            <w:pPr>
              <w:jc w:val="right"/>
            </w:pPr>
            <w:r>
              <w:t>0.5</w:t>
            </w:r>
          </w:p>
        </w:tc>
        <w:tc>
          <w:tcPr>
            <w:vAlign w:val="center"/>
          </w:tcPr>
          <w:p>
            <w:pPr>
              <w:jc w:val="right"/>
            </w:pPr>
            <w:r>
              <w:t>全生命周期</w:t>
            </w:r>
          </w:p>
        </w:tc>
        <w:tc>
          <w:tcPr>
            <w:vAlign w:val="center"/>
          </w:tcPr>
          <w:p>
            <w:pPr>
              <w:jc w:val="right"/>
            </w:pPr>
            <w:r>
              <w:t>340</w:t>
            </w:r>
          </w:p>
        </w:tc>
        <w:tc>
          <w:tcPr>
            <w:vAlign w:val="center"/>
          </w:tcPr>
          <w:p>
            <w:pPr>
              <w:jc w:val="right"/>
            </w:pPr>
            <w:r>
              <w:t>1766.949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822.92</w:t>
            </w:r>
          </w:p>
        </w:tc>
        <w:tc>
          <w:tcPr>
            <w:vAlign w:val="center"/>
          </w:tcPr>
          <w:p>
            <w:pPr>
              <w:jc w:val="right"/>
            </w:pPr>
            <w:r>
              <w:t>0.5</w:t>
            </w:r>
          </w:p>
        </w:tc>
        <w:tc>
          <w:tcPr>
            <w:vAlign w:val="center"/>
          </w:tcPr>
          <w:p>
            <w:pPr>
              <w:jc w:val="right"/>
            </w:pPr>
            <w:r>
              <w:t>全生命周期</w:t>
            </w:r>
          </w:p>
        </w:tc>
        <w:tc>
          <w:tcPr>
            <w:vAlign w:val="center"/>
          </w:tcPr>
          <w:p>
            <w:pPr>
              <w:jc w:val="right"/>
            </w:pPr>
            <w:r>
              <w:t>2340</w:t>
            </w:r>
          </w:p>
        </w:tc>
        <w:tc>
          <w:tcPr>
            <w:vAlign w:val="center"/>
          </w:tcPr>
          <w:p>
            <w:pPr>
              <w:jc w:val="right"/>
            </w:pPr>
            <w:r>
              <w:t>1444.225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131.19</w:t>
            </w:r>
          </w:p>
        </w:tc>
        <w:tc>
          <w:tcPr>
            <w:vAlign w:val="center"/>
          </w:tcPr>
          <w:p>
            <w:pPr>
              <w:jc w:val="right"/>
            </w:pPr>
            <w:r>
              <w:t>0.5</w:t>
            </w:r>
          </w:p>
        </w:tc>
        <w:tc>
          <w:tcPr>
            <w:vAlign w:val="center"/>
          </w:tcPr>
          <w:p>
            <w:pPr>
              <w:jc w:val="right"/>
            </w:pPr>
            <w:r>
              <w:t>全生命周期</w:t>
            </w:r>
          </w:p>
        </w:tc>
        <w:tc>
          <w:tcPr>
            <w:vAlign w:val="center"/>
          </w:tcPr>
          <w:p>
            <w:pPr>
              <w:jc w:val="right"/>
            </w:pPr>
            <w:r>
              <w:t>2365</w:t>
            </w:r>
          </w:p>
        </w:tc>
        <w:tc>
          <w:tcPr>
            <w:vAlign w:val="center"/>
          </w:tcPr>
          <w:p>
            <w:pPr>
              <w:jc w:val="right"/>
            </w:pPr>
            <w:r>
              <w:t>232.698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393.57</w:t>
            </w:r>
          </w:p>
        </w:tc>
        <w:tc>
          <w:tcPr>
            <w:vAlign w:val="center"/>
          </w:tcPr>
          <w:p>
            <w:pPr>
              <w:jc w:val="right"/>
            </w:pPr>
            <w:r>
              <w:t>0.3</w:t>
            </w:r>
          </w:p>
        </w:tc>
        <w:tc>
          <w:tcPr>
            <w:vAlign w:val="center"/>
          </w:tcPr>
          <w:p>
            <w:pPr>
              <w:jc w:val="right"/>
            </w:pPr>
            <w:r>
              <w:t>全生命周期</w:t>
            </w:r>
          </w:p>
        </w:tc>
        <w:tc>
          <w:tcPr>
            <w:vAlign w:val="center"/>
          </w:tcPr>
          <w:p>
            <w:pPr>
              <w:jc w:val="right"/>
            </w:pPr>
            <w:r>
              <w:t>735</w:t>
            </w:r>
          </w:p>
        </w:tc>
        <w:tc>
          <w:tcPr>
            <w:vAlign w:val="center"/>
          </w:tcPr>
          <w:p>
            <w:pPr>
              <w:jc w:val="right"/>
            </w:pPr>
            <w:r>
              <w:t>245.883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1884.36</w:t>
            </w:r>
          </w:p>
        </w:tc>
        <w:tc>
          <w:tcPr>
            <w:vAlign w:val="center"/>
          </w:tcPr>
          <w:p>
            <w:pPr>
              <w:jc w:val="right"/>
            </w:pPr>
            <w:r>
              <w:t>0.3</w:t>
            </w:r>
          </w:p>
        </w:tc>
        <w:tc>
          <w:tcPr>
            <w:vAlign w:val="center"/>
          </w:tcPr>
          <w:p>
            <w:pPr>
              <w:jc w:val="right"/>
            </w:pPr>
            <w:r>
              <w:t>全生命周期</w:t>
            </w:r>
          </w:p>
        </w:tc>
        <w:tc>
          <w:tcPr>
            <w:vAlign w:val="center"/>
          </w:tcPr>
          <w:p>
            <w:pPr>
              <w:jc w:val="right"/>
            </w:pPr>
            <w:r>
              <w:t>370</w:t>
            </w:r>
          </w:p>
        </w:tc>
        <w:tc>
          <w:tcPr>
            <w:vAlign w:val="center"/>
          </w:tcPr>
          <w:p>
            <w:pPr>
              <w:jc w:val="right"/>
            </w:pPr>
            <w:r>
              <w:t>592.631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918.33</w:t>
            </w:r>
          </w:p>
        </w:tc>
        <w:tc>
          <w:tcPr>
            <w:vAlign w:val="center"/>
          </w:tcPr>
          <w:p>
            <w:pPr>
              <w:jc w:val="right"/>
            </w:pPr>
            <w:r>
              <w:t>0.3</w:t>
            </w:r>
          </w:p>
        </w:tc>
        <w:tc>
          <w:tcPr>
            <w:vAlign w:val="center"/>
          </w:tcPr>
          <w:p>
            <w:pPr>
              <w:jc w:val="right"/>
            </w:pPr>
            <w:r>
              <w:t>全生命周期</w:t>
            </w:r>
          </w:p>
        </w:tc>
        <w:tc>
          <w:tcPr>
            <w:vAlign w:val="center"/>
          </w:tcPr>
          <w:p>
            <w:pPr>
              <w:jc w:val="right"/>
            </w:pPr>
            <w:r>
              <w:t>3</w:t>
            </w:r>
          </w:p>
        </w:tc>
        <w:tc>
          <w:tcPr>
            <w:vAlign w:val="center"/>
          </w:tcPr>
          <w:p>
            <w:pPr>
              <w:jc w:val="right"/>
            </w:pPr>
            <w:r>
              <w:t>2.342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挤塑聚苯板</w:t>
            </w:r>
          </w:p>
        </w:tc>
        <w:tc>
          <w:tcPr>
            <w:vAlign w:val="center"/>
          </w:tcPr>
          <w:p>
            <w:r>
              <w:t>m3</w:t>
            </w:r>
          </w:p>
        </w:tc>
        <w:tc>
          <w:tcPr>
            <w:vAlign w:val="center"/>
          </w:tcPr>
          <w:p>
            <w:pPr>
              <w:jc w:val="right"/>
            </w:pPr>
            <w:r>
              <w:t>273.52</w:t>
            </w:r>
          </w:p>
        </w:tc>
        <w:tc>
          <w:tcPr>
            <w:vAlign w:val="center"/>
          </w:tcPr>
          <w:p>
            <w:pPr>
              <w:jc w:val="right"/>
            </w:pPr>
            <w:r>
              <w:t>0.5</w:t>
            </w:r>
          </w:p>
        </w:tc>
        <w:tc>
          <w:tcPr>
            <w:vAlign w:val="center"/>
          </w:tcPr>
          <w:p>
            <w:pPr>
              <w:jc w:val="right"/>
            </w:pPr>
            <w:r>
              <w:t>全生命周期</w:t>
            </w:r>
          </w:p>
        </w:tc>
        <w:tc>
          <w:tcPr>
            <w:vAlign w:val="center"/>
          </w:tcPr>
          <w:p>
            <w:pPr>
              <w:jc w:val="right"/>
            </w:pPr>
            <w:r>
              <w:t>669</w:t>
            </w:r>
          </w:p>
        </w:tc>
        <w:tc>
          <w:tcPr>
            <w:vAlign w:val="center"/>
          </w:tcPr>
          <w:p>
            <w:pPr>
              <w:jc w:val="right"/>
            </w:pPr>
            <w:r>
              <w:t>137.239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聚苯颗粒保温砂浆</w:t>
            </w:r>
          </w:p>
        </w:tc>
        <w:tc>
          <w:tcPr>
            <w:vAlign w:val="center"/>
          </w:tcPr>
          <w:p>
            <w:r>
              <w:t>m3</w:t>
            </w:r>
          </w:p>
        </w:tc>
        <w:tc>
          <w:tcPr>
            <w:vAlign w:val="center"/>
          </w:tcPr>
          <w:p>
            <w:pPr>
              <w:jc w:val="right"/>
            </w:pPr>
            <w:r>
              <w:t>20.86</w:t>
            </w:r>
          </w:p>
        </w:tc>
        <w:tc>
          <w:tcPr>
            <w:vAlign w:val="center"/>
          </w:tcPr>
          <w:p>
            <w:pPr>
              <w:jc w:val="right"/>
            </w:pPr>
            <w:r>
              <w:t>0.5</w:t>
            </w:r>
          </w:p>
        </w:tc>
        <w:tc>
          <w:tcPr>
            <w:vAlign w:val="center"/>
          </w:tcPr>
          <w:p>
            <w:pPr>
              <w:jc w:val="right"/>
            </w:pPr>
            <w:r>
              <w:t>全生命周期</w:t>
            </w:r>
          </w:p>
        </w:tc>
        <w:tc>
          <w:tcPr>
            <w:vAlign w:val="center"/>
          </w:tcPr>
          <w:p>
            <w:pPr>
              <w:jc w:val="right"/>
            </w:pPr>
            <w:r>
              <w:t>139.08</w:t>
            </w:r>
          </w:p>
        </w:tc>
        <w:tc>
          <w:tcPr>
            <w:vAlign w:val="center"/>
          </w:tcPr>
          <w:p>
            <w:pPr>
              <w:jc w:val="right"/>
            </w:pPr>
            <w:r>
              <w:t>2.176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挤塑聚苯乙烯泡沫塑料（带表皮）(1)</w:t>
            </w:r>
          </w:p>
        </w:tc>
        <w:tc>
          <w:tcPr>
            <w:vAlign w:val="center"/>
          </w:tcPr>
          <w:p>
            <w:r>
              <w:t>m3</w:t>
            </w:r>
          </w:p>
        </w:tc>
        <w:tc>
          <w:tcPr>
            <w:vAlign w:val="center"/>
          </w:tcPr>
          <w:p>
            <w:pPr>
              <w:jc w:val="right"/>
            </w:pPr>
            <w:r>
              <w:t>187.42</w:t>
            </w:r>
          </w:p>
        </w:tc>
        <w:tc>
          <w:tcPr>
            <w:vAlign w:val="center"/>
          </w:tcPr>
          <w:p>
            <w:pPr>
              <w:jc w:val="right"/>
            </w:pPr>
            <w:r>
              <w:t>0.5</w:t>
            </w:r>
          </w:p>
        </w:tc>
        <w:tc>
          <w:tcPr>
            <w:vAlign w:val="center"/>
          </w:tcPr>
          <w:p>
            <w:pPr>
              <w:jc w:val="right"/>
            </w:pPr>
            <w:r>
              <w:t>全生命周期</w:t>
            </w:r>
          </w:p>
        </w:tc>
        <w:tc>
          <w:tcPr>
            <w:vAlign w:val="center"/>
          </w:tcPr>
          <w:p>
            <w:pPr>
              <w:jc w:val="right"/>
            </w:pPr>
            <w:r>
              <w:t>669</w:t>
            </w:r>
          </w:p>
        </w:tc>
        <w:tc>
          <w:tcPr>
            <w:vAlign w:val="center"/>
          </w:tcPr>
          <w:p>
            <w:pPr>
              <w:jc w:val="right"/>
            </w:pPr>
            <w:r>
              <w:t>94.038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混凝土多孔砖(190六孔砖）</w:t>
            </w:r>
          </w:p>
        </w:tc>
        <w:tc>
          <w:tcPr>
            <w:vAlign w:val="center"/>
          </w:tcPr>
          <w:p>
            <w:r>
              <w:t>m3</w:t>
            </w:r>
          </w:p>
        </w:tc>
        <w:tc>
          <w:tcPr>
            <w:vAlign w:val="center"/>
          </w:tcPr>
          <w:p>
            <w:pPr>
              <w:jc w:val="right"/>
            </w:pPr>
            <w:r>
              <w:t>1847.06</w:t>
            </w:r>
          </w:p>
        </w:tc>
        <w:tc>
          <w:tcPr>
            <w:vAlign w:val="center"/>
          </w:tcPr>
          <w:p>
            <w:pPr>
              <w:jc w:val="right"/>
            </w:pPr>
            <w:r>
              <w:t>0.3</w:t>
            </w:r>
          </w:p>
        </w:tc>
        <w:tc>
          <w:tcPr>
            <w:vAlign w:val="center"/>
          </w:tcPr>
          <w:p>
            <w:pPr>
              <w:jc w:val="right"/>
            </w:pPr>
            <w:r>
              <w:t>全生命周期</w:t>
            </w:r>
          </w:p>
        </w:tc>
        <w:tc>
          <w:tcPr>
            <w:vAlign w:val="center"/>
          </w:tcPr>
          <w:p>
            <w:pPr>
              <w:jc w:val="right"/>
            </w:pPr>
            <w:r>
              <w:t>295</w:t>
            </w:r>
          </w:p>
        </w:tc>
        <w:tc>
          <w:tcPr>
            <w:vAlign w:val="center"/>
          </w:tcPr>
          <w:p>
            <w:pPr>
              <w:jc w:val="right"/>
            </w:pPr>
            <w:r>
              <w:t>463.150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r>
              <w:t>m3</w:t>
            </w:r>
          </w:p>
        </w:tc>
        <w:tc>
          <w:tcPr>
            <w:vAlign w:val="center"/>
          </w:tcPr>
          <w:p>
            <w:pPr>
              <w:jc w:val="right"/>
            </w:pPr>
            <w:r>
              <w:t>1025.67</w:t>
            </w:r>
          </w:p>
        </w:tc>
        <w:tc>
          <w:tcPr>
            <w:vAlign w:val="center"/>
          </w:tcPr>
          <w:p>
            <w:pPr>
              <w:jc w:val="right"/>
            </w:pPr>
            <w:r>
              <w:t>0.1</w:t>
            </w:r>
          </w:p>
        </w:tc>
        <w:tc>
          <w:tcPr>
            <w:vAlign w:val="center"/>
          </w:tcPr>
          <w:p>
            <w:pPr>
              <w:jc w:val="right"/>
            </w:pPr>
            <w:r>
              <w:t>全生命周期</w:t>
            </w:r>
          </w:p>
        </w:tc>
        <w:tc>
          <w:tcPr>
            <w:vAlign w:val="center"/>
          </w:tcPr>
          <w:p>
            <w:pPr>
              <w:jc w:val="right"/>
            </w:pPr>
            <w:r>
              <w:t>349</w:t>
            </w:r>
          </w:p>
        </w:tc>
        <w:tc>
          <w:tcPr>
            <w:vAlign w:val="center"/>
          </w:tcPr>
          <w:p>
            <w:pPr>
              <w:jc w:val="right"/>
            </w:pPr>
            <w:r>
              <w:t>340.061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r>
              <w:t>m3</w:t>
            </w:r>
          </w:p>
        </w:tc>
        <w:tc>
          <w:tcPr>
            <w:vAlign w:val="center"/>
          </w:tcPr>
          <w:p>
            <w:pPr>
              <w:jc w:val="right"/>
            </w:pPr>
            <w:r>
              <w:t>894.48</w:t>
            </w:r>
          </w:p>
        </w:tc>
        <w:tc>
          <w:tcPr>
            <w:vAlign w:val="center"/>
          </w:tcPr>
          <w:p>
            <w:pPr>
              <w:jc w:val="right"/>
            </w:pPr>
            <w:r>
              <w:t>0.1</w:t>
            </w:r>
          </w:p>
        </w:tc>
        <w:tc>
          <w:tcPr>
            <w:vAlign w:val="center"/>
          </w:tcPr>
          <w:p>
            <w:pPr>
              <w:jc w:val="right"/>
            </w:pPr>
            <w:r>
              <w:t>全生命周期</w:t>
            </w:r>
          </w:p>
        </w:tc>
        <w:tc>
          <w:tcPr>
            <w:vAlign w:val="center"/>
          </w:tcPr>
          <w:p>
            <w:pPr>
              <w:jc w:val="right"/>
            </w:pPr>
            <w:r>
              <w:t>336</w:t>
            </w:r>
          </w:p>
        </w:tc>
        <w:tc>
          <w:tcPr>
            <w:vAlign w:val="center"/>
          </w:tcPr>
          <w:p>
            <w:pPr>
              <w:jc w:val="right"/>
            </w:pPr>
            <w:r>
              <w:t>285.518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断热铝合金--6中透光双银Low-E玻璃+9Ar+6透明玻璃+9Ar+6透明玻璃(2)</w:t>
            </w:r>
          </w:p>
        </w:tc>
        <w:tc>
          <w:tcPr>
            <w:vAlign w:val="center"/>
          </w:tcPr>
          <w:p>
            <w:r>
              <w:t>m2</w:t>
            </w:r>
          </w:p>
        </w:tc>
        <w:tc>
          <w:tcPr>
            <w:vAlign w:val="center"/>
          </w:tcPr>
          <w:p>
            <w:pPr>
              <w:jc w:val="right"/>
            </w:pPr>
            <w:r>
              <w:t>2534.79</w:t>
            </w:r>
          </w:p>
        </w:tc>
        <w:tc>
          <w:tcPr>
            <w:vAlign w:val="center"/>
          </w:tcPr>
          <w:p>
            <w:pPr>
              <w:jc w:val="right"/>
            </w:pPr>
            <w:r>
              <w:t>0.5</w:t>
            </w:r>
          </w:p>
        </w:tc>
        <w:tc>
          <w:tcPr>
            <w:vAlign w:val="center"/>
          </w:tcPr>
          <w:p>
            <w:pPr>
              <w:jc w:val="right"/>
            </w:pPr>
            <w:r>
              <w:t>全生命周期</w:t>
            </w:r>
          </w:p>
        </w:tc>
        <w:tc>
          <w:tcPr>
            <w:vAlign w:val="center"/>
          </w:tcPr>
          <w:p>
            <w:pPr>
              <w:jc w:val="right"/>
            </w:pPr>
            <w:r>
              <w:t>129.5</w:t>
            </w:r>
          </w:p>
        </w:tc>
        <w:tc>
          <w:tcPr>
            <w:vAlign w:val="center"/>
          </w:tcPr>
          <w:p>
            <w:pPr>
              <w:jc w:val="right"/>
            </w:pPr>
            <w:r>
              <w:t>246.191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12A钢铝单框双玻窗（平均）</w:t>
            </w:r>
          </w:p>
        </w:tc>
        <w:tc>
          <w:tcPr>
            <w:vAlign w:val="center"/>
          </w:tcPr>
          <w:p>
            <w:r>
              <w:t>m2</w:t>
            </w:r>
          </w:p>
        </w:tc>
        <w:tc>
          <w:tcPr>
            <w:vAlign w:val="center"/>
          </w:tcPr>
          <w:p>
            <w:pPr>
              <w:jc w:val="right"/>
            </w:pPr>
            <w:r>
              <w:t>1223.25</w:t>
            </w:r>
          </w:p>
        </w:tc>
        <w:tc>
          <w:tcPr>
            <w:vAlign w:val="center"/>
          </w:tcPr>
          <w:p>
            <w:pPr>
              <w:jc w:val="right"/>
            </w:pPr>
            <w:r>
              <w:t>0.3</w:t>
            </w:r>
          </w:p>
        </w:tc>
        <w:tc>
          <w:tcPr>
            <w:vAlign w:val="center"/>
          </w:tcPr>
          <w:p>
            <w:pPr>
              <w:jc w:val="right"/>
            </w:pPr>
            <w:r>
              <w:t>全生命周期</w:t>
            </w:r>
          </w:p>
        </w:tc>
        <w:tc>
          <w:tcPr>
            <w:vAlign w:val="center"/>
          </w:tcPr>
          <w:p>
            <w:pPr>
              <w:jc w:val="right"/>
            </w:pPr>
            <w:r>
              <w:t>129.5</w:t>
            </w:r>
          </w:p>
        </w:tc>
        <w:tc>
          <w:tcPr>
            <w:vAlign w:val="center"/>
          </w:tcPr>
          <w:p>
            <w:pPr>
              <w:jc w:val="right"/>
            </w:pPr>
            <w:r>
              <w:t>134.649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r>
              <w:t>m2</w:t>
            </w:r>
          </w:p>
        </w:tc>
        <w:tc>
          <w:tcPr>
            <w:vAlign w:val="center"/>
          </w:tcPr>
          <w:p>
            <w:pPr>
              <w:jc w:val="right"/>
            </w:pPr>
            <w:r>
              <w:t>798.76</w:t>
            </w:r>
          </w:p>
        </w:tc>
        <w:tc>
          <w:tcPr>
            <w:vAlign w:val="center"/>
          </w:tcPr>
          <w:p>
            <w:pPr>
              <w:jc w:val="right"/>
            </w:pPr>
            <w:r>
              <w:t>0.3</w:t>
            </w:r>
          </w:p>
        </w:tc>
        <w:tc>
          <w:tcPr>
            <w:vAlign w:val="center"/>
          </w:tcPr>
          <w:p>
            <w:pPr>
              <w:jc w:val="right"/>
            </w:pPr>
            <w:r>
              <w:t>全生命周期</w:t>
            </w:r>
          </w:p>
        </w:tc>
        <w:tc>
          <w:tcPr>
            <w:vAlign w:val="center"/>
          </w:tcPr>
          <w:p>
            <w:pPr>
              <w:jc w:val="right"/>
            </w:pPr>
            <w:r>
              <w:t>48.3</w:t>
            </w:r>
          </w:p>
        </w:tc>
        <w:tc>
          <w:tcPr>
            <w:vAlign w:val="center"/>
          </w:tcPr>
          <w:p>
            <w:pPr>
              <w:jc w:val="right"/>
            </w:pPr>
            <w:r>
              <w:t>32.793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r>
              <w:t>m2</w:t>
            </w:r>
          </w:p>
        </w:tc>
        <w:tc>
          <w:tcPr>
            <w:vAlign w:val="center"/>
          </w:tcPr>
          <w:p>
            <w:pPr>
              <w:jc w:val="right"/>
            </w:pPr>
            <w:r>
              <w:t>425.56</w:t>
            </w:r>
          </w:p>
        </w:tc>
        <w:tc>
          <w:tcPr>
            <w:vAlign w:val="center"/>
          </w:tcPr>
          <w:p>
            <w:pPr>
              <w:jc w:val="right"/>
            </w:pPr>
            <w:r>
              <w:t>0.3</w:t>
            </w:r>
          </w:p>
        </w:tc>
        <w:tc>
          <w:tcPr>
            <w:vAlign w:val="center"/>
          </w:tcPr>
          <w:p>
            <w:pPr>
              <w:jc w:val="right"/>
            </w:pPr>
            <w:r>
              <w:t>全生命周期</w:t>
            </w:r>
          </w:p>
        </w:tc>
        <w:tc>
          <w:tcPr>
            <w:vAlign w:val="center"/>
          </w:tcPr>
          <w:p>
            <w:pPr>
              <w:jc w:val="right"/>
            </w:pPr>
            <w:r>
              <w:t>48.3</w:t>
            </w:r>
          </w:p>
        </w:tc>
        <w:tc>
          <w:tcPr>
            <w:vAlign w:val="center"/>
          </w:tcPr>
          <w:p>
            <w:pPr>
              <w:jc w:val="right"/>
            </w:pPr>
            <w:r>
              <w:t>17.471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12200.70</w:t>
            </w:r>
          </w:p>
        </w:tc>
        <w:tc>
          <w:tcPr>
            <w:vAlign w:val="center"/>
          </w:tcPr>
          <w:p>
            <w:pPr>
              <w:jc w:val="right"/>
            </w:pPr>
            <w:r>
              <w:t>0.1</w:t>
            </w:r>
          </w:p>
        </w:tc>
        <w:tc>
          <w:tcPr>
            <w:vAlign w:val="center"/>
          </w:tcPr>
          <w:p>
            <w:pPr>
              <w:jc w:val="right"/>
            </w:pPr>
            <w:r>
              <w:t>全生命周期</w:t>
            </w:r>
          </w:p>
        </w:tc>
        <w:tc>
          <w:tcPr>
            <w:vAlign w:val="center"/>
          </w:tcPr>
          <w:p>
            <w:pPr>
              <w:jc w:val="right"/>
            </w:pPr>
            <w:r>
              <w:t>19.5</w:t>
            </w:r>
          </w:p>
        </w:tc>
        <w:tc>
          <w:tcPr>
            <w:vAlign w:val="center"/>
          </w:tcPr>
          <w:p>
            <w:pPr>
              <w:jc w:val="right"/>
            </w:pPr>
            <w:r>
              <w:t>226.018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155.04</w:t>
            </w:r>
          </w:p>
        </w:tc>
        <w:tc>
          <w:tcPr>
            <w:vAlign w:val="center"/>
          </w:tcPr>
          <w:p>
            <w:pPr>
              <w:jc w:val="right"/>
            </w:pPr>
            <w:r>
              <w:t>0.3</w:t>
            </w:r>
          </w:p>
        </w:tc>
        <w:tc>
          <w:tcPr>
            <w:vAlign w:val="center"/>
          </w:tcPr>
          <w:p>
            <w:pPr>
              <w:jc w:val="right"/>
            </w:pPr>
            <w:r>
              <w:t>全生命周期</w:t>
            </w:r>
          </w:p>
        </w:tc>
        <w:tc>
          <w:tcPr>
            <w:vAlign w:val="center"/>
          </w:tcPr>
          <w:p>
            <w:pPr>
              <w:jc w:val="right"/>
            </w:pPr>
            <w:r>
              <w:t>6550</w:t>
            </w:r>
          </w:p>
        </w:tc>
        <w:tc>
          <w:tcPr>
            <w:vAlign w:val="center"/>
          </w:tcPr>
          <w:p>
            <w:pPr>
              <w:jc w:val="right"/>
            </w:pPr>
            <w:r>
              <w:t>863.185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2051.33</w:t>
            </w:r>
          </w:p>
        </w:tc>
        <w:tc>
          <w:tcPr>
            <w:vAlign w:val="center"/>
          </w:tcPr>
          <w:p>
            <w:pPr>
              <w:jc w:val="right"/>
            </w:pPr>
            <w:r>
              <w:t>0.3</w:t>
            </w:r>
          </w:p>
        </w:tc>
        <w:tc>
          <w:tcPr>
            <w:vAlign w:val="center"/>
          </w:tcPr>
          <w:p>
            <w:pPr>
              <w:jc w:val="right"/>
            </w:pPr>
            <w:r>
              <w:t>全生命周期</w:t>
            </w:r>
          </w:p>
        </w:tc>
        <w:tc>
          <w:tcPr>
            <w:vAlign w:val="center"/>
          </w:tcPr>
          <w:p>
            <w:pPr>
              <w:jc w:val="right"/>
            </w:pPr>
            <w:r>
              <w:t>94.1</w:t>
            </w:r>
          </w:p>
        </w:tc>
        <w:tc>
          <w:tcPr>
            <w:vAlign w:val="center"/>
          </w:tcPr>
          <w:p>
            <w:pPr>
              <w:jc w:val="right"/>
            </w:pPr>
            <w:r>
              <w:t>164.076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17889.50</w:t>
            </w:r>
          </w:p>
        </w:tc>
        <w:tc>
          <w:tcPr>
            <w:vAlign w:val="center"/>
          </w:tcPr>
          <w:p>
            <w:pPr>
              <w:jc w:val="right"/>
            </w:pPr>
            <w:r>
              <w:t>0.3</w:t>
            </w:r>
          </w:p>
        </w:tc>
        <w:tc>
          <w:tcPr>
            <w:vAlign w:val="center"/>
          </w:tcPr>
          <w:p>
            <w:pPr>
              <w:jc w:val="right"/>
            </w:pPr>
            <w:r>
              <w:t>全生命周期</w:t>
            </w:r>
          </w:p>
        </w:tc>
        <w:tc>
          <w:tcPr>
            <w:vAlign w:val="center"/>
          </w:tcPr>
          <w:p>
            <w:pPr>
              <w:jc w:val="right"/>
            </w:pPr>
            <w:r>
              <w:t>3.6</w:t>
            </w:r>
          </w:p>
        </w:tc>
        <w:tc>
          <w:tcPr>
            <w:vAlign w:val="center"/>
          </w:tcPr>
          <w:p>
            <w:pPr>
              <w:jc w:val="right"/>
            </w:pPr>
            <w:r>
              <w:t>54.742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6"/>
            <w:shd w:val="clear" w:color="auto" w:fill="E6E6E6"/>
            <w:vAlign w:val="center"/>
          </w:tcPr>
          <w:p>
            <w:r>
              <w:t>合计</w:t>
            </w:r>
          </w:p>
        </w:tc>
        <w:tc>
          <w:tcPr>
            <w:vAlign w:val="center"/>
          </w:tcPr>
          <w:p>
            <w:pPr>
              <w:jc w:val="right"/>
            </w:pPr>
            <w:r>
              <w:t>7346.035</w:t>
            </w:r>
          </w:p>
        </w:tc>
      </w:tr>
    </w:tbl>
    <w:p>
      <w:pPr>
        <w:ind w:firstLine="420"/>
        <w:rPr>
          <w:lang w:val="en-US"/>
        </w:rPr>
      </w:pPr>
      <w:bookmarkStart w:id="47" w:name="建材生产阶段碳排放"/>
      <w:bookmarkEnd w:id="47"/>
    </w:p>
    <w:p>
      <w:pPr>
        <w:pStyle w:val="5"/>
        <w:widowControl w:val="0"/>
        <w:jc w:val="both"/>
        <w:rPr>
          <w:rFonts w:hint="eastAsia"/>
          <w:color w:val="000000"/>
        </w:rPr>
      </w:pPr>
      <w:bookmarkStart w:id="48" w:name="_Toc103699714"/>
      <w:bookmarkStart w:id="49" w:name="_Toc9509"/>
      <w:r>
        <w:rPr>
          <w:color w:val="000000"/>
        </w:rPr>
        <w:t>建材运输阶段</w:t>
      </w:r>
      <w:bookmarkEnd w:id="48"/>
      <w:r>
        <w:rPr>
          <w:rFonts w:hint="eastAsia"/>
          <w:color w:val="000000"/>
        </w:rPr>
        <w:t xml:space="preserve"> </w:t>
      </w:r>
      <w:r>
        <w:rPr>
          <w:color w:val="000000"/>
        </w:rPr>
        <w:t>Transport stage</w:t>
      </w:r>
      <w:bookmarkEnd w:id="49"/>
    </w:p>
    <w:tbl>
      <w:tblPr>
        <w:tblStyle w:val="19"/>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16352.90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75.223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822.92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47.318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131.19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7.543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393.57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22.630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1884.36</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8.668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1469.33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84.486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w:t>
            </w:r>
          </w:p>
        </w:tc>
        <w:tc>
          <w:tcPr>
            <w:vAlign w:val="center"/>
          </w:tcPr>
          <w:p>
            <w:pPr>
              <w:jc w:val="right"/>
            </w:pPr>
            <w:r>
              <w:t>7.66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聚苯颗粒保温砂浆</w:t>
            </w:r>
          </w:p>
        </w:tc>
        <w:tc>
          <w:tcPr>
            <w:vAlign w:val="center"/>
          </w:tcPr>
          <w:p>
            <w:pPr>
              <w:jc w:val="right"/>
            </w:pPr>
            <w:r>
              <w:t>4.80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挤塑聚苯乙烯泡沫塑料（带表皮）(1)</w:t>
            </w:r>
          </w:p>
        </w:tc>
        <w:tc>
          <w:tcPr>
            <w:vAlign w:val="center"/>
          </w:tcPr>
          <w:p>
            <w:pPr>
              <w:jc w:val="right"/>
            </w:pPr>
            <w:r>
              <w:t>6.56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混凝土多孔砖(190六孔砖）</w:t>
            </w:r>
          </w:p>
        </w:tc>
        <w:tc>
          <w:tcPr>
            <w:vAlign w:val="center"/>
          </w:tcPr>
          <w:p>
            <w:pPr>
              <w:jc w:val="right"/>
            </w:pPr>
            <w:r>
              <w:t>2678.23</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12.320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pPr>
              <w:jc w:val="right"/>
            </w:pPr>
            <w:r>
              <w:t>1025.67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58.976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pPr>
              <w:jc w:val="right"/>
            </w:pPr>
            <w:r>
              <w:t>1296.99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74.577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断热铝合金--6中透光双银Low-E玻璃+9Ar+6透明玻璃+9Ar+6透明玻璃(2)</w:t>
            </w:r>
          </w:p>
        </w:tc>
        <w:tc>
          <w:tcPr>
            <w:vAlign w:val="center"/>
          </w:tcPr>
          <w:p>
            <w:pPr>
              <w:jc w:val="right"/>
            </w:pPr>
            <w:r>
              <w:t>50.70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2.915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12A钢铝单框双玻窗（平均）</w:t>
            </w:r>
          </w:p>
        </w:tc>
        <w:tc>
          <w:tcPr>
            <w:vAlign w:val="center"/>
          </w:tcPr>
          <w:p>
            <w:pPr>
              <w:jc w:val="right"/>
            </w:pPr>
            <w:r>
              <w:t>24.46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1.406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pPr>
              <w:jc w:val="right"/>
            </w:pPr>
            <w:r>
              <w:t>23.96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1.378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pPr>
              <w:jc w:val="right"/>
            </w:pPr>
            <w:r>
              <w:t>12.77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0.734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366.02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21.046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155.04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8.915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2.05</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17.89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430.121</w:t>
            </w:r>
          </w:p>
        </w:tc>
      </w:tr>
    </w:tbl>
    <w:p>
      <w:pPr>
        <w:ind w:firstLine="420"/>
        <w:rPr>
          <w:lang w:val="en-US"/>
        </w:rPr>
      </w:pPr>
      <w:bookmarkStart w:id="50" w:name="建材运输阶段碳排放"/>
      <w:bookmarkEnd w:id="50"/>
    </w:p>
    <w:p>
      <w:pPr>
        <w:pStyle w:val="4"/>
      </w:pPr>
      <w:bookmarkStart w:id="51" w:name="_Toc103699715"/>
      <w:bookmarkStart w:id="52" w:name="_Toc1176"/>
      <w:r>
        <w:t>建造</w:t>
      </w:r>
      <w:bookmarkEnd w:id="51"/>
      <w:r>
        <w:rPr>
          <w:rFonts w:hint="eastAsia"/>
        </w:rPr>
        <w:t>阶段</w:t>
      </w:r>
      <w:r>
        <w:t>Construction process stage</w:t>
      </w:r>
      <w:bookmarkEnd w:id="52"/>
    </w:p>
    <w:p>
      <w:pPr>
        <w:ind w:firstLine="420"/>
        <w:rPr>
          <w:lang w:val="en-US"/>
        </w:rPr>
      </w:pPr>
      <w:bookmarkStart w:id="53" w:name="建筑建造碳排放"/>
      <w:bookmarkEnd w:id="53"/>
      <w:r>
        <w:rPr>
          <w:lang w:val="en-US"/>
        </w:rPr>
        <w:t>根据广东省《建筑碳排放计算导则（试行）》，采用经验公式法进行估算，公式如下：</w:t>
      </w:r>
    </w:p>
    <w:p>
      <w:pPr>
        <w:ind w:firstLine="420"/>
        <w:rPr>
          <w:lang w:val="en-US"/>
        </w:rPr>
      </w:pPr>
      <w:r>
        <w:rPr>
          <w:lang w:val="en-US"/>
        </w:rPr>
        <w:t xml:space="preserve">Y = X + 1.99 </w:t>
      </w:r>
    </w:p>
    <w:p>
      <w:pPr>
        <w:ind w:firstLine="420"/>
        <w:rPr>
          <w:lang w:val="en-US"/>
        </w:rPr>
      </w:pPr>
      <w:r>
        <w:rPr>
          <w:lang w:val="en-US"/>
        </w:rPr>
        <w:t>其中X 为地上层数，Y 为单位面积的碳排放量，单位为：kgCO2/㎡,</w:t>
      </w:r>
    </w:p>
    <w:p>
      <w:pPr>
        <w:ind w:firstLine="420"/>
        <w:rPr>
          <w:lang w:val="en-US"/>
        </w:rPr>
      </w:pPr>
      <w:r>
        <w:rPr>
          <w:lang w:val="en-US"/>
        </w:rPr>
        <w:t>则建造阶段碳排放估算值 Cjz=Y×A,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11926.36</w:t>
            </w:r>
          </w:p>
        </w:tc>
        <w:tc>
          <w:tcPr>
            <w:vAlign w:val="center"/>
          </w:tcPr>
          <w:p>
            <w:r>
              <w:t>7</w:t>
            </w:r>
          </w:p>
        </w:tc>
        <w:tc>
          <w:tcPr>
            <w:vAlign w:val="center"/>
          </w:tcPr>
          <w:p>
            <w:r>
              <w:t>8.99</w:t>
            </w:r>
          </w:p>
        </w:tc>
        <w:tc>
          <w:tcPr>
            <w:vAlign w:val="center"/>
          </w:tcPr>
          <w:p>
            <w:r>
              <w:t>107.218</w:t>
            </w:r>
          </w:p>
        </w:tc>
      </w:tr>
    </w:tbl>
    <w:p>
      <w:pPr>
        <w:ind w:firstLine="420"/>
        <w:rPr>
          <w:lang w:val="en-US"/>
        </w:rPr>
      </w:pPr>
    </w:p>
    <w:p>
      <w:pPr>
        <w:pStyle w:val="4"/>
        <w:widowControl w:val="0"/>
      </w:pPr>
      <w:bookmarkStart w:id="54" w:name="_Toc103699717"/>
      <w:bookmarkStart w:id="55" w:name="_Toc26389"/>
      <w:r>
        <w:t>建筑运行</w:t>
      </w:r>
      <w:bookmarkEnd w:id="54"/>
      <w:r>
        <w:rPr>
          <w:rFonts w:hint="eastAsia"/>
        </w:rPr>
        <w:t>使用阶段Use</w:t>
      </w:r>
      <w:r>
        <w:t xml:space="preserve"> stage</w:t>
      </w:r>
      <w:bookmarkEnd w:id="55"/>
    </w:p>
    <w:p>
      <w:pPr>
        <w:pStyle w:val="5"/>
        <w:rPr>
          <w:rFonts w:hint="eastAsia"/>
        </w:rPr>
      </w:pPr>
      <w:bookmarkStart w:id="56" w:name="_Toc8078"/>
      <w:r>
        <w:rPr>
          <w:rFonts w:hint="eastAsia"/>
        </w:rPr>
        <w:t>建筑运行阶段能源使用 Operational energy use</w:t>
      </w:r>
      <w:bookmarkEnd w:id="56"/>
      <w:r>
        <w:t xml:space="preserve"> </w:t>
      </w:r>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0.00</w:t>
            </w:r>
          </w:p>
        </w:tc>
        <w:tc>
          <w:tcPr>
            <w:tcW w:w="1701" w:type="dxa"/>
            <w:vMerge w:val="restart"/>
            <w:vAlign w:val="center"/>
          </w:tcPr>
          <w:p>
            <w:pPr>
              <w:ind w:firstLine="0" w:firstLineChars="0"/>
              <w:jc w:val="center"/>
              <w:rPr>
                <w:lang w:val="en-US"/>
              </w:rPr>
            </w:pPr>
            <w:r>
              <w:t>0.5703</w:t>
            </w:r>
          </w:p>
        </w:tc>
        <w:tc>
          <w:tcPr>
            <w:tcW w:w="1570" w:type="dxa"/>
            <w:vMerge w:val="restart"/>
            <w:vAlign w:val="center"/>
          </w:tcPr>
          <w:p>
            <w:pPr>
              <w:ind w:firstLine="0" w:firstLineChars="0"/>
              <w:jc w:val="center"/>
              <w:rPr>
                <w:lang w:val="en-US"/>
              </w:rPr>
            </w:pPr>
            <w:r>
              <w:t>3330.935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0.00</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489.73</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489.73</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p>
        </w:tc>
        <w:tc>
          <w:tcPr>
            <w:tcW w:w="1701" w:type="dxa"/>
            <w:vMerge w:val="restart"/>
            <w:vAlign w:val="center"/>
          </w:tcPr>
          <w:p>
            <w:pPr>
              <w:ind w:firstLine="0" w:firstLineChars="0"/>
              <w:jc w:val="center"/>
              <w:rPr>
                <w:lang w:val="en-US"/>
              </w:rPr>
            </w:pPr>
            <w:r>
              <w:t>0.5703</w:t>
            </w:r>
          </w:p>
        </w:tc>
        <w:tc>
          <w:tcPr>
            <w:tcW w:w="1570" w:type="dxa"/>
            <w:vMerge w:val="restart"/>
            <w:vAlign w:val="center"/>
          </w:tcPr>
          <w:p>
            <w:pPr>
              <w:ind w:firstLine="0" w:firstLineChars="0"/>
              <w:jc w:val="center"/>
              <w:rPr>
                <w:lang w:val="en-US"/>
              </w:rPr>
            </w:pPr>
            <w:r>
              <w:t>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5.33</w:t>
            </w:r>
          </w:p>
        </w:tc>
        <w:tc>
          <w:tcPr>
            <w:tcW w:w="1701" w:type="dxa"/>
            <w:vMerge w:val="restart"/>
            <w:vAlign w:val="center"/>
          </w:tcPr>
          <w:p>
            <w:pPr>
              <w:ind w:firstLine="0" w:firstLineChars="0"/>
              <w:jc w:val="center"/>
              <w:rPr>
                <w:lang w:val="en-US"/>
              </w:rPr>
            </w:pPr>
            <w:r>
              <w:t>0.5703</w:t>
            </w:r>
          </w:p>
        </w:tc>
        <w:tc>
          <w:tcPr>
            <w:tcW w:w="1570" w:type="dxa"/>
            <w:vMerge w:val="restart"/>
            <w:vAlign w:val="center"/>
          </w:tcPr>
          <w:p>
            <w:pPr>
              <w:ind w:firstLine="0" w:firstLineChars="0"/>
              <w:jc w:val="center"/>
              <w:rPr>
                <w:lang w:val="en-US"/>
              </w:rPr>
            </w:pPr>
            <w:r>
              <w:t>36.253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0.00</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0.00</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5.33</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626.93</w:t>
            </w:r>
            <w:bookmarkEnd w:id="22"/>
          </w:p>
        </w:tc>
        <w:tc>
          <w:tcPr>
            <w:tcW w:w="1701" w:type="dxa"/>
            <w:vAlign w:val="center"/>
          </w:tcPr>
          <w:p>
            <w:pPr>
              <w:ind w:firstLine="0" w:firstLineChars="0"/>
              <w:jc w:val="center"/>
              <w:rPr>
                <w:lang w:val="en-US"/>
              </w:rPr>
            </w:pPr>
            <w:r>
              <w:t>0.5703</w:t>
            </w:r>
          </w:p>
        </w:tc>
        <w:tc>
          <w:tcPr>
            <w:tcW w:w="1570" w:type="dxa"/>
          </w:tcPr>
          <w:p>
            <w:pPr>
              <w:ind w:firstLine="0" w:firstLineChars="0"/>
              <w:jc w:val="center"/>
              <w:rPr>
                <w:lang w:val="en-US"/>
              </w:rPr>
            </w:pPr>
            <w:r>
              <w:t>4264.135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插座</w:t>
            </w:r>
            <w:r>
              <w:rPr>
                <w:lang w:val="en-US"/>
              </w:rPr>
              <w:t>设备</w:t>
            </w:r>
          </w:p>
        </w:tc>
        <w:tc>
          <w:tcPr>
            <w:tcW w:w="1843" w:type="dxa"/>
            <w:vAlign w:val="center"/>
          </w:tcPr>
          <w:p>
            <w:pPr>
              <w:ind w:firstLine="0" w:firstLineChars="0"/>
              <w:jc w:val="center"/>
              <w:rPr>
                <w:lang w:val="en-US"/>
              </w:rPr>
            </w:pPr>
            <w:r>
              <w:rPr>
                <w:rFonts w:hint="eastAsia"/>
                <w:lang w:val="en-US"/>
              </w:rPr>
              <w:t>640.91</w:t>
            </w:r>
          </w:p>
        </w:tc>
        <w:tc>
          <w:tcPr>
            <w:tcW w:w="1701" w:type="dxa"/>
            <w:vAlign w:val="center"/>
          </w:tcPr>
          <w:p>
            <w:pPr>
              <w:ind w:firstLine="0" w:firstLineChars="0"/>
              <w:jc w:val="center"/>
              <w:rPr>
                <w:lang w:val="en-US"/>
              </w:rPr>
            </w:pPr>
            <w:r>
              <w:rPr>
                <w:rFonts w:hint="eastAsia"/>
                <w:lang w:val="en-US"/>
              </w:rPr>
              <w:t>0.5703</w:t>
            </w:r>
          </w:p>
        </w:tc>
        <w:tc>
          <w:tcPr>
            <w:tcW w:w="1570" w:type="dxa"/>
          </w:tcPr>
          <w:p>
            <w:pPr>
              <w:ind w:firstLine="0" w:firstLineChars="0"/>
              <w:jc w:val="center"/>
              <w:rPr>
                <w:lang w:val="en-US"/>
              </w:rPr>
            </w:pPr>
            <w:r>
              <w:rPr>
                <w:rFonts w:hint="eastAsia"/>
                <w:lang w:val="en-US"/>
              </w:rPr>
              <w:t>4359.215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0.00</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0.000</w:t>
            </w:r>
            <w:bookmarkEnd w:id="3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0.00</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0.00</w:t>
            </w:r>
            <w:r>
              <w:rPr>
                <w:lang w:val="en-US"/>
              </w:rPr>
              <w:t xml:space="preserve"> </w:t>
            </w:r>
            <w:r>
              <w:t>(太阳能供大于需)</w:t>
            </w:r>
            <w:bookmarkEnd w:id="35"/>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w:t>
            </w:r>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0.00</w:t>
            </w:r>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57" w:name="制冷剂消耗量"/>
            <w:r>
              <w:t>0</w:t>
            </w:r>
            <w:bookmarkEnd w:id="57"/>
          </w:p>
        </w:tc>
        <w:tc>
          <w:tcPr>
            <w:tcW w:w="1570" w:type="dxa"/>
            <w:shd w:val="clear" w:color="auto" w:fill="FFFFFF"/>
            <w:vAlign w:val="center"/>
          </w:tcPr>
          <w:p>
            <w:pPr>
              <w:ind w:firstLine="0" w:firstLineChars="0"/>
              <w:jc w:val="center"/>
              <w:rPr>
                <w:lang w:val="en-US"/>
              </w:rPr>
            </w:pPr>
            <w:bookmarkStart w:id="58" w:name="制冷剂碳排放"/>
            <w:r>
              <w:t>0.000</w:t>
            </w:r>
            <w:bookmarkEnd w:id="5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59" w:name="光伏能耗"/>
            <w:r>
              <w:rPr>
                <w:rFonts w:hint="eastAsia"/>
                <w:lang w:val="en-US"/>
              </w:rPr>
              <w:t>4.60</w:t>
            </w:r>
            <w:bookmarkEnd w:id="59"/>
          </w:p>
        </w:tc>
        <w:tc>
          <w:tcPr>
            <w:tcW w:w="1701" w:type="dxa"/>
            <w:vMerge w:val="restart"/>
            <w:vAlign w:val="center"/>
          </w:tcPr>
          <w:p>
            <w:pPr>
              <w:ind w:firstLine="0" w:firstLineChars="0"/>
              <w:jc w:val="center"/>
              <w:rPr>
                <w:lang w:val="en-US"/>
              </w:rPr>
            </w:pPr>
            <w:bookmarkStart w:id="60" w:name="电力CO2排放因子7"/>
            <w:r>
              <w:t>0.5703</w:t>
            </w:r>
            <w:bookmarkEnd w:id="60"/>
          </w:p>
        </w:tc>
        <w:tc>
          <w:tcPr>
            <w:tcW w:w="1570" w:type="dxa"/>
          </w:tcPr>
          <w:p>
            <w:pPr>
              <w:ind w:firstLine="0" w:firstLineChars="0"/>
              <w:jc w:val="center"/>
              <w:rPr>
                <w:lang w:val="en-US"/>
              </w:rPr>
            </w:pPr>
            <w:bookmarkStart w:id="61" w:name="光伏能耗_电耗CO2排放"/>
            <w:r>
              <w:t>31.315</w:t>
            </w:r>
            <w:bookmarkEnd w:id="6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62" w:name="风力能耗"/>
            <w:r>
              <w:rPr>
                <w:rFonts w:hint="eastAsia"/>
                <w:lang w:val="en-US"/>
              </w:rPr>
              <w:t>0.00</w:t>
            </w:r>
            <w:bookmarkEnd w:id="62"/>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63" w:name="风力能耗_电耗CO2排放"/>
            <w:r>
              <w:t>0.000</w:t>
            </w:r>
            <w:bookmarkEnd w:id="6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64" w:name="设计建筑碳汇"/>
            <w:r>
              <w:t>0.000</w:t>
            </w:r>
            <w:bookmarkEnd w:id="6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65" w:name="建筑总碳排放"/>
            <w:r>
              <w:t>11959.221</w:t>
            </w:r>
            <w:bookmarkEnd w:id="65"/>
          </w:p>
        </w:tc>
        <w:bookmarkStart w:id="66" w:name="建筑总碳排放平米"/>
        <w:bookmarkEnd w:id="66"/>
      </w:tr>
    </w:tbl>
    <w:p/>
    <w:p>
      <w:pPr>
        <w:pStyle w:val="3"/>
        <w:ind w:firstLine="420"/>
        <w:rPr>
          <w:lang w:val="en-US"/>
        </w:rPr>
      </w:pPr>
      <w:bookmarkStart w:id="67" w:name="建筑运行碳排放表"/>
      <w:bookmarkEnd w:id="67"/>
    </w:p>
    <w:p>
      <w:pPr>
        <w:pStyle w:val="3"/>
        <w:ind w:firstLine="420"/>
        <w:jc w:val="center"/>
        <w:rPr>
          <w:lang w:val="en-US"/>
        </w:rPr>
      </w:pPr>
      <w:bookmarkStart w:id="68" w:name="运行碳排饼图"/>
      <w:bookmarkEnd w:id="68"/>
      <w:r>
        <w:drawing>
          <wp:inline distT="0" distB="0" distL="0" distR="0">
            <wp:extent cx="5667375" cy="5467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4"/>
                    <a:stretch>
                      <a:fillRect/>
                    </a:stretch>
                  </pic:blipFill>
                  <pic:spPr>
                    <a:xfrm>
                      <a:off x="0" y="0"/>
                      <a:ext cx="5667375" cy="5467350"/>
                    </a:xfrm>
                    <a:prstGeom prst="rect">
                      <a:avLst/>
                    </a:prstGeom>
                  </pic:spPr>
                </pic:pic>
              </a:graphicData>
            </a:graphic>
          </wp:inline>
        </w:drawing>
      </w:r>
    </w:p>
    <w:p>
      <w:pPr>
        <w:pStyle w:val="3"/>
        <w:ind w:firstLine="420"/>
        <w:jc w:val="center"/>
        <w:rPr>
          <w:lang w:val="en-US"/>
        </w:rPr>
      </w:pPr>
      <w:r>
        <w:drawing>
          <wp:inline distT="0" distB="0" distL="0" distR="0">
            <wp:extent cx="5667375" cy="54768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5"/>
                    <a:stretch>
                      <a:fillRect/>
                    </a:stretch>
                  </pic:blipFill>
                  <pic:spPr>
                    <a:xfrm>
                      <a:off x="0" y="0"/>
                      <a:ext cx="5667375" cy="5476875"/>
                    </a:xfrm>
                    <a:prstGeom prst="rect">
                      <a:avLst/>
                    </a:prstGeom>
                  </pic:spPr>
                </pic:pic>
              </a:graphicData>
            </a:graphic>
          </wp:inline>
        </w:drawing>
      </w:r>
    </w:p>
    <w:p>
      <w:pPr>
        <w:pStyle w:val="3"/>
        <w:ind w:firstLine="420"/>
        <w:rPr>
          <w:lang w:val="en-US"/>
        </w:rPr>
      </w:pPr>
    </w:p>
    <w:p>
      <w:pPr>
        <w:pStyle w:val="5"/>
        <w:tabs>
          <w:tab w:val="clear" w:pos="432"/>
        </w:tabs>
        <w:rPr>
          <w:rFonts w:hint="eastAsia"/>
        </w:rPr>
      </w:pPr>
      <w:bookmarkStart w:id="69" w:name="_Toc28423"/>
      <w:r>
        <w:rPr>
          <w:rFonts w:hint="eastAsia"/>
          <w:iCs/>
          <w:sz w:val="24"/>
          <w:szCs w:val="24"/>
        </w:rPr>
        <w:t>建筑维护</w:t>
      </w:r>
      <w:r>
        <w:rPr>
          <w:rFonts w:ascii="微软雅黑" w:cs="微软雅黑"/>
        </w:rPr>
        <w:t xml:space="preserve"> </w:t>
      </w:r>
      <w:r>
        <w:t>Building maintenance</w:t>
      </w:r>
      <w:bookmarkEnd w:id="69"/>
    </w:p>
    <w:p>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pPr>
        <w:pStyle w:val="3"/>
        <w:ind w:firstLine="420"/>
        <w:rPr>
          <w:lang w:val="en-US"/>
        </w:rPr>
      </w:pPr>
      <w:r>
        <w:rPr>
          <w:lang w:val="en-US"/>
        </w:rPr>
        <w:t>本项目根据取舍原则，不考虑该阶段的碳排放。</w:t>
      </w:r>
    </w:p>
    <w:p>
      <w:pPr>
        <w:pStyle w:val="5"/>
        <w:tabs>
          <w:tab w:val="clear" w:pos="432"/>
        </w:tabs>
        <w:rPr>
          <w:rFonts w:hint="eastAsia"/>
        </w:rPr>
      </w:pPr>
      <w:bookmarkStart w:id="70" w:name="_Toc3037"/>
      <w:r>
        <w:t xml:space="preserve">建筑碳汇 Carbon sink of </w:t>
      </w:r>
      <w:r>
        <w:rPr>
          <w:rFonts w:hint="eastAsia"/>
        </w:rPr>
        <w:t>life</w:t>
      </w:r>
      <w:r>
        <w:t xml:space="preserve"> stage</w:t>
      </w:r>
      <w:bookmarkEnd w:id="70"/>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4"/>
            <w:shd w:val="clear" w:color="auto" w:fill="E6E6E6"/>
            <w:vAlign w:val="center"/>
          </w:tcPr>
          <w:p>
            <w:r>
              <w:t>合计</w:t>
            </w:r>
          </w:p>
        </w:tc>
        <w:tc>
          <w:tcPr>
            <w:vAlign w:val="center"/>
          </w:tcPr>
          <w:p>
            <w:r>
              <w:t>0.000</w:t>
            </w:r>
          </w:p>
        </w:tc>
      </w:tr>
    </w:tbl>
    <w:p>
      <w:pPr>
        <w:pStyle w:val="3"/>
        <w:ind w:firstLine="420"/>
        <w:rPr>
          <w:lang w:val="en-US"/>
        </w:rPr>
      </w:pPr>
      <w:bookmarkStart w:id="71" w:name="碳汇明细表"/>
      <w:bookmarkEnd w:id="71"/>
      <w:r>
        <w:rPr>
          <w:lang w:val="en-US"/>
        </w:rPr>
        <w:t>注：碳汇的计算考虑了植物生长期的影响。</w:t>
      </w:r>
    </w:p>
    <w:p>
      <w:pPr>
        <w:pStyle w:val="3"/>
        <w:ind w:firstLine="420"/>
        <w:rPr>
          <w:lang w:val="en-US"/>
        </w:rPr>
      </w:pPr>
    </w:p>
    <w:p>
      <w:pPr>
        <w:pStyle w:val="4"/>
      </w:pPr>
      <w:bookmarkStart w:id="72" w:name="_Toc29127"/>
      <w:r>
        <w:rPr>
          <w:rFonts w:hint="eastAsia"/>
        </w:rPr>
        <w:t>报废阶段 End of life stage</w:t>
      </w:r>
      <w:bookmarkEnd w:id="72"/>
      <w:r>
        <w:rPr>
          <w:rFonts w:hint="eastAsia"/>
        </w:rPr>
        <w:t xml:space="preserve"> </w:t>
      </w:r>
    </w:p>
    <w:p>
      <w:pPr>
        <w:pStyle w:val="5"/>
        <w:rPr>
          <w:rFonts w:hint="eastAsia"/>
        </w:rPr>
      </w:pPr>
      <w:bookmarkStart w:id="73" w:name="_Toc12345"/>
      <w:r>
        <w:rPr>
          <w:rFonts w:hint="eastAsia"/>
        </w:rPr>
        <w:t>建材回收阶段</w:t>
      </w:r>
      <w:bookmarkEnd w:id="73"/>
    </w:p>
    <w:p>
      <w:pPr>
        <w:pStyle w:val="3"/>
        <w:ind w:firstLine="420"/>
        <w:rPr>
          <w:lang w:val="en-US"/>
        </w:rPr>
      </w:pPr>
      <w:r>
        <w:rPr>
          <w:rFonts w:hint="eastAsia"/>
          <w:lang w:val="en-US"/>
        </w:rPr>
        <w:t>建材回收的碳排放量在建材生及运输阶段的计算中予以考虑，本项目中忽略该部分碳排量。</w:t>
      </w:r>
    </w:p>
    <w:p>
      <w:pPr>
        <w:pStyle w:val="5"/>
        <w:rPr>
          <w:rFonts w:hint="eastAsia"/>
        </w:rPr>
      </w:pPr>
      <w:bookmarkStart w:id="74" w:name="_Toc29699"/>
      <w:r>
        <w:t>建筑拆除阶段</w:t>
      </w:r>
      <w:bookmarkEnd w:id="74"/>
    </w:p>
    <w:p>
      <w:pPr>
        <w:pStyle w:val="3"/>
        <w:ind w:firstLine="420"/>
        <w:rPr>
          <w:lang w:val="en-US"/>
        </w:rPr>
      </w:pPr>
      <w:bookmarkStart w:id="75" w:name="建筑拆除碳排放"/>
      <w:bookmarkEnd w:id="75"/>
      <w:r>
        <w:rPr>
          <w:lang w:val="en-US"/>
        </w:rPr>
        <w:t>根据广东省《建筑碳排放计算导则（试行）》，建议粗略估算拆除阶段的碳排放，计算方法与建造阶段公式一致即可，公式如下：</w:t>
      </w:r>
    </w:p>
    <w:p>
      <w:pPr>
        <w:pStyle w:val="3"/>
        <w:ind w:firstLine="420"/>
        <w:rPr>
          <w:lang w:val="en-US"/>
        </w:rPr>
      </w:pPr>
      <w:r>
        <w:rPr>
          <w:lang w:val="en-US"/>
        </w:rPr>
        <w:t xml:space="preserve">Y = X + 1.99 </w:t>
      </w:r>
    </w:p>
    <w:p>
      <w:pPr>
        <w:pStyle w:val="3"/>
        <w:ind w:firstLine="420"/>
        <w:rPr>
          <w:lang w:val="en-US"/>
        </w:rPr>
      </w:pPr>
      <w:r>
        <w:rPr>
          <w:lang w:val="en-US"/>
        </w:rPr>
        <w:t>其中X 为地上层数，Y 为单位面积的碳排放量，单位为：kgCO2/㎡,</w:t>
      </w:r>
    </w:p>
    <w:p>
      <w:pPr>
        <w:pStyle w:val="3"/>
        <w:ind w:firstLine="420"/>
        <w:rPr>
          <w:lang w:val="en-US"/>
        </w:rPr>
      </w:pPr>
      <w:r>
        <w:rPr>
          <w:lang w:val="en-US"/>
        </w:rPr>
        <w:t>则拆除阶段碳排放估算值 Ccc=Y×A,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11926.36</w:t>
            </w:r>
          </w:p>
        </w:tc>
        <w:tc>
          <w:tcPr>
            <w:vAlign w:val="center"/>
          </w:tcPr>
          <w:p>
            <w:r>
              <w:t>7</w:t>
            </w:r>
          </w:p>
        </w:tc>
        <w:tc>
          <w:tcPr>
            <w:vAlign w:val="center"/>
          </w:tcPr>
          <w:p>
            <w:r>
              <w:t>8.99</w:t>
            </w:r>
          </w:p>
        </w:tc>
        <w:tc>
          <w:tcPr>
            <w:vAlign w:val="center"/>
          </w:tcPr>
          <w:p>
            <w:r>
              <w:t>107.218</w:t>
            </w:r>
          </w:p>
        </w:tc>
      </w:tr>
    </w:tbl>
    <w:p>
      <w:pPr>
        <w:pStyle w:val="3"/>
        <w:ind w:firstLine="420"/>
        <w:rPr>
          <w:lang w:val="en-US"/>
        </w:rPr>
      </w:pPr>
    </w:p>
    <w:p>
      <w:pPr>
        <w:pStyle w:val="4"/>
      </w:pPr>
      <w:bookmarkStart w:id="76" w:name="_Toc31799"/>
      <w:r>
        <w:rPr>
          <w:rFonts w:hint="eastAsia"/>
        </w:rPr>
        <w:t>结果汇总</w:t>
      </w:r>
      <w:r>
        <w:t>Results summary</w:t>
      </w:r>
      <w:bookmarkEnd w:id="76"/>
    </w:p>
    <w:p>
      <w:pPr>
        <w:pStyle w:val="5"/>
        <w:widowControl w:val="0"/>
        <w:jc w:val="both"/>
        <w:rPr>
          <w:rFonts w:hint="eastAsia"/>
          <w:color w:val="000000"/>
        </w:rPr>
      </w:pPr>
      <w:bookmarkStart w:id="77" w:name="_Toc13845"/>
      <w:r>
        <w:rPr>
          <w:rFonts w:hint="eastAsia"/>
          <w:color w:val="000000"/>
        </w:rPr>
        <w:t>碳排放强度</w:t>
      </w:r>
      <w:bookmarkEnd w:id="77"/>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12.32</w:t>
            </w:r>
          </w:p>
        </w:tc>
        <w:tc>
          <w:tcPr>
            <w:vAlign w:val="center"/>
          </w:tcPr>
          <w:p>
            <w:r>
              <w:t>615.95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0.72</w:t>
            </w:r>
          </w:p>
        </w:tc>
        <w:tc>
          <w:tcPr>
            <w:vAlign w:val="center"/>
          </w:tcPr>
          <w:p>
            <w:r>
              <w:t>36.06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0.18</w:t>
            </w:r>
          </w:p>
        </w:tc>
        <w:tc>
          <w:tcPr>
            <w:vAlign w:val="center"/>
          </w:tcPr>
          <w:p>
            <w:r>
              <w:t>8.99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0.18</w:t>
            </w:r>
          </w:p>
        </w:tc>
        <w:tc>
          <w:tcPr>
            <w:vAlign w:val="center"/>
          </w:tcPr>
          <w:p>
            <w:r>
              <w:t>8.99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20.06</w:t>
            </w:r>
          </w:p>
        </w:tc>
        <w:tc>
          <w:tcPr>
            <w:vAlign w:val="center"/>
          </w:tcPr>
          <w:p>
            <w:r>
              <w:t>1002.76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33.46</w:t>
            </w:r>
          </w:p>
        </w:tc>
        <w:tc>
          <w:tcPr>
            <w:vAlign w:val="center"/>
          </w:tcPr>
          <w:p>
            <w:r>
              <w:t>1672.75</w:t>
            </w:r>
          </w:p>
        </w:tc>
      </w:tr>
    </w:tbl>
    <w:p>
      <w:pPr>
        <w:pStyle w:val="3"/>
        <w:ind w:firstLine="420"/>
      </w:pPr>
      <w:bookmarkStart w:id="78" w:name="全生命周期单位面积碳排表"/>
      <w:bookmarkEnd w:id="78"/>
    </w:p>
    <w:p>
      <w:pPr>
        <w:pStyle w:val="5"/>
        <w:widowControl w:val="0"/>
        <w:jc w:val="both"/>
        <w:rPr>
          <w:rFonts w:hint="eastAsia"/>
          <w:color w:val="000000"/>
        </w:rPr>
      </w:pPr>
      <w:bookmarkStart w:id="79" w:name="_Toc27000"/>
      <w:r>
        <w:rPr>
          <w:color w:val="000000"/>
        </w:rPr>
        <w:t>总碳排放量</w:t>
      </w:r>
      <w:bookmarkEnd w:id="79"/>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146.921</w:t>
            </w:r>
          </w:p>
        </w:tc>
        <w:tc>
          <w:tcPr>
            <w:vAlign w:val="center"/>
          </w:tcPr>
          <w:p>
            <w:r>
              <w:t>7346.035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8.602</w:t>
            </w:r>
          </w:p>
        </w:tc>
        <w:tc>
          <w:tcPr>
            <w:vAlign w:val="center"/>
          </w:tcPr>
          <w:p>
            <w:r>
              <w:t>430.121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2.144</w:t>
            </w:r>
          </w:p>
        </w:tc>
        <w:tc>
          <w:tcPr>
            <w:vAlign w:val="center"/>
          </w:tcPr>
          <w:p>
            <w:r>
              <w:t>107.218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2.144</w:t>
            </w:r>
          </w:p>
        </w:tc>
        <w:tc>
          <w:tcPr>
            <w:vAlign w:val="center"/>
          </w:tcPr>
          <w:p>
            <w:r>
              <w:t>107.218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239.184</w:t>
            </w:r>
          </w:p>
        </w:tc>
        <w:tc>
          <w:tcPr>
            <w:vAlign w:val="center"/>
          </w:tcPr>
          <w:p>
            <w:r>
              <w:t>11959.221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398.995</w:t>
            </w:r>
          </w:p>
        </w:tc>
        <w:tc>
          <w:tcPr>
            <w:vAlign w:val="center"/>
          </w:tcPr>
          <w:p>
            <w:r>
              <w:t>19949.813</w:t>
            </w:r>
          </w:p>
        </w:tc>
      </w:tr>
    </w:tbl>
    <w:p>
      <w:pPr>
        <w:ind w:firstLine="420"/>
      </w:pPr>
      <w:bookmarkStart w:id="80" w:name="全生命周期碳排表"/>
      <w:bookmarkEnd w:id="80"/>
    </w:p>
    <w:p>
      <w:pPr>
        <w:pStyle w:val="2"/>
      </w:pPr>
      <w:bookmarkStart w:id="81" w:name="_Toc25350"/>
      <w:r>
        <w:rPr>
          <w:rFonts w:hint="eastAsia"/>
        </w:rPr>
        <w:t>总结和建议 Summary and</w:t>
      </w:r>
      <w:r>
        <w:t xml:space="preserve"> recommendations</w:t>
      </w:r>
      <w:bookmarkEnd w:id="81"/>
    </w:p>
    <w:p>
      <w:pPr>
        <w:pStyle w:val="4"/>
      </w:pPr>
      <w:bookmarkStart w:id="82" w:name="_Toc22313"/>
      <w:r>
        <w:rPr>
          <w:rFonts w:hint="eastAsia"/>
        </w:rPr>
        <w:t xml:space="preserve">分析结果的总结与解释 </w:t>
      </w:r>
      <w:r>
        <w:t>Summary and interpretation of the result</w:t>
      </w:r>
      <w:bookmarkEnd w:id="82"/>
    </w:p>
    <w:p>
      <w:pPr>
        <w:pStyle w:val="5"/>
        <w:numPr>
          <w:ilvl w:val="0"/>
          <w:numId w:val="6"/>
        </w:numPr>
        <w:rPr>
          <w:rFonts w:hint="eastAsia"/>
        </w:rPr>
      </w:pPr>
      <w:bookmarkStart w:id="83" w:name="_Toc17546"/>
      <w:r>
        <w:rPr>
          <w:rFonts w:hint="eastAsia"/>
        </w:rPr>
        <w:t>完整性说明</w:t>
      </w:r>
      <w:bookmarkEnd w:id="83"/>
    </w:p>
    <w:p>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pPr>
        <w:pStyle w:val="5"/>
        <w:numPr>
          <w:ilvl w:val="0"/>
          <w:numId w:val="6"/>
        </w:numPr>
        <w:rPr>
          <w:rFonts w:hint="eastAsia"/>
        </w:rPr>
      </w:pPr>
      <w:bookmarkStart w:id="84" w:name="_Toc6781"/>
      <w:r>
        <w:t>数据质量评估</w:t>
      </w:r>
      <w:bookmarkEnd w:id="84"/>
    </w:p>
    <w:p>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pPr>
        <w:pStyle w:val="3"/>
        <w:ind w:firstLine="420"/>
        <w:rPr>
          <w:lang w:val="en-US"/>
        </w:rPr>
      </w:pPr>
      <w:r>
        <w:rPr>
          <w:rFonts w:hint="eastAsia"/>
          <w:lang w:val="en-US"/>
        </w:rPr>
        <w:t>建筑建造、拆除阶段按比例或公式法进行的估算。</w:t>
      </w:r>
    </w:p>
    <w:p>
      <w:pPr>
        <w:pStyle w:val="4"/>
      </w:pPr>
      <w:bookmarkStart w:id="85" w:name="_Toc3084"/>
      <w:r>
        <w:rPr>
          <w:rFonts w:hint="eastAsia"/>
        </w:rPr>
        <w:t xml:space="preserve">结果应用 </w:t>
      </w:r>
      <w:r>
        <w:t>Application of the LCA analysis</w:t>
      </w:r>
      <w:bookmarkEnd w:id="85"/>
    </w:p>
    <w:p>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pPr>
        <w:pStyle w:val="4"/>
      </w:pPr>
      <w:bookmarkStart w:id="86" w:name="_Toc13333"/>
      <w:r>
        <w:rPr>
          <w:rFonts w:hint="eastAsia"/>
        </w:rPr>
        <w:t>改进建议</w:t>
      </w:r>
      <w:bookmarkEnd w:id="86"/>
    </w:p>
    <w:p>
      <w:pPr>
        <w:ind w:firstLine="420"/>
        <w:rPr>
          <w:color w:val="000000"/>
        </w:rPr>
      </w:pPr>
      <w:r>
        <w:rPr>
          <w:color w:val="000000"/>
        </w:rPr>
        <w:t>基于碳排放计算过程的分析</w:t>
      </w:r>
      <w:r>
        <w:rPr>
          <w:rFonts w:hint="eastAsia"/>
          <w:color w:val="000000"/>
        </w:rPr>
        <w:t>，</w:t>
      </w:r>
      <w:r>
        <w:rPr>
          <w:color w:val="000000"/>
        </w:rPr>
        <w:t>减低全生命周期建筑碳排放的具体措施</w:t>
      </w:r>
      <w:r>
        <w:rPr>
          <w:rFonts w:hint="eastAsia"/>
          <w:color w:val="000000"/>
        </w:rPr>
        <w:t>：</w:t>
      </w:r>
    </w:p>
    <w:p>
      <w:pPr>
        <w:ind w:left="420"/>
        <w:rPr>
          <w:color w:val="BFBFBF" w:themeColor="background1" w:themeShade="BF"/>
        </w:rPr>
      </w:pPr>
      <w:r>
        <w:rPr>
          <w:rFonts w:hint="eastAsia"/>
          <w:color w:val="BFBFBF" w:themeColor="background1" w:themeShade="BF"/>
        </w:rPr>
        <w:t>1. 绿色建筑设计</w:t>
      </w:r>
    </w:p>
    <w:p>
      <w:pPr>
        <w:ind w:left="420"/>
        <w:rPr>
          <w:color w:val="BFBFBF" w:themeColor="background1" w:themeShade="BF"/>
        </w:rPr>
      </w:pPr>
      <w:r>
        <w:rPr>
          <w:rFonts w:hint="eastAsia"/>
          <w:color w:val="BFBFBF" w:themeColor="background1" w:themeShade="BF"/>
        </w:rPr>
        <w:t>被动式设计：利用合理的建筑朝向、自然通风系统和日照利用，减少对机械通风和人工照明的依赖。</w:t>
      </w:r>
    </w:p>
    <w:p>
      <w:pPr>
        <w:ind w:left="420"/>
        <w:rPr>
          <w:color w:val="BFBFBF" w:themeColor="background1" w:themeShade="BF"/>
        </w:rPr>
      </w:pPr>
      <w:r>
        <w:rPr>
          <w:rFonts w:hint="eastAsia"/>
          <w:color w:val="BFBFBF" w:themeColor="background1" w:themeShade="BF"/>
        </w:rPr>
        <w:t>建筑形体宜规整紧凑，应无大量装饰性构件。</w:t>
      </w:r>
    </w:p>
    <w:p>
      <w:pPr>
        <w:ind w:left="420"/>
        <w:rPr>
          <w:color w:val="BFBFBF" w:themeColor="background1" w:themeShade="BF"/>
        </w:rPr>
      </w:pPr>
      <w:r>
        <w:rPr>
          <w:rFonts w:hint="eastAsia"/>
          <w:color w:val="BFBFBF" w:themeColor="background1" w:themeShade="BF"/>
        </w:rPr>
        <w:t>2.节材与高效绿色建材</w:t>
      </w:r>
    </w:p>
    <w:p>
      <w:pPr>
        <w:ind w:left="420"/>
        <w:rPr>
          <w:color w:val="BFBFBF" w:themeColor="background1" w:themeShade="BF"/>
        </w:rPr>
      </w:pPr>
      <w:r>
        <w:rPr>
          <w:rFonts w:hint="eastAsia"/>
          <w:color w:val="BFBFBF" w:themeColor="background1" w:themeShade="BF"/>
        </w:rPr>
        <w:t>高效能建筑材料：使用具有高热阻、高保温性能的材料，如高效能的隔热材料和双层中空玻璃，以减少建筑物的冷热损失，降低能源消耗。</w:t>
      </w:r>
    </w:p>
    <w:p>
      <w:pPr>
        <w:ind w:left="420"/>
        <w:rPr>
          <w:color w:val="BFBFBF" w:themeColor="background1" w:themeShade="BF"/>
        </w:rPr>
      </w:pPr>
      <w:r>
        <w:rPr>
          <w:rFonts w:hint="eastAsia"/>
          <w:color w:val="BFBFBF" w:themeColor="background1" w:themeShade="BF"/>
        </w:rPr>
        <w:t>环境友好型材料：选择在生产、使用和废弃过程中对环境影响较小的建筑材料，如再生材料、低VOC（挥发性有机化合物）材料等。</w:t>
      </w:r>
    </w:p>
    <w:p>
      <w:pPr>
        <w:ind w:left="420"/>
        <w:rPr>
          <w:color w:val="BFBFBF" w:themeColor="background1" w:themeShade="BF"/>
        </w:rPr>
      </w:pPr>
      <w:r>
        <w:rPr>
          <w:rFonts w:hint="eastAsia"/>
          <w:color w:val="BFBFBF" w:themeColor="background1" w:themeShade="BF"/>
        </w:rPr>
        <w:t>本地建材：优先采购本地材料，减少建材运输碳排。</w:t>
      </w:r>
    </w:p>
    <w:p>
      <w:pPr>
        <w:ind w:left="420"/>
        <w:rPr>
          <w:color w:val="BFBFBF" w:themeColor="background1" w:themeShade="BF"/>
          <w:lang w:val="en-US"/>
        </w:rPr>
      </w:pPr>
      <w:r>
        <w:rPr>
          <w:rFonts w:hint="eastAsia"/>
          <w:color w:val="BFBFBF" w:themeColor="background1" w:themeShade="BF"/>
        </w:rPr>
        <w:t>耐久性材料：采用高耐久性混凝土、耐候型防腐涂料等高耐久性建筑结构材料。</w:t>
      </w:r>
    </w:p>
    <w:p>
      <w:pPr>
        <w:ind w:left="420"/>
        <w:rPr>
          <w:color w:val="BFBFBF" w:themeColor="background1" w:themeShade="BF"/>
        </w:rPr>
      </w:pPr>
      <w:r>
        <w:rPr>
          <w:rFonts w:hint="eastAsia"/>
          <w:color w:val="BFBFBF" w:themeColor="background1" w:themeShade="BF"/>
        </w:rPr>
        <w:t>装配式构件：采用工业化内装部品进行室内装配式装修。</w:t>
      </w:r>
    </w:p>
    <w:p>
      <w:pPr>
        <w:ind w:left="420"/>
        <w:rPr>
          <w:color w:val="BFBFBF" w:themeColor="background1" w:themeShade="BF"/>
        </w:rPr>
      </w:pPr>
      <w:r>
        <w:rPr>
          <w:rFonts w:hint="eastAsia"/>
          <w:color w:val="BFBFBF" w:themeColor="background1" w:themeShade="BF"/>
        </w:rPr>
        <w:t>一体化设计及施工：土建工程与装修工程一体化设计及施工，</w:t>
      </w:r>
      <w:r>
        <w:rPr>
          <w:color w:val="BFBFBF" w:themeColor="background1" w:themeShade="BF"/>
        </w:rPr>
        <w:t>减少材料消耗</w:t>
      </w:r>
      <w:r>
        <w:rPr>
          <w:rFonts w:hint="eastAsia"/>
          <w:color w:val="BFBFBF" w:themeColor="background1" w:themeShade="BF"/>
        </w:rPr>
        <w:t>。</w:t>
      </w:r>
    </w:p>
    <w:p>
      <w:pPr>
        <w:ind w:left="420"/>
        <w:rPr>
          <w:color w:val="BFBFBF" w:themeColor="background1" w:themeShade="BF"/>
        </w:rPr>
      </w:pPr>
      <w:r>
        <w:rPr>
          <w:rFonts w:hint="eastAsia"/>
          <w:color w:val="BFBFBF" w:themeColor="background1" w:themeShade="BF"/>
        </w:rPr>
        <w:t>3. 能源效率提升</w:t>
      </w:r>
    </w:p>
    <w:p>
      <w:pPr>
        <w:ind w:left="420"/>
        <w:rPr>
          <w:color w:val="BFBFBF" w:themeColor="background1" w:themeShade="BF"/>
        </w:rPr>
      </w:pPr>
      <w:r>
        <w:rPr>
          <w:rFonts w:hint="eastAsia"/>
          <w:color w:val="BFBFBF" w:themeColor="background1" w:themeShade="BF"/>
        </w:rPr>
        <w:t>供暖空调系统：采用先进的HVAC系统，通过智能控制和优化运行策略，提高能源利用效率。</w:t>
      </w:r>
    </w:p>
    <w:p>
      <w:pPr>
        <w:ind w:left="420"/>
        <w:rPr>
          <w:color w:val="BFBFBF" w:themeColor="background1" w:themeShade="BF"/>
          <w:lang w:val="en-US"/>
        </w:rPr>
      </w:pPr>
      <w:r>
        <w:rPr>
          <w:rFonts w:hint="eastAsia"/>
          <w:color w:val="BFBFBF" w:themeColor="background1" w:themeShade="BF"/>
        </w:rPr>
        <w:t>照明及控制策略：采用节能性电气设备及节能控制措施，其中可利用天然光的区域宜随天然光照度变化自动调节照度；门厅、大堂、电梯厅等公区范围宜采用夜间定时降低照度的自动控制装置；公共建筑楼梯间、走道等场所可按使用需求自动开关灯或调光。</w:t>
      </w:r>
    </w:p>
    <w:p>
      <w:pPr>
        <w:ind w:left="420"/>
        <w:rPr>
          <w:color w:val="BFBFBF" w:themeColor="background1" w:themeShade="BF"/>
          <w:lang w:val="en-US"/>
        </w:rPr>
      </w:pPr>
      <w:r>
        <w:rPr>
          <w:rFonts w:hint="eastAsia"/>
          <w:color w:val="BFBFBF" w:themeColor="background1" w:themeShade="BF"/>
          <w:lang w:val="en-US"/>
        </w:rPr>
        <w:t>节能电梯：垂直电梯应采用群控、变频调速或能量反馈等节能措施，自动扶梯应采用变频感应启动等节能措施。</w:t>
      </w:r>
    </w:p>
    <w:p>
      <w:pPr>
        <w:ind w:left="420"/>
        <w:rPr>
          <w:color w:val="BFBFBF" w:themeColor="background1" w:themeShade="BF"/>
          <w:lang w:val="en-US"/>
        </w:rPr>
      </w:pPr>
      <w:r>
        <w:rPr>
          <w:rFonts w:hint="eastAsia"/>
          <w:color w:val="BFBFBF" w:themeColor="background1" w:themeShade="BF"/>
          <w:lang w:val="en-US"/>
        </w:rPr>
        <w:t>遮阳设施：设置可调节的内外遮阳设施，包括活动机翼可调节遮阳、织物卷帘可调节外遮阳、金属卷帘外遮阳、中置百叶遮阳。</w:t>
      </w:r>
    </w:p>
    <w:p>
      <w:pPr>
        <w:ind w:left="420"/>
        <w:rPr>
          <w:color w:val="BFBFBF" w:themeColor="background1" w:themeShade="BF"/>
        </w:rPr>
      </w:pPr>
      <w:r>
        <w:rPr>
          <w:rFonts w:hint="eastAsia"/>
          <w:color w:val="BFBFBF" w:themeColor="background1" w:themeShade="BF"/>
        </w:rPr>
        <w:t>4. 可再生能源的利用</w:t>
      </w:r>
    </w:p>
    <w:p>
      <w:pPr>
        <w:ind w:left="420"/>
        <w:rPr>
          <w:color w:val="BFBFBF" w:themeColor="background1" w:themeShade="BF"/>
        </w:rPr>
      </w:pPr>
      <w:r>
        <w:rPr>
          <w:rFonts w:hint="eastAsia"/>
          <w:color w:val="BFBFBF" w:themeColor="background1" w:themeShade="BF"/>
        </w:rPr>
        <w:t>太阳能：在建筑设计中集成太阳能光伏板，将太阳能转化为电能供建筑使用，减少对电网的依赖。</w:t>
      </w:r>
    </w:p>
    <w:p>
      <w:pPr>
        <w:ind w:left="420"/>
        <w:rPr>
          <w:color w:val="BFBFBF" w:themeColor="background1" w:themeShade="BF"/>
        </w:rPr>
      </w:pPr>
      <w:r>
        <w:rPr>
          <w:rFonts w:hint="eastAsia"/>
          <w:color w:val="BFBFBF" w:themeColor="background1" w:themeShade="BF"/>
        </w:rPr>
        <w:t>风能和地热能：在条件允许的情况下，利用风能和地热能等可再生能源，为建筑提供供暖、制冷等能源需求。</w:t>
      </w:r>
    </w:p>
    <w:p>
      <w:pPr>
        <w:ind w:left="420"/>
        <w:rPr>
          <w:color w:val="BFBFBF" w:themeColor="background1" w:themeShade="BF"/>
        </w:rPr>
      </w:pPr>
      <w:r>
        <w:rPr>
          <w:rFonts w:hint="eastAsia"/>
          <w:color w:val="BFBFBF" w:themeColor="background1" w:themeShade="BF"/>
        </w:rPr>
        <w:t>5. 节水措施</w:t>
      </w:r>
    </w:p>
    <w:p>
      <w:pPr>
        <w:ind w:left="420"/>
        <w:rPr>
          <w:color w:val="BFBFBF" w:themeColor="background1" w:themeShade="BF"/>
        </w:rPr>
      </w:pPr>
      <w:r>
        <w:rPr>
          <w:rFonts w:hint="eastAsia"/>
          <w:color w:val="BFBFBF" w:themeColor="background1" w:themeShade="BF"/>
        </w:rPr>
        <w:t>节水装置：使用水效率等级为2级或更高的卫生器具，减少用水量。</w:t>
      </w:r>
    </w:p>
    <w:p>
      <w:pPr>
        <w:ind w:left="420"/>
        <w:rPr>
          <w:color w:val="BFBFBF" w:themeColor="background1" w:themeShade="BF"/>
          <w:lang w:val="en-US"/>
        </w:rPr>
      </w:pPr>
      <w:r>
        <w:rPr>
          <w:rFonts w:hint="eastAsia"/>
          <w:color w:val="BFBFBF" w:themeColor="background1" w:themeShade="BF"/>
        </w:rPr>
        <w:t>用水计量：使用用水远传计量系统，按功能增设分级水表进行分项计量。</w:t>
      </w:r>
    </w:p>
    <w:p>
      <w:pPr>
        <w:ind w:left="420"/>
        <w:rPr>
          <w:color w:val="BFBFBF" w:themeColor="background1" w:themeShade="BF"/>
        </w:rPr>
      </w:pPr>
      <w:r>
        <w:rPr>
          <w:rFonts w:hint="eastAsia"/>
          <w:color w:val="BFBFBF" w:themeColor="background1" w:themeShade="BF"/>
        </w:rPr>
        <w:t>绿化灌溉：采用微喷灌等节水灌溉方式，并增设土壤湿度感应器。或种植无需永久灌溉植物。</w:t>
      </w:r>
    </w:p>
    <w:p>
      <w:pPr>
        <w:ind w:left="420"/>
        <w:rPr>
          <w:color w:val="BFBFBF" w:themeColor="background1" w:themeShade="BF"/>
        </w:rPr>
      </w:pPr>
      <w:r>
        <w:rPr>
          <w:rFonts w:hint="eastAsia"/>
          <w:color w:val="BFBFBF" w:themeColor="background1" w:themeShade="BF"/>
        </w:rPr>
        <w:t>非传统水源利用：收集并利用中水、雨水等非传统水源，将其用于绿化灌溉、车库及道路冲洗、冲厕、冷却水补水、景观水景补水等。</w:t>
      </w:r>
    </w:p>
    <w:p>
      <w:pPr>
        <w:ind w:left="420"/>
        <w:rPr>
          <w:color w:val="BFBFBF" w:themeColor="background1" w:themeShade="BF"/>
        </w:rPr>
      </w:pPr>
      <w:r>
        <w:rPr>
          <w:rFonts w:hint="eastAsia"/>
          <w:color w:val="BFBFBF" w:themeColor="background1" w:themeShade="BF"/>
        </w:rPr>
        <w:t>6. 建筑信息模型（BIM）技术</w:t>
      </w:r>
    </w:p>
    <w:p>
      <w:pPr>
        <w:ind w:left="420"/>
        <w:rPr>
          <w:color w:val="BFBFBF" w:themeColor="background1" w:themeShade="BF"/>
        </w:rPr>
      </w:pPr>
      <w:r>
        <w:rPr>
          <w:rFonts w:hint="eastAsia"/>
          <w:color w:val="BFBFBF" w:themeColor="background1" w:themeShade="BF"/>
        </w:rPr>
        <w:t>精准规划和管理：通过BIM技术，在建筑全生命周期中进行更精确的规划和管理，优化设计以减少能源消耗。</w:t>
      </w:r>
    </w:p>
    <w:p>
      <w:pPr>
        <w:ind w:left="420"/>
        <w:rPr>
          <w:color w:val="BFBFBF" w:themeColor="background1" w:themeShade="BF"/>
        </w:rPr>
      </w:pPr>
      <w:r>
        <w:rPr>
          <w:rFonts w:hint="eastAsia"/>
          <w:color w:val="BFBFBF" w:themeColor="background1" w:themeShade="BF"/>
        </w:rPr>
        <w:t>7. 施工过程的优化</w:t>
      </w:r>
    </w:p>
    <w:p>
      <w:pPr>
        <w:ind w:left="420"/>
        <w:rPr>
          <w:color w:val="BFBFBF" w:themeColor="background1" w:themeShade="BF"/>
        </w:rPr>
      </w:pPr>
      <w:r>
        <w:rPr>
          <w:rFonts w:hint="eastAsia"/>
          <w:color w:val="BFBFBF" w:themeColor="background1" w:themeShade="BF"/>
        </w:rPr>
        <w:t>低碳施工：采用低碳技术和方法，如使用电动施工设备代替柴油机械、优化物料运输和减少现场废料等，降低施工阶段的碳足迹。</w:t>
      </w:r>
    </w:p>
    <w:p>
      <w:pPr>
        <w:ind w:left="420"/>
        <w:rPr>
          <w:color w:val="BFBFBF" w:themeColor="background1" w:themeShade="BF"/>
        </w:rPr>
      </w:pPr>
      <w:r>
        <w:rPr>
          <w:rFonts w:hint="eastAsia"/>
          <w:color w:val="BFBFBF" w:themeColor="background1" w:themeShade="BF"/>
        </w:rPr>
        <w:t>8. 绿化碳汇</w:t>
      </w:r>
    </w:p>
    <w:p>
      <w:pPr>
        <w:ind w:left="420"/>
        <w:rPr>
          <w:color w:val="BFBFBF" w:themeColor="background1" w:themeShade="BF"/>
        </w:rPr>
      </w:pPr>
      <w:r>
        <w:rPr>
          <w:rFonts w:hint="eastAsia"/>
          <w:color w:val="BFBFBF" w:themeColor="background1" w:themeShade="BF"/>
        </w:rPr>
        <w:t>绿色屋顶：在屋顶种植植被，不仅可以美化环境，还能提供隔热效果，减少建筑物的冷暖需求，从而节约能源并减少碳排放。</w:t>
      </w:r>
    </w:p>
    <w:p>
      <w:pPr>
        <w:ind w:left="420"/>
        <w:rPr>
          <w:color w:val="BFBFBF" w:themeColor="background1" w:themeShade="BF"/>
        </w:rPr>
      </w:pPr>
      <w:r>
        <w:rPr>
          <w:rFonts w:hint="eastAsia"/>
          <w:color w:val="BFBFBF" w:themeColor="background1" w:themeShade="BF"/>
        </w:rPr>
        <w:t>绿色墙体：通过垂直绿化等方式，改善建筑外观，同时提供一定的隔热效果。</w:t>
      </w:r>
    </w:p>
    <w:p>
      <w:pPr>
        <w:ind w:left="420"/>
        <w:rPr>
          <w:color w:val="BFBFBF" w:themeColor="background1" w:themeShade="BF"/>
        </w:rPr>
      </w:pPr>
      <w:r>
        <w:rPr>
          <w:rFonts w:hint="eastAsia"/>
          <w:color w:val="BFBFBF" w:themeColor="background1" w:themeShade="BF"/>
        </w:rPr>
        <w:t>9. 建筑运营和维护</w:t>
      </w:r>
    </w:p>
    <w:p>
      <w:pPr>
        <w:ind w:left="420"/>
        <w:rPr>
          <w:color w:val="BFBFBF" w:themeColor="background1" w:themeShade="BF"/>
        </w:rPr>
      </w:pPr>
      <w:r>
        <w:rPr>
          <w:rFonts w:hint="eastAsia"/>
          <w:color w:val="BFBFBF" w:themeColor="background1" w:themeShade="BF"/>
        </w:rPr>
        <w:t>智慧运行：设置能源管理系统实现对建筑能耗的检测、数据分析和管理。</w:t>
      </w:r>
    </w:p>
    <w:p>
      <w:pPr>
        <w:ind w:left="420"/>
        <w:rPr>
          <w:color w:val="BFBFBF" w:themeColor="background1" w:themeShade="BF"/>
        </w:rPr>
      </w:pPr>
      <w:r>
        <w:rPr>
          <w:rFonts w:hint="eastAsia"/>
          <w:color w:val="BFBFBF" w:themeColor="background1" w:themeShade="BF"/>
        </w:rPr>
        <w:t>定期维护：定期维护和升级建筑系统，确保其高效运行。</w:t>
      </w:r>
    </w:p>
    <w:p>
      <w:pPr>
        <w:ind w:left="420"/>
        <w:rPr>
          <w:color w:val="BFBFBF" w:themeColor="background1" w:themeShade="BF"/>
        </w:rPr>
      </w:pPr>
      <w:r>
        <w:rPr>
          <w:rFonts w:hint="eastAsia"/>
          <w:color w:val="BFBFBF" w:themeColor="background1" w:themeShade="BF"/>
        </w:rPr>
        <w:t>10. 拆除和废物管理</w:t>
      </w:r>
    </w:p>
    <w:p>
      <w:pPr>
        <w:ind w:left="420"/>
        <w:rPr>
          <w:color w:val="BFBFBF" w:themeColor="background1" w:themeShade="BF"/>
        </w:rPr>
      </w:pPr>
      <w:r>
        <w:rPr>
          <w:rFonts w:hint="eastAsia"/>
          <w:color w:val="BFBFBF" w:themeColor="background1" w:themeShade="BF"/>
        </w:rPr>
        <w:t>废旧材料回收：在建筑物拆除时，合理处理废旧材料，通过回收和再利用减少新建材生产过程中的能源消耗和排放。</w:t>
      </w:r>
    </w:p>
    <w:p>
      <w:pPr>
        <w:ind w:left="420"/>
        <w:rPr>
          <w:color w:val="BFBFBF" w:themeColor="background1" w:themeShade="BF"/>
        </w:rPr>
      </w:pPr>
      <w:r>
        <w:rPr>
          <w:rFonts w:hint="eastAsia"/>
          <w:color w:val="BFBFBF" w:themeColor="background1" w:themeShade="BF"/>
        </w:rPr>
        <w:t>综上所述，建筑设计角度降低碳排放强度的技术措施涵盖了从设计、施工、运营到拆除的整个建筑生命周期。通过综合运用这些技术措施，可以显著降低建筑的碳排放强度，为实现全球可持续发展目标做出贡献。</w:t>
      </w:r>
    </w:p>
    <w:p>
      <w:pPr>
        <w:pStyle w:val="2"/>
      </w:pPr>
      <w:bookmarkStart w:id="87" w:name="_Toc267"/>
      <w:r>
        <w:rPr>
          <w:rFonts w:hint="eastAsia"/>
        </w:rPr>
        <w:t>附录</w:t>
      </w:r>
      <w:bookmarkEnd w:id="87"/>
    </w:p>
    <w:p>
      <w:pPr>
        <w:rPr>
          <w:lang w:val="en-US"/>
        </w:rPr>
      </w:pPr>
    </w:p>
    <w:p>
      <w:pPr>
        <w:pStyle w:val="4"/>
        <w:rPr>
          <w:lang w:val="en-US"/>
        </w:rPr>
      </w:pPr>
      <w:bookmarkStart w:id="88" w:name="_Toc22887"/>
      <w:r>
        <w:rPr>
          <w:lang w:val="en-US"/>
        </w:rPr>
        <w:t>围护结构概况</w:t>
      </w:r>
      <w:bookmarkEnd w:id="88"/>
    </w:p>
    <w:p/>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bookmarkEnd w:id="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2"/>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0.41</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5.28</w:t>
            </w:r>
            <w:bookmarkEnd w:id="5"/>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bookmarkEnd w:id="6"/>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bookmarkEnd w:id="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1.16</w:t>
            </w:r>
            <w:bookmarkEnd w:id="8"/>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2.95</w:t>
            </w:r>
            <w:bookmarkEnd w:id="9"/>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bookmarkEnd w:id="10"/>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1.18</w:t>
            </w:r>
            <w:bookmarkEnd w:id="12"/>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2.15</w:t>
            </w:r>
            <w:bookmarkEnd w:id="13"/>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bookmarkEnd w:id="14"/>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bookmarkEnd w:id="16"/>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w:t>
            </w:r>
            <w:bookmarkEnd w:id="17"/>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bookmarkEnd w:id="18"/>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bookmarkEnd w:id="20"/>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0.34</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0.21</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0.07</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0.24</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0.24</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0.21</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rPr>
          <w:lang w:val="en-US"/>
        </w:rPr>
      </w:pPr>
    </w:p>
    <w:p>
      <w:pPr>
        <w:pStyle w:val="4"/>
        <w:rPr>
          <w:lang w:val="en-US"/>
        </w:rPr>
      </w:pPr>
      <w:bookmarkStart w:id="89" w:name="_Toc10060"/>
      <w:r>
        <w:rPr>
          <w:lang w:val="en-US"/>
        </w:rPr>
        <w:t>房间类型</w:t>
      </w:r>
      <w:bookmarkEnd w:id="89"/>
    </w:p>
    <w:p>
      <w:pPr>
        <w:pStyle w:val="5"/>
        <w:rPr>
          <w:lang w:val="en-US"/>
        </w:rPr>
      </w:pPr>
      <w:bookmarkStart w:id="90" w:name="_Toc15013"/>
      <w:r>
        <w:rPr>
          <w:lang w:val="en-US"/>
        </w:rPr>
        <w:t>房间参数表</w:t>
      </w:r>
      <w:bookmarkEnd w:id="90"/>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3.3(㎡/人)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党建活动室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准备室（丁类，无爆炸危险）</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化学实验室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女卫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开放共享空间</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弱电</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强电</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教师办公室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教师女卫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教师男卫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教研活动室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无障碍楼梯</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0(W/㎡)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无障碍电梯担架电梯</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普通教室</w:t>
            </w:r>
          </w:p>
        </w:tc>
        <w:tc>
          <w:tcPr>
            <w:vAlign w:val="center"/>
          </w:tcPr>
          <w:p>
            <w:pPr>
              <w:jc w:val="center"/>
            </w:pPr>
            <w:r>
              <w:t>26</w:t>
            </w:r>
          </w:p>
        </w:tc>
        <w:tc>
          <w:tcPr>
            <w:vAlign w:val="center"/>
          </w:tcPr>
          <w:p>
            <w:pPr>
              <w:jc w:val="center"/>
            </w:pPr>
            <w:r>
              <w:t>18</w:t>
            </w:r>
          </w:p>
        </w:tc>
        <w:tc>
          <w:tcPr>
            <w:vAlign w:val="center"/>
          </w:tcPr>
          <w:p>
            <w:pPr>
              <w:jc w:val="center"/>
            </w:pPr>
            <w:r>
              <w:t>24(m</w:t>
            </w:r>
            <w:r>
              <w:rPr>
                <w:vertAlign w:val="superscript"/>
              </w:rPr>
              <w:t>3</w:t>
            </w:r>
            <w:r>
              <w:t>/h.人)</w:t>
            </w:r>
          </w:p>
        </w:tc>
        <w:tc>
          <w:tcPr>
            <w:vAlign w:val="center"/>
          </w:tcPr>
          <w:p>
            <w:pPr>
              <w:jc w:val="center"/>
            </w:pPr>
            <w:r>
              <w:t>0(次/h)</w:t>
            </w:r>
          </w:p>
        </w:tc>
        <w:tc>
          <w:tcPr>
            <w:vAlign w:val="center"/>
          </w:tcPr>
          <w:p>
            <w:pPr>
              <w:jc w:val="center"/>
            </w:pPr>
            <w:r>
              <w:t>1.39(㎡/人)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残卫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水井</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物理实验室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生物实验室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男卫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盥洗室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美术教室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13.5(W/㎡)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计算机教室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设备平台</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风井</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3(W/㎡)</w:t>
            </w:r>
          </w:p>
        </w:tc>
        <w:tc>
          <w:tcPr>
            <w:vAlign w:val="center"/>
          </w:tcPr>
          <w:p>
            <w:pPr>
              <w:jc w:val="center"/>
            </w:pPr>
            <w:r>
              <w:t>5(W/㎡)</w:t>
            </w:r>
          </w:p>
        </w:tc>
      </w:tr>
    </w:tbl>
    <w:p>
      <w:pPr>
        <w:pStyle w:val="5"/>
        <w:rPr>
          <w:lang w:val="en-US"/>
        </w:rPr>
      </w:pPr>
      <w:bookmarkStart w:id="91" w:name="_Toc17327"/>
      <w:r>
        <w:rPr>
          <w:lang w:val="en-US"/>
        </w:rPr>
        <w:t>作息时间表</w:t>
      </w:r>
      <w:bookmarkEnd w:id="91"/>
    </w:p>
    <w:p>
      <w:pPr>
        <w:rPr>
          <w:lang w:val="en-US"/>
        </w:rPr>
      </w:pPr>
      <w:r>
        <w:rPr>
          <w:lang w:val="en-US"/>
        </w:rPr>
        <w:t>详见最后的时间表</w:t>
      </w:r>
    </w:p>
    <w:p>
      <w:pPr>
        <w:pStyle w:val="4"/>
        <w:rPr>
          <w:lang w:val="en-US"/>
        </w:rPr>
      </w:pPr>
      <w:bookmarkStart w:id="92" w:name="_Toc28864"/>
      <w:r>
        <w:rPr>
          <w:lang w:val="en-US"/>
        </w:rPr>
        <w:t>系统类型</w:t>
      </w:r>
      <w:bookmarkEnd w:id="92"/>
    </w:p>
    <w:p>
      <w:pPr>
        <w:pStyle w:val="5"/>
        <w:rPr>
          <w:lang w:val="en-US"/>
        </w:rPr>
      </w:pPr>
      <w:bookmarkStart w:id="93" w:name="_Toc7343"/>
      <w:r>
        <w:rPr>
          <w:lang w:val="en-US"/>
        </w:rPr>
        <w:t>系统分区</w:t>
      </w:r>
      <w:bookmarkEnd w:id="9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单元式空调</w:t>
            </w:r>
          </w:p>
        </w:tc>
        <w:tc>
          <w:tcPr>
            <w:vAlign w:val="center"/>
          </w:tcPr>
          <w:p>
            <w:r>
              <w:t>9505.74</w:t>
            </w:r>
          </w:p>
        </w:tc>
        <w:tc>
          <w:tcPr>
            <w:vAlign w:val="center"/>
          </w:tcPr>
          <w:p>
            <w:r>
              <w:t>所有房间</w:t>
            </w:r>
          </w:p>
        </w:tc>
      </w:tr>
    </w:tbl>
    <w:p>
      <w:pPr>
        <w:pStyle w:val="5"/>
        <w:rPr>
          <w:lang w:val="en-US"/>
        </w:rPr>
      </w:pPr>
      <w:bookmarkStart w:id="94" w:name="_Toc7274"/>
      <w:r>
        <w:rPr>
          <w:lang w:val="en-US"/>
        </w:rPr>
        <w:t>热回收参数</w:t>
      </w:r>
      <w:bookmarkEnd w:id="94"/>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显热回收</w:t>
            </w:r>
          </w:p>
        </w:tc>
        <w:tc>
          <w:tcPr>
            <w:vAlign w:val="center"/>
          </w:tcPr>
          <w:p>
            <w:r>
              <w:t>60</w:t>
            </w:r>
          </w:p>
        </w:tc>
        <w:tc>
          <w:tcPr>
            <w:vAlign w:val="center"/>
          </w:tcPr>
          <w:p>
            <w:r>
              <w:t>5℃</w:t>
            </w:r>
          </w:p>
        </w:tc>
        <w:tc>
          <w:tcPr>
            <w:vAlign w:val="center"/>
          </w:tcPr>
          <w:p>
            <w:r>
              <w:t>－</w:t>
            </w:r>
          </w:p>
        </w:tc>
        <w:tc>
          <w:tcPr>
            <w:vAlign w:val="center"/>
          </w:tcPr>
          <w:p>
            <w:r>
              <w:t>－</w:t>
            </w:r>
          </w:p>
        </w:tc>
      </w:tr>
    </w:tbl>
    <w:p>
      <w:pPr>
        <w:pStyle w:val="4"/>
        <w:rPr>
          <w:lang w:val="en-US"/>
        </w:rPr>
      </w:pPr>
      <w:bookmarkStart w:id="95" w:name="_Toc31697"/>
      <w:r>
        <w:rPr>
          <w:lang w:val="en-US"/>
        </w:rPr>
        <w:t>制冷系统</w:t>
      </w:r>
      <w:bookmarkEnd w:id="95"/>
    </w:p>
    <w:p>
      <w:pPr>
        <w:pStyle w:val="5"/>
        <w:rPr>
          <w:lang w:val="en-US"/>
        </w:rPr>
      </w:pPr>
      <w:bookmarkStart w:id="96" w:name="_Toc17994"/>
      <w:r>
        <w:rPr>
          <w:lang w:val="en-US"/>
        </w:rPr>
        <w:t>多联机/单元式空调能耗</w:t>
      </w:r>
      <w:bookmarkEnd w:id="96"/>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耗冷量(kWh/a)</w:t>
            </w:r>
          </w:p>
        </w:tc>
        <w:tc>
          <w:tcPr>
            <w:shd w:val="clear" w:color="auto" w:fill="E6E6E6"/>
            <w:vAlign w:val="center"/>
          </w:tcPr>
          <w:p>
            <w:pPr>
              <w:jc w:val="center"/>
            </w:pPr>
            <w:r>
              <w:t>耗电量(kWh/a)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5.40</w:t>
            </w:r>
          </w:p>
        </w:tc>
        <w:tc>
          <w:tcPr>
            <w:vAlign w:val="center"/>
          </w:tcPr>
          <w:p>
            <w:r>
              <w:t>630793</w:t>
            </w:r>
          </w:p>
        </w:tc>
        <w:tc>
          <w:tcPr>
            <w:vAlign w:val="center"/>
          </w:tcPr>
          <w:p>
            <w:r>
              <w:t>116814</w:t>
            </w:r>
          </w:p>
        </w:tc>
        <w:tc>
          <w:tcPr>
            <w:vAlign w:val="center"/>
          </w:tcPr>
          <w:p>
            <w:r>
              <w:t>0.5703</w:t>
            </w:r>
          </w:p>
        </w:tc>
        <w:tc>
          <w:tcPr>
            <w:vAlign w:val="center"/>
          </w:tcPr>
          <w:p>
            <w:r>
              <w:t>66.619</w:t>
            </w:r>
          </w:p>
        </w:tc>
      </w:tr>
    </w:tbl>
    <w:p>
      <w:pPr>
        <w:pStyle w:val="4"/>
        <w:rPr>
          <w:lang w:val="en-US"/>
        </w:rPr>
      </w:pPr>
      <w:bookmarkStart w:id="97" w:name="_Toc24455"/>
      <w:r>
        <w:rPr>
          <w:lang w:val="en-US"/>
        </w:rPr>
        <w:t>空调风机</w:t>
      </w:r>
      <w:bookmarkEnd w:id="97"/>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1272</w:t>
            </w:r>
          </w:p>
        </w:tc>
        <w:tc>
          <w:tcPr>
            <w:vMerge w:val="restart"/>
            <w:vAlign w:val="center"/>
          </w:tcPr>
          <w:p>
            <w:r>
              <w:t>0.5703</w:t>
            </w:r>
          </w:p>
        </w:tc>
        <w:tc>
          <w:tcPr>
            <w:vAlign w:val="center"/>
          </w:tcPr>
          <w:p>
            <w:r>
              <w:t>0.725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0.725</w:t>
            </w:r>
          </w:p>
        </w:tc>
      </w:tr>
    </w:tbl>
    <w:p>
      <w:pPr>
        <w:pStyle w:val="4"/>
        <w:rPr>
          <w:lang w:val="en-US"/>
        </w:rPr>
      </w:pPr>
      <w:bookmarkStart w:id="98" w:name="_Toc20931"/>
      <w:r>
        <w:rPr>
          <w:lang w:val="en-US"/>
        </w:rPr>
        <w:t>照明</w:t>
      </w:r>
      <w:bookmarkEnd w:id="98"/>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教育-会议室</w:t>
            </w:r>
          </w:p>
        </w:tc>
        <w:tc>
          <w:tcPr>
            <w:vAlign w:val="center"/>
          </w:tcPr>
          <w:p>
            <w:r>
              <w:t>17.77</w:t>
            </w:r>
          </w:p>
        </w:tc>
        <w:tc>
          <w:tcPr>
            <w:vAlign w:val="center"/>
          </w:tcPr>
          <w:p>
            <w:r>
              <w:t>1</w:t>
            </w:r>
          </w:p>
        </w:tc>
        <w:tc>
          <w:tcPr>
            <w:vAlign w:val="center"/>
          </w:tcPr>
          <w:p>
            <w:r>
              <w:t>182</w:t>
            </w:r>
          </w:p>
        </w:tc>
        <w:tc>
          <w:tcPr>
            <w:vAlign w:val="center"/>
          </w:tcPr>
          <w:p>
            <w:r>
              <w:t>3230</w:t>
            </w:r>
          </w:p>
        </w:tc>
        <w:tc>
          <w:tcPr>
            <w:vMerge w:val="restart"/>
            <w:vAlign w:val="center"/>
          </w:tcPr>
          <w:p>
            <w:r>
              <w:t>0.5703</w:t>
            </w:r>
          </w:p>
        </w:tc>
        <w:tc>
          <w:tcPr>
            <w:vAlign w:val="center"/>
          </w:tcPr>
          <w:p>
            <w:r>
              <w:t>1.842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教育-党建活动室</w:t>
            </w:r>
          </w:p>
        </w:tc>
        <w:tc>
          <w:tcPr>
            <w:vAlign w:val="center"/>
          </w:tcPr>
          <w:p>
            <w:r>
              <w:t>13.32</w:t>
            </w:r>
          </w:p>
        </w:tc>
        <w:tc>
          <w:tcPr>
            <w:vAlign w:val="center"/>
          </w:tcPr>
          <w:p>
            <w:r>
              <w:t>1</w:t>
            </w:r>
          </w:p>
        </w:tc>
        <w:tc>
          <w:tcPr>
            <w:vAlign w:val="center"/>
          </w:tcPr>
          <w:p>
            <w:r>
              <w:t>104</w:t>
            </w:r>
          </w:p>
        </w:tc>
        <w:tc>
          <w:tcPr>
            <w:vAlign w:val="center"/>
          </w:tcPr>
          <w:p>
            <w:r>
              <w:t>1392</w:t>
            </w:r>
          </w:p>
        </w:tc>
        <w:tc>
          <w:tcPr>
            <w:vMerge w:val="continue"/>
            <w:vAlign w:val="center"/>
          </w:tcPr>
          <w:p/>
        </w:tc>
        <w:tc>
          <w:tcPr>
            <w:vAlign w:val="center"/>
          </w:tcPr>
          <w:p>
            <w:r>
              <w:t>0.794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教育-准备室（丁类，无爆炸危险）</w:t>
            </w:r>
          </w:p>
        </w:tc>
        <w:tc>
          <w:tcPr>
            <w:vAlign w:val="center"/>
          </w:tcPr>
          <w:p>
            <w:r>
              <w:t>13.32</w:t>
            </w:r>
          </w:p>
        </w:tc>
        <w:tc>
          <w:tcPr>
            <w:vAlign w:val="center"/>
          </w:tcPr>
          <w:p>
            <w:r>
              <w:t>10</w:t>
            </w:r>
          </w:p>
        </w:tc>
        <w:tc>
          <w:tcPr>
            <w:vAlign w:val="center"/>
          </w:tcPr>
          <w:p>
            <w:r>
              <w:t>335</w:t>
            </w:r>
          </w:p>
        </w:tc>
        <w:tc>
          <w:tcPr>
            <w:vAlign w:val="center"/>
          </w:tcPr>
          <w:p>
            <w:r>
              <w:t>4458</w:t>
            </w:r>
          </w:p>
        </w:tc>
        <w:tc>
          <w:tcPr>
            <w:vMerge w:val="continue"/>
            <w:vAlign w:val="center"/>
          </w:tcPr>
          <w:p/>
        </w:tc>
        <w:tc>
          <w:tcPr>
            <w:vAlign w:val="center"/>
          </w:tcPr>
          <w:p>
            <w:r>
              <w:t>2.542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教育-化学实验室</w:t>
            </w:r>
          </w:p>
        </w:tc>
        <w:tc>
          <w:tcPr>
            <w:vAlign w:val="center"/>
          </w:tcPr>
          <w:p>
            <w:r>
              <w:t>13.32</w:t>
            </w:r>
          </w:p>
        </w:tc>
        <w:tc>
          <w:tcPr>
            <w:vAlign w:val="center"/>
          </w:tcPr>
          <w:p>
            <w:r>
              <w:t>1</w:t>
            </w:r>
          </w:p>
        </w:tc>
        <w:tc>
          <w:tcPr>
            <w:vAlign w:val="center"/>
          </w:tcPr>
          <w:p>
            <w:r>
              <w:t>104</w:t>
            </w:r>
          </w:p>
        </w:tc>
        <w:tc>
          <w:tcPr>
            <w:vAlign w:val="center"/>
          </w:tcPr>
          <w:p>
            <w:r>
              <w:t>1388</w:t>
            </w:r>
          </w:p>
        </w:tc>
        <w:tc>
          <w:tcPr>
            <w:vMerge w:val="continue"/>
            <w:vAlign w:val="center"/>
          </w:tcPr>
          <w:p/>
        </w:tc>
        <w:tc>
          <w:tcPr>
            <w:vAlign w:val="center"/>
          </w:tcPr>
          <w:p>
            <w:r>
              <w:t>0.792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教育-女卫</w:t>
            </w:r>
          </w:p>
        </w:tc>
        <w:tc>
          <w:tcPr>
            <w:vAlign w:val="center"/>
          </w:tcPr>
          <w:p>
            <w:r>
              <w:t>8.88</w:t>
            </w:r>
          </w:p>
        </w:tc>
        <w:tc>
          <w:tcPr>
            <w:vAlign w:val="center"/>
          </w:tcPr>
          <w:p>
            <w:r>
              <w:t>15</w:t>
            </w:r>
          </w:p>
        </w:tc>
        <w:tc>
          <w:tcPr>
            <w:vAlign w:val="center"/>
          </w:tcPr>
          <w:p>
            <w:r>
              <w:t>320</w:t>
            </w:r>
          </w:p>
        </w:tc>
        <w:tc>
          <w:tcPr>
            <w:vAlign w:val="center"/>
          </w:tcPr>
          <w:p>
            <w:r>
              <w:t>2843</w:t>
            </w:r>
          </w:p>
        </w:tc>
        <w:tc>
          <w:tcPr>
            <w:vMerge w:val="continue"/>
            <w:vAlign w:val="center"/>
          </w:tcPr>
          <w:p/>
        </w:tc>
        <w:tc>
          <w:tcPr>
            <w:vAlign w:val="center"/>
          </w:tcPr>
          <w:p>
            <w:r>
              <w:t>1.621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教育-开放共享空间</w:t>
            </w:r>
          </w:p>
        </w:tc>
        <w:tc>
          <w:tcPr>
            <w:vAlign w:val="center"/>
          </w:tcPr>
          <w:p>
            <w:r>
              <w:t>13.32</w:t>
            </w:r>
          </w:p>
        </w:tc>
        <w:tc>
          <w:tcPr>
            <w:vAlign w:val="center"/>
          </w:tcPr>
          <w:p>
            <w:r>
              <w:t>3</w:t>
            </w:r>
          </w:p>
        </w:tc>
        <w:tc>
          <w:tcPr>
            <w:vAlign w:val="center"/>
          </w:tcPr>
          <w:p>
            <w:r>
              <w:t>273</w:t>
            </w:r>
          </w:p>
        </w:tc>
        <w:tc>
          <w:tcPr>
            <w:vAlign w:val="center"/>
          </w:tcPr>
          <w:p>
            <w:r>
              <w:t>3634</w:t>
            </w:r>
          </w:p>
        </w:tc>
        <w:tc>
          <w:tcPr>
            <w:vMerge w:val="continue"/>
            <w:vAlign w:val="center"/>
          </w:tcPr>
          <w:p/>
        </w:tc>
        <w:tc>
          <w:tcPr>
            <w:vAlign w:val="center"/>
          </w:tcPr>
          <w:p>
            <w:r>
              <w:t>2.072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教育-弱电</w:t>
            </w:r>
          </w:p>
        </w:tc>
        <w:tc>
          <w:tcPr>
            <w:vAlign w:val="center"/>
          </w:tcPr>
          <w:p>
            <w:r>
              <w:t>6.66</w:t>
            </w:r>
          </w:p>
        </w:tc>
        <w:tc>
          <w:tcPr>
            <w:vAlign w:val="center"/>
          </w:tcPr>
          <w:p>
            <w:r>
              <w:t>10</w:t>
            </w:r>
          </w:p>
        </w:tc>
        <w:tc>
          <w:tcPr>
            <w:vAlign w:val="center"/>
          </w:tcPr>
          <w:p>
            <w:r>
              <w:t>40</w:t>
            </w:r>
          </w:p>
        </w:tc>
        <w:tc>
          <w:tcPr>
            <w:vAlign w:val="center"/>
          </w:tcPr>
          <w:p>
            <w:r>
              <w:t>266</w:t>
            </w:r>
          </w:p>
        </w:tc>
        <w:tc>
          <w:tcPr>
            <w:vMerge w:val="continue"/>
            <w:vAlign w:val="center"/>
          </w:tcPr>
          <w:p/>
        </w:tc>
        <w:tc>
          <w:tcPr>
            <w:vAlign w:val="center"/>
          </w:tcPr>
          <w:p>
            <w:r>
              <w:t>0.151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教育-强电</w:t>
            </w:r>
          </w:p>
        </w:tc>
        <w:tc>
          <w:tcPr>
            <w:vAlign w:val="center"/>
          </w:tcPr>
          <w:p>
            <w:r>
              <w:t>6.66</w:t>
            </w:r>
          </w:p>
        </w:tc>
        <w:tc>
          <w:tcPr>
            <w:vAlign w:val="center"/>
          </w:tcPr>
          <w:p>
            <w:r>
              <w:t>10</w:t>
            </w:r>
          </w:p>
        </w:tc>
        <w:tc>
          <w:tcPr>
            <w:vAlign w:val="center"/>
          </w:tcPr>
          <w:p>
            <w:r>
              <w:t>48</w:t>
            </w:r>
          </w:p>
        </w:tc>
        <w:tc>
          <w:tcPr>
            <w:vAlign w:val="center"/>
          </w:tcPr>
          <w:p>
            <w:r>
              <w:t>323</w:t>
            </w:r>
          </w:p>
        </w:tc>
        <w:tc>
          <w:tcPr>
            <w:vMerge w:val="continue"/>
            <w:vAlign w:val="center"/>
          </w:tcPr>
          <w:p/>
        </w:tc>
        <w:tc>
          <w:tcPr>
            <w:vAlign w:val="center"/>
          </w:tcPr>
          <w:p>
            <w:r>
              <w:t>0.184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教育-教师办公室</w:t>
            </w:r>
          </w:p>
        </w:tc>
        <w:tc>
          <w:tcPr>
            <w:vAlign w:val="center"/>
          </w:tcPr>
          <w:p>
            <w:r>
              <w:t>13.32</w:t>
            </w:r>
          </w:p>
        </w:tc>
        <w:tc>
          <w:tcPr>
            <w:vAlign w:val="center"/>
          </w:tcPr>
          <w:p>
            <w:r>
              <w:t>10</w:t>
            </w:r>
          </w:p>
        </w:tc>
        <w:tc>
          <w:tcPr>
            <w:vAlign w:val="center"/>
          </w:tcPr>
          <w:p>
            <w:r>
              <w:t>703</w:t>
            </w:r>
          </w:p>
        </w:tc>
        <w:tc>
          <w:tcPr>
            <w:vAlign w:val="center"/>
          </w:tcPr>
          <w:p>
            <w:r>
              <w:t>9370</w:t>
            </w:r>
          </w:p>
        </w:tc>
        <w:tc>
          <w:tcPr>
            <w:vMerge w:val="continue"/>
            <w:vAlign w:val="center"/>
          </w:tcPr>
          <w:p/>
        </w:tc>
        <w:tc>
          <w:tcPr>
            <w:vAlign w:val="center"/>
          </w:tcPr>
          <w:p>
            <w:r>
              <w:t>5.344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教育-教师女卫</w:t>
            </w:r>
          </w:p>
        </w:tc>
        <w:tc>
          <w:tcPr>
            <w:vAlign w:val="center"/>
          </w:tcPr>
          <w:p>
            <w:r>
              <w:t>13.32</w:t>
            </w:r>
          </w:p>
        </w:tc>
        <w:tc>
          <w:tcPr>
            <w:vAlign w:val="center"/>
          </w:tcPr>
          <w:p>
            <w:r>
              <w:t>2</w:t>
            </w:r>
          </w:p>
        </w:tc>
        <w:tc>
          <w:tcPr>
            <w:vAlign w:val="center"/>
          </w:tcPr>
          <w:p>
            <w:r>
              <w:t>28</w:t>
            </w:r>
          </w:p>
        </w:tc>
        <w:tc>
          <w:tcPr>
            <w:vAlign w:val="center"/>
          </w:tcPr>
          <w:p>
            <w:r>
              <w:t>376</w:t>
            </w:r>
          </w:p>
        </w:tc>
        <w:tc>
          <w:tcPr>
            <w:vMerge w:val="continue"/>
            <w:vAlign w:val="center"/>
          </w:tcPr>
          <w:p/>
        </w:tc>
        <w:tc>
          <w:tcPr>
            <w:vAlign w:val="center"/>
          </w:tcPr>
          <w:p>
            <w:r>
              <w:t>0.214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教育-教师男卫</w:t>
            </w:r>
          </w:p>
        </w:tc>
        <w:tc>
          <w:tcPr>
            <w:vAlign w:val="center"/>
          </w:tcPr>
          <w:p>
            <w:r>
              <w:t>8.88</w:t>
            </w:r>
          </w:p>
        </w:tc>
        <w:tc>
          <w:tcPr>
            <w:vAlign w:val="center"/>
          </w:tcPr>
          <w:p>
            <w:r>
              <w:t>3</w:t>
            </w:r>
          </w:p>
        </w:tc>
        <w:tc>
          <w:tcPr>
            <w:vAlign w:val="center"/>
          </w:tcPr>
          <w:p>
            <w:r>
              <w:t>41</w:t>
            </w:r>
          </w:p>
        </w:tc>
        <w:tc>
          <w:tcPr>
            <w:vAlign w:val="center"/>
          </w:tcPr>
          <w:p>
            <w:r>
              <w:t>362</w:t>
            </w:r>
          </w:p>
        </w:tc>
        <w:tc>
          <w:tcPr>
            <w:vMerge w:val="continue"/>
            <w:vAlign w:val="center"/>
          </w:tcPr>
          <w:p/>
        </w:tc>
        <w:tc>
          <w:tcPr>
            <w:vAlign w:val="center"/>
          </w:tcPr>
          <w:p>
            <w:r>
              <w:t>0.206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教育-教研活动室</w:t>
            </w:r>
          </w:p>
        </w:tc>
        <w:tc>
          <w:tcPr>
            <w:vAlign w:val="center"/>
          </w:tcPr>
          <w:p>
            <w:r>
              <w:t>13.32</w:t>
            </w:r>
          </w:p>
        </w:tc>
        <w:tc>
          <w:tcPr>
            <w:vAlign w:val="center"/>
          </w:tcPr>
          <w:p>
            <w:r>
              <w:t>3</w:t>
            </w:r>
          </w:p>
        </w:tc>
        <w:tc>
          <w:tcPr>
            <w:vAlign w:val="center"/>
          </w:tcPr>
          <w:p>
            <w:r>
              <w:t>314</w:t>
            </w:r>
          </w:p>
        </w:tc>
        <w:tc>
          <w:tcPr>
            <w:vAlign w:val="center"/>
          </w:tcPr>
          <w:p>
            <w:r>
              <w:t>4184</w:t>
            </w:r>
          </w:p>
        </w:tc>
        <w:tc>
          <w:tcPr>
            <w:vMerge w:val="continue"/>
            <w:vAlign w:val="center"/>
          </w:tcPr>
          <w:p/>
        </w:tc>
        <w:tc>
          <w:tcPr>
            <w:vAlign w:val="center"/>
          </w:tcPr>
          <w:p>
            <w:r>
              <w:t>2.386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教育-无障碍楼梯</w:t>
            </w:r>
          </w:p>
        </w:tc>
        <w:tc>
          <w:tcPr>
            <w:vAlign w:val="center"/>
          </w:tcPr>
          <w:p>
            <w:r>
              <w:t>0.00</w:t>
            </w:r>
          </w:p>
        </w:tc>
        <w:tc>
          <w:tcPr>
            <w:vAlign w:val="center"/>
          </w:tcPr>
          <w:p>
            <w:r>
              <w:t>1</w:t>
            </w:r>
          </w:p>
        </w:tc>
        <w:tc>
          <w:tcPr>
            <w:vAlign w:val="center"/>
          </w:tcPr>
          <w:p>
            <w:r>
              <w:t>37</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教育-无障碍电梯担架电梯</w:t>
            </w:r>
          </w:p>
        </w:tc>
        <w:tc>
          <w:tcPr>
            <w:vAlign w:val="center"/>
          </w:tcPr>
          <w:p>
            <w:r>
              <w:t>6.66</w:t>
            </w:r>
          </w:p>
        </w:tc>
        <w:tc>
          <w:tcPr>
            <w:vAlign w:val="center"/>
          </w:tcPr>
          <w:p>
            <w:r>
              <w:t>5</w:t>
            </w:r>
          </w:p>
        </w:tc>
        <w:tc>
          <w:tcPr>
            <w:vAlign w:val="center"/>
          </w:tcPr>
          <w:p>
            <w:r>
              <w:t>43</w:t>
            </w:r>
          </w:p>
        </w:tc>
        <w:tc>
          <w:tcPr>
            <w:vAlign w:val="center"/>
          </w:tcPr>
          <w:p>
            <w:r>
              <w:t>284</w:t>
            </w:r>
          </w:p>
        </w:tc>
        <w:tc>
          <w:tcPr>
            <w:vMerge w:val="continue"/>
            <w:vAlign w:val="center"/>
          </w:tcPr>
          <w:p/>
        </w:tc>
        <w:tc>
          <w:tcPr>
            <w:vAlign w:val="center"/>
          </w:tcPr>
          <w:p>
            <w:r>
              <w:t>0.162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普通办公室</w:t>
            </w:r>
          </w:p>
        </w:tc>
        <w:tc>
          <w:tcPr>
            <w:vAlign w:val="center"/>
          </w:tcPr>
          <w:p>
            <w:r>
              <w:t>12.63</w:t>
            </w:r>
          </w:p>
        </w:tc>
        <w:tc>
          <w:tcPr>
            <w:vAlign w:val="center"/>
          </w:tcPr>
          <w:p>
            <w:r>
              <w:t>125</w:t>
            </w:r>
          </w:p>
        </w:tc>
        <w:tc>
          <w:tcPr>
            <w:vAlign w:val="center"/>
          </w:tcPr>
          <w:p>
            <w:r>
              <w:t>1505</w:t>
            </w:r>
          </w:p>
        </w:tc>
        <w:tc>
          <w:tcPr>
            <w:vAlign w:val="center"/>
          </w:tcPr>
          <w:p>
            <w:r>
              <w:t>19009</w:t>
            </w:r>
          </w:p>
        </w:tc>
        <w:tc>
          <w:tcPr>
            <w:vMerge w:val="continue"/>
            <w:vAlign w:val="center"/>
          </w:tcPr>
          <w:p/>
        </w:tc>
        <w:tc>
          <w:tcPr>
            <w:vAlign w:val="center"/>
          </w:tcPr>
          <w:p>
            <w:r>
              <w:t>10.841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教育-普通教室</w:t>
            </w:r>
          </w:p>
        </w:tc>
        <w:tc>
          <w:tcPr>
            <w:vAlign w:val="center"/>
          </w:tcPr>
          <w:p>
            <w:r>
              <w:t>17.77</w:t>
            </w:r>
          </w:p>
        </w:tc>
        <w:tc>
          <w:tcPr>
            <w:vAlign w:val="center"/>
          </w:tcPr>
          <w:p>
            <w:r>
              <w:t>30</w:t>
            </w:r>
          </w:p>
        </w:tc>
        <w:tc>
          <w:tcPr>
            <w:vAlign w:val="center"/>
          </w:tcPr>
          <w:p>
            <w:r>
              <w:t>2740</w:t>
            </w:r>
          </w:p>
        </w:tc>
        <w:tc>
          <w:tcPr>
            <w:vAlign w:val="center"/>
          </w:tcPr>
          <w:p>
            <w:r>
              <w:t>48679</w:t>
            </w:r>
          </w:p>
        </w:tc>
        <w:tc>
          <w:tcPr>
            <w:vMerge w:val="continue"/>
            <w:vAlign w:val="center"/>
          </w:tcPr>
          <w:p/>
        </w:tc>
        <w:tc>
          <w:tcPr>
            <w:vAlign w:val="center"/>
          </w:tcPr>
          <w:p>
            <w:r>
              <w:t>27.762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教育-楼梯间</w:t>
            </w:r>
          </w:p>
        </w:tc>
        <w:tc>
          <w:tcPr>
            <w:vAlign w:val="center"/>
          </w:tcPr>
          <w:p>
            <w:r>
              <w:t>4.44</w:t>
            </w:r>
          </w:p>
        </w:tc>
        <w:tc>
          <w:tcPr>
            <w:vAlign w:val="center"/>
          </w:tcPr>
          <w:p>
            <w:r>
              <w:t>29</w:t>
            </w:r>
          </w:p>
        </w:tc>
        <w:tc>
          <w:tcPr>
            <w:vAlign w:val="center"/>
          </w:tcPr>
          <w:p>
            <w:r>
              <w:t>1075</w:t>
            </w:r>
          </w:p>
        </w:tc>
        <w:tc>
          <w:tcPr>
            <w:vAlign w:val="center"/>
          </w:tcPr>
          <w:p>
            <w:r>
              <w:t>4775</w:t>
            </w:r>
          </w:p>
        </w:tc>
        <w:tc>
          <w:tcPr>
            <w:vMerge w:val="continue"/>
            <w:vAlign w:val="center"/>
          </w:tcPr>
          <w:p/>
        </w:tc>
        <w:tc>
          <w:tcPr>
            <w:vAlign w:val="center"/>
          </w:tcPr>
          <w:p>
            <w:r>
              <w:t>2.723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教育-残卫</w:t>
            </w:r>
          </w:p>
        </w:tc>
        <w:tc>
          <w:tcPr>
            <w:vAlign w:val="center"/>
          </w:tcPr>
          <w:p>
            <w:r>
              <w:t>8.88</w:t>
            </w:r>
          </w:p>
        </w:tc>
        <w:tc>
          <w:tcPr>
            <w:vAlign w:val="center"/>
          </w:tcPr>
          <w:p>
            <w:r>
              <w:t>5</w:t>
            </w:r>
          </w:p>
        </w:tc>
        <w:tc>
          <w:tcPr>
            <w:vAlign w:val="center"/>
          </w:tcPr>
          <w:p>
            <w:r>
              <w:t>37</w:t>
            </w:r>
          </w:p>
        </w:tc>
        <w:tc>
          <w:tcPr>
            <w:vAlign w:val="center"/>
          </w:tcPr>
          <w:p>
            <w:r>
              <w:t>326</w:t>
            </w:r>
          </w:p>
        </w:tc>
        <w:tc>
          <w:tcPr>
            <w:vMerge w:val="continue"/>
            <w:vAlign w:val="center"/>
          </w:tcPr>
          <w:p/>
        </w:tc>
        <w:tc>
          <w:tcPr>
            <w:vAlign w:val="center"/>
          </w:tcPr>
          <w:p>
            <w:r>
              <w:t>0.186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教育-水井</w:t>
            </w:r>
          </w:p>
        </w:tc>
        <w:tc>
          <w:tcPr>
            <w:vAlign w:val="center"/>
          </w:tcPr>
          <w:p>
            <w:r>
              <w:t>6.66</w:t>
            </w:r>
          </w:p>
        </w:tc>
        <w:tc>
          <w:tcPr>
            <w:vAlign w:val="center"/>
          </w:tcPr>
          <w:p>
            <w:r>
              <w:t>25</w:t>
            </w:r>
          </w:p>
        </w:tc>
        <w:tc>
          <w:tcPr>
            <w:vAlign w:val="center"/>
          </w:tcPr>
          <w:p>
            <w:r>
              <w:t>62</w:t>
            </w:r>
          </w:p>
        </w:tc>
        <w:tc>
          <w:tcPr>
            <w:vAlign w:val="center"/>
          </w:tcPr>
          <w:p>
            <w:r>
              <w:t>412</w:t>
            </w:r>
          </w:p>
        </w:tc>
        <w:tc>
          <w:tcPr>
            <w:vMerge w:val="continue"/>
            <w:vAlign w:val="center"/>
          </w:tcPr>
          <w:p/>
        </w:tc>
        <w:tc>
          <w:tcPr>
            <w:vAlign w:val="center"/>
          </w:tcPr>
          <w:p>
            <w:r>
              <w:t>0.235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教育-活动室</w:t>
            </w:r>
          </w:p>
        </w:tc>
        <w:tc>
          <w:tcPr>
            <w:vAlign w:val="center"/>
          </w:tcPr>
          <w:p>
            <w:r>
              <w:t>13.32</w:t>
            </w:r>
          </w:p>
        </w:tc>
        <w:tc>
          <w:tcPr>
            <w:vAlign w:val="center"/>
          </w:tcPr>
          <w:p>
            <w:r>
              <w:t>19</w:t>
            </w:r>
          </w:p>
        </w:tc>
        <w:tc>
          <w:tcPr>
            <w:vAlign w:val="center"/>
          </w:tcPr>
          <w:p>
            <w:r>
              <w:t>1728</w:t>
            </w:r>
          </w:p>
        </w:tc>
        <w:tc>
          <w:tcPr>
            <w:vAlign w:val="center"/>
          </w:tcPr>
          <w:p>
            <w:r>
              <w:t>23024</w:t>
            </w:r>
          </w:p>
        </w:tc>
        <w:tc>
          <w:tcPr>
            <w:vMerge w:val="continue"/>
            <w:vAlign w:val="center"/>
          </w:tcPr>
          <w:p/>
        </w:tc>
        <w:tc>
          <w:tcPr>
            <w:vAlign w:val="center"/>
          </w:tcPr>
          <w:p>
            <w:r>
              <w:t>13.131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教育-物理实验室</w:t>
            </w:r>
          </w:p>
        </w:tc>
        <w:tc>
          <w:tcPr>
            <w:vAlign w:val="center"/>
          </w:tcPr>
          <w:p>
            <w:r>
              <w:t>13.32</w:t>
            </w:r>
          </w:p>
        </w:tc>
        <w:tc>
          <w:tcPr>
            <w:vAlign w:val="center"/>
          </w:tcPr>
          <w:p>
            <w:r>
              <w:t>3</w:t>
            </w:r>
          </w:p>
        </w:tc>
        <w:tc>
          <w:tcPr>
            <w:vAlign w:val="center"/>
          </w:tcPr>
          <w:p>
            <w:r>
              <w:t>314</w:t>
            </w:r>
          </w:p>
        </w:tc>
        <w:tc>
          <w:tcPr>
            <w:vAlign w:val="center"/>
          </w:tcPr>
          <w:p>
            <w:r>
              <w:t>4184</w:t>
            </w:r>
          </w:p>
        </w:tc>
        <w:tc>
          <w:tcPr>
            <w:vMerge w:val="continue"/>
            <w:vAlign w:val="center"/>
          </w:tcPr>
          <w:p/>
        </w:tc>
        <w:tc>
          <w:tcPr>
            <w:vAlign w:val="center"/>
          </w:tcPr>
          <w:p>
            <w:r>
              <w:t>2.386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教育-生物实验室</w:t>
            </w:r>
          </w:p>
        </w:tc>
        <w:tc>
          <w:tcPr>
            <w:vAlign w:val="center"/>
          </w:tcPr>
          <w:p>
            <w:r>
              <w:t>13.32</w:t>
            </w:r>
          </w:p>
        </w:tc>
        <w:tc>
          <w:tcPr>
            <w:vAlign w:val="center"/>
          </w:tcPr>
          <w:p>
            <w:r>
              <w:t>2</w:t>
            </w:r>
          </w:p>
        </w:tc>
        <w:tc>
          <w:tcPr>
            <w:vAlign w:val="center"/>
          </w:tcPr>
          <w:p>
            <w:r>
              <w:t>210</w:t>
            </w:r>
          </w:p>
        </w:tc>
        <w:tc>
          <w:tcPr>
            <w:vAlign w:val="center"/>
          </w:tcPr>
          <w:p>
            <w:r>
              <w:t>2792</w:t>
            </w:r>
          </w:p>
        </w:tc>
        <w:tc>
          <w:tcPr>
            <w:vMerge w:val="continue"/>
            <w:vAlign w:val="center"/>
          </w:tcPr>
          <w:p/>
        </w:tc>
        <w:tc>
          <w:tcPr>
            <w:vAlign w:val="center"/>
          </w:tcPr>
          <w:p>
            <w:r>
              <w:t>1.592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教育-男卫</w:t>
            </w:r>
          </w:p>
        </w:tc>
        <w:tc>
          <w:tcPr>
            <w:vAlign w:val="center"/>
          </w:tcPr>
          <w:p>
            <w:r>
              <w:t>8.88</w:t>
            </w:r>
          </w:p>
        </w:tc>
        <w:tc>
          <w:tcPr>
            <w:vAlign w:val="center"/>
          </w:tcPr>
          <w:p>
            <w:r>
              <w:t>15</w:t>
            </w:r>
          </w:p>
        </w:tc>
        <w:tc>
          <w:tcPr>
            <w:vAlign w:val="center"/>
          </w:tcPr>
          <w:p>
            <w:r>
              <w:t>279</w:t>
            </w:r>
          </w:p>
        </w:tc>
        <w:tc>
          <w:tcPr>
            <w:vAlign w:val="center"/>
          </w:tcPr>
          <w:p>
            <w:r>
              <w:t>2482</w:t>
            </w:r>
          </w:p>
        </w:tc>
        <w:tc>
          <w:tcPr>
            <w:vMerge w:val="continue"/>
            <w:vAlign w:val="center"/>
          </w:tcPr>
          <w:p/>
        </w:tc>
        <w:tc>
          <w:tcPr>
            <w:vAlign w:val="center"/>
          </w:tcPr>
          <w:p>
            <w:r>
              <w:t>1.415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教育-盥洗室</w:t>
            </w:r>
          </w:p>
        </w:tc>
        <w:tc>
          <w:tcPr>
            <w:vAlign w:val="center"/>
          </w:tcPr>
          <w:p>
            <w:r>
              <w:t>6.66</w:t>
            </w:r>
          </w:p>
        </w:tc>
        <w:tc>
          <w:tcPr>
            <w:vAlign w:val="center"/>
          </w:tcPr>
          <w:p>
            <w:r>
              <w:t>35</w:t>
            </w:r>
          </w:p>
        </w:tc>
        <w:tc>
          <w:tcPr>
            <w:vAlign w:val="center"/>
          </w:tcPr>
          <w:p>
            <w:r>
              <w:t>265</w:t>
            </w:r>
          </w:p>
        </w:tc>
        <w:tc>
          <w:tcPr>
            <w:vAlign w:val="center"/>
          </w:tcPr>
          <w:p>
            <w:r>
              <w:t>1765</w:t>
            </w:r>
          </w:p>
        </w:tc>
        <w:tc>
          <w:tcPr>
            <w:vMerge w:val="continue"/>
            <w:vAlign w:val="center"/>
          </w:tcPr>
          <w:p/>
        </w:tc>
        <w:tc>
          <w:tcPr>
            <w:vAlign w:val="center"/>
          </w:tcPr>
          <w:p>
            <w:r>
              <w:t>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58</w:t>
            </w:r>
          </w:p>
        </w:tc>
        <w:tc>
          <w:tcPr>
            <w:vAlign w:val="center"/>
          </w:tcPr>
          <w:p>
            <w:r>
              <w:t>77</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教育-空房间</w:t>
            </w:r>
          </w:p>
        </w:tc>
        <w:tc>
          <w:tcPr>
            <w:vAlign w:val="center"/>
          </w:tcPr>
          <w:p>
            <w:r>
              <w:t>0.00</w:t>
            </w:r>
          </w:p>
        </w:tc>
        <w:tc>
          <w:tcPr>
            <w:vAlign w:val="center"/>
          </w:tcPr>
          <w:p>
            <w:r>
              <w:t>26</w:t>
            </w:r>
          </w:p>
        </w:tc>
        <w:tc>
          <w:tcPr>
            <w:vAlign w:val="center"/>
          </w:tcPr>
          <w:p>
            <w:r>
              <w:t>51</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教育-美术教室</w:t>
            </w:r>
          </w:p>
        </w:tc>
        <w:tc>
          <w:tcPr>
            <w:vAlign w:val="center"/>
          </w:tcPr>
          <w:p>
            <w:r>
              <w:t>29.98</w:t>
            </w:r>
          </w:p>
        </w:tc>
        <w:tc>
          <w:tcPr>
            <w:vAlign w:val="center"/>
          </w:tcPr>
          <w:p>
            <w:r>
              <w:t>1</w:t>
            </w:r>
          </w:p>
        </w:tc>
        <w:tc>
          <w:tcPr>
            <w:vAlign w:val="center"/>
          </w:tcPr>
          <w:p>
            <w:r>
              <w:t>104</w:t>
            </w:r>
          </w:p>
        </w:tc>
        <w:tc>
          <w:tcPr>
            <w:vAlign w:val="center"/>
          </w:tcPr>
          <w:p>
            <w:r>
              <w:t>3133</w:t>
            </w:r>
          </w:p>
        </w:tc>
        <w:tc>
          <w:tcPr>
            <w:vMerge w:val="continue"/>
            <w:vAlign w:val="center"/>
          </w:tcPr>
          <w:p/>
        </w:tc>
        <w:tc>
          <w:tcPr>
            <w:vAlign w:val="center"/>
          </w:tcPr>
          <w:p>
            <w:r>
              <w:t>1.786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教育-计算机教室</w:t>
            </w:r>
          </w:p>
        </w:tc>
        <w:tc>
          <w:tcPr>
            <w:vAlign w:val="center"/>
          </w:tcPr>
          <w:p>
            <w:r>
              <w:t>13.32</w:t>
            </w:r>
          </w:p>
        </w:tc>
        <w:tc>
          <w:tcPr>
            <w:vAlign w:val="center"/>
          </w:tcPr>
          <w:p>
            <w:r>
              <w:t>3</w:t>
            </w:r>
          </w:p>
        </w:tc>
        <w:tc>
          <w:tcPr>
            <w:vAlign w:val="center"/>
          </w:tcPr>
          <w:p>
            <w:r>
              <w:t>314</w:t>
            </w:r>
          </w:p>
        </w:tc>
        <w:tc>
          <w:tcPr>
            <w:vAlign w:val="center"/>
          </w:tcPr>
          <w:p>
            <w:r>
              <w:t>4184</w:t>
            </w:r>
          </w:p>
        </w:tc>
        <w:tc>
          <w:tcPr>
            <w:vMerge w:val="continue"/>
            <w:vAlign w:val="center"/>
          </w:tcPr>
          <w:p/>
        </w:tc>
        <w:tc>
          <w:tcPr>
            <w:vAlign w:val="center"/>
          </w:tcPr>
          <w:p>
            <w:r>
              <w:t>2.386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教育-设备平台</w:t>
            </w:r>
          </w:p>
        </w:tc>
        <w:tc>
          <w:tcPr>
            <w:vAlign w:val="center"/>
          </w:tcPr>
          <w:p>
            <w:r>
              <w:t>13.32</w:t>
            </w:r>
          </w:p>
        </w:tc>
        <w:tc>
          <w:tcPr>
            <w:vAlign w:val="center"/>
          </w:tcPr>
          <w:p>
            <w:r>
              <w:t>70</w:t>
            </w:r>
          </w:p>
        </w:tc>
        <w:tc>
          <w:tcPr>
            <w:vAlign w:val="center"/>
          </w:tcPr>
          <w:p>
            <w:r>
              <w:t>193</w:t>
            </w:r>
          </w:p>
        </w:tc>
        <w:tc>
          <w:tcPr>
            <w:vAlign w:val="center"/>
          </w:tcPr>
          <w:p>
            <w:r>
              <w:t>2577</w:t>
            </w:r>
          </w:p>
        </w:tc>
        <w:tc>
          <w:tcPr>
            <w:vMerge w:val="continue"/>
            <w:vAlign w:val="center"/>
          </w:tcPr>
          <w:p/>
        </w:tc>
        <w:tc>
          <w:tcPr>
            <w:vAlign w:val="center"/>
          </w:tcPr>
          <w:p>
            <w:r>
              <w:t>1.470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教育-风井</w:t>
            </w:r>
          </w:p>
        </w:tc>
        <w:tc>
          <w:tcPr>
            <w:vAlign w:val="center"/>
          </w:tcPr>
          <w:p>
            <w:r>
              <w:t>6.66</w:t>
            </w:r>
          </w:p>
        </w:tc>
        <w:tc>
          <w:tcPr>
            <w:vAlign w:val="center"/>
          </w:tcPr>
          <w:p>
            <w:r>
              <w:t>15</w:t>
            </w:r>
          </w:p>
        </w:tc>
        <w:tc>
          <w:tcPr>
            <w:vAlign w:val="center"/>
          </w:tcPr>
          <w:p>
            <w:r>
              <w:t>14</w:t>
            </w:r>
          </w:p>
        </w:tc>
        <w:tc>
          <w:tcPr>
            <w:vAlign w:val="center"/>
          </w:tcPr>
          <w:p>
            <w:r>
              <w:t>91</w:t>
            </w:r>
          </w:p>
        </w:tc>
        <w:tc>
          <w:tcPr>
            <w:vMerge w:val="continue"/>
            <w:vAlign w:val="center"/>
          </w:tcPr>
          <w:p/>
        </w:tc>
        <w:tc>
          <w:tcPr>
            <w:vAlign w:val="center"/>
          </w:tcPr>
          <w:p>
            <w:r>
              <w:t>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85.283</w:t>
            </w:r>
          </w:p>
        </w:tc>
      </w:tr>
    </w:tbl>
    <w:p>
      <w:pPr>
        <w:pStyle w:val="4"/>
        <w:rPr>
          <w:lang w:val="en-US"/>
        </w:rPr>
      </w:pPr>
      <w:bookmarkStart w:id="99" w:name="_Toc2403"/>
      <w:r>
        <w:rPr>
          <w:lang w:val="en-US"/>
        </w:rPr>
        <w:t>插座设备</w:t>
      </w:r>
      <w:bookmarkEnd w:id="99"/>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教育-会议室</w:t>
            </w:r>
          </w:p>
        </w:tc>
        <w:tc>
          <w:tcPr>
            <w:vAlign w:val="center"/>
          </w:tcPr>
          <w:p>
            <w:r>
              <w:t>10.40</w:t>
            </w:r>
          </w:p>
        </w:tc>
        <w:tc>
          <w:tcPr>
            <w:vAlign w:val="center"/>
          </w:tcPr>
          <w:p>
            <w:r>
              <w:t>1</w:t>
            </w:r>
          </w:p>
        </w:tc>
        <w:tc>
          <w:tcPr>
            <w:vAlign w:val="center"/>
          </w:tcPr>
          <w:p>
            <w:r>
              <w:t>182</w:t>
            </w:r>
          </w:p>
        </w:tc>
        <w:tc>
          <w:tcPr>
            <w:vAlign w:val="center"/>
          </w:tcPr>
          <w:p>
            <w:r>
              <w:t>1891</w:t>
            </w:r>
          </w:p>
        </w:tc>
        <w:tc>
          <w:tcPr>
            <w:vMerge w:val="restart"/>
            <w:vAlign w:val="center"/>
          </w:tcPr>
          <w:p>
            <w:r>
              <w:t>0.5703</w:t>
            </w:r>
          </w:p>
        </w:tc>
        <w:tc>
          <w:tcPr>
            <w:vAlign w:val="center"/>
          </w:tcPr>
          <w:p>
            <w:r>
              <w:t>1.078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教育-党建活动室</w:t>
            </w:r>
          </w:p>
        </w:tc>
        <w:tc>
          <w:tcPr>
            <w:vAlign w:val="center"/>
          </w:tcPr>
          <w:p>
            <w:r>
              <w:t>10.40</w:t>
            </w:r>
          </w:p>
        </w:tc>
        <w:tc>
          <w:tcPr>
            <w:vAlign w:val="center"/>
          </w:tcPr>
          <w:p>
            <w:r>
              <w:t>1</w:t>
            </w:r>
          </w:p>
        </w:tc>
        <w:tc>
          <w:tcPr>
            <w:vAlign w:val="center"/>
          </w:tcPr>
          <w:p>
            <w:r>
              <w:t>104</w:t>
            </w:r>
          </w:p>
        </w:tc>
        <w:tc>
          <w:tcPr>
            <w:vAlign w:val="center"/>
          </w:tcPr>
          <w:p>
            <w:r>
              <w:t>1087</w:t>
            </w:r>
          </w:p>
        </w:tc>
        <w:tc>
          <w:tcPr>
            <w:vMerge w:val="continue"/>
            <w:vAlign w:val="center"/>
          </w:tcPr>
          <w:p/>
        </w:tc>
        <w:tc>
          <w:tcPr>
            <w:vAlign w:val="center"/>
          </w:tcPr>
          <w:p>
            <w:r>
              <w:t>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教育-准备室（丁类，无爆炸危险）</w:t>
            </w:r>
          </w:p>
        </w:tc>
        <w:tc>
          <w:tcPr>
            <w:vAlign w:val="center"/>
          </w:tcPr>
          <w:p>
            <w:r>
              <w:t>10.40</w:t>
            </w:r>
          </w:p>
        </w:tc>
        <w:tc>
          <w:tcPr>
            <w:vAlign w:val="center"/>
          </w:tcPr>
          <w:p>
            <w:r>
              <w:t>10</w:t>
            </w:r>
          </w:p>
        </w:tc>
        <w:tc>
          <w:tcPr>
            <w:vAlign w:val="center"/>
          </w:tcPr>
          <w:p>
            <w:r>
              <w:t>335</w:t>
            </w:r>
          </w:p>
        </w:tc>
        <w:tc>
          <w:tcPr>
            <w:vAlign w:val="center"/>
          </w:tcPr>
          <w:p>
            <w:r>
              <w:t>3479</w:t>
            </w:r>
          </w:p>
        </w:tc>
        <w:tc>
          <w:tcPr>
            <w:vMerge w:val="continue"/>
            <w:vAlign w:val="center"/>
          </w:tcPr>
          <w:p/>
        </w:tc>
        <w:tc>
          <w:tcPr>
            <w:vAlign w:val="center"/>
          </w:tcPr>
          <w:p>
            <w:r>
              <w:t>1.984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教育-化学实验室</w:t>
            </w:r>
          </w:p>
        </w:tc>
        <w:tc>
          <w:tcPr>
            <w:vAlign w:val="center"/>
          </w:tcPr>
          <w:p>
            <w:r>
              <w:t>10.40</w:t>
            </w:r>
          </w:p>
        </w:tc>
        <w:tc>
          <w:tcPr>
            <w:vAlign w:val="center"/>
          </w:tcPr>
          <w:p>
            <w:r>
              <w:t>1</w:t>
            </w:r>
          </w:p>
        </w:tc>
        <w:tc>
          <w:tcPr>
            <w:vAlign w:val="center"/>
          </w:tcPr>
          <w:p>
            <w:r>
              <w:t>104</w:t>
            </w:r>
          </w:p>
        </w:tc>
        <w:tc>
          <w:tcPr>
            <w:vAlign w:val="center"/>
          </w:tcPr>
          <w:p>
            <w:r>
              <w:t>1083</w:t>
            </w:r>
          </w:p>
        </w:tc>
        <w:tc>
          <w:tcPr>
            <w:vMerge w:val="continue"/>
            <w:vAlign w:val="center"/>
          </w:tcPr>
          <w:p/>
        </w:tc>
        <w:tc>
          <w:tcPr>
            <w:vAlign w:val="center"/>
          </w:tcPr>
          <w:p>
            <w:r>
              <w:t>0.618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教育-女卫</w:t>
            </w:r>
          </w:p>
        </w:tc>
        <w:tc>
          <w:tcPr>
            <w:vAlign w:val="center"/>
          </w:tcPr>
          <w:p>
            <w:r>
              <w:t>10.40</w:t>
            </w:r>
          </w:p>
        </w:tc>
        <w:tc>
          <w:tcPr>
            <w:vAlign w:val="center"/>
          </w:tcPr>
          <w:p>
            <w:r>
              <w:t>15</w:t>
            </w:r>
          </w:p>
        </w:tc>
        <w:tc>
          <w:tcPr>
            <w:vAlign w:val="center"/>
          </w:tcPr>
          <w:p>
            <w:r>
              <w:t>320</w:t>
            </w:r>
          </w:p>
        </w:tc>
        <w:tc>
          <w:tcPr>
            <w:vAlign w:val="center"/>
          </w:tcPr>
          <w:p>
            <w:r>
              <w:t>3328</w:t>
            </w:r>
          </w:p>
        </w:tc>
        <w:tc>
          <w:tcPr>
            <w:vMerge w:val="continue"/>
            <w:vAlign w:val="center"/>
          </w:tcPr>
          <w:p/>
        </w:tc>
        <w:tc>
          <w:tcPr>
            <w:vAlign w:val="center"/>
          </w:tcPr>
          <w:p>
            <w:r>
              <w:t>1.898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教育-开放共享空间</w:t>
            </w:r>
          </w:p>
        </w:tc>
        <w:tc>
          <w:tcPr>
            <w:vAlign w:val="center"/>
          </w:tcPr>
          <w:p>
            <w:r>
              <w:t>10.40</w:t>
            </w:r>
          </w:p>
        </w:tc>
        <w:tc>
          <w:tcPr>
            <w:vAlign w:val="center"/>
          </w:tcPr>
          <w:p>
            <w:r>
              <w:t>3</w:t>
            </w:r>
          </w:p>
        </w:tc>
        <w:tc>
          <w:tcPr>
            <w:vAlign w:val="center"/>
          </w:tcPr>
          <w:p>
            <w:r>
              <w:t>273</w:t>
            </w:r>
          </w:p>
        </w:tc>
        <w:tc>
          <w:tcPr>
            <w:vAlign w:val="center"/>
          </w:tcPr>
          <w:p>
            <w:r>
              <w:t>2836</w:t>
            </w:r>
          </w:p>
        </w:tc>
        <w:tc>
          <w:tcPr>
            <w:vMerge w:val="continue"/>
            <w:vAlign w:val="center"/>
          </w:tcPr>
          <w:p/>
        </w:tc>
        <w:tc>
          <w:tcPr>
            <w:vAlign w:val="center"/>
          </w:tcPr>
          <w:p>
            <w:r>
              <w:t>1.617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教育-弱电</w:t>
            </w:r>
          </w:p>
        </w:tc>
        <w:tc>
          <w:tcPr>
            <w:vAlign w:val="center"/>
          </w:tcPr>
          <w:p>
            <w:r>
              <w:t>10.40</w:t>
            </w:r>
          </w:p>
        </w:tc>
        <w:tc>
          <w:tcPr>
            <w:vAlign w:val="center"/>
          </w:tcPr>
          <w:p>
            <w:r>
              <w:t>10</w:t>
            </w:r>
          </w:p>
        </w:tc>
        <w:tc>
          <w:tcPr>
            <w:vAlign w:val="center"/>
          </w:tcPr>
          <w:p>
            <w:r>
              <w:t>40</w:t>
            </w:r>
          </w:p>
        </w:tc>
        <w:tc>
          <w:tcPr>
            <w:vAlign w:val="center"/>
          </w:tcPr>
          <w:p>
            <w:r>
              <w:t>414</w:t>
            </w:r>
          </w:p>
        </w:tc>
        <w:tc>
          <w:tcPr>
            <w:vMerge w:val="continue"/>
            <w:vAlign w:val="center"/>
          </w:tcPr>
          <w:p/>
        </w:tc>
        <w:tc>
          <w:tcPr>
            <w:vAlign w:val="center"/>
          </w:tcPr>
          <w:p>
            <w: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教育-强电</w:t>
            </w:r>
          </w:p>
        </w:tc>
        <w:tc>
          <w:tcPr>
            <w:vAlign w:val="center"/>
          </w:tcPr>
          <w:p>
            <w:r>
              <w:t>10.40</w:t>
            </w:r>
          </w:p>
        </w:tc>
        <w:tc>
          <w:tcPr>
            <w:vAlign w:val="center"/>
          </w:tcPr>
          <w:p>
            <w:r>
              <w:t>10</w:t>
            </w:r>
          </w:p>
        </w:tc>
        <w:tc>
          <w:tcPr>
            <w:vAlign w:val="center"/>
          </w:tcPr>
          <w:p>
            <w:r>
              <w:t>48</w:t>
            </w:r>
          </w:p>
        </w:tc>
        <w:tc>
          <w:tcPr>
            <w:vAlign w:val="center"/>
          </w:tcPr>
          <w:p>
            <w:r>
              <w:t>504</w:t>
            </w:r>
          </w:p>
        </w:tc>
        <w:tc>
          <w:tcPr>
            <w:vMerge w:val="continue"/>
            <w:vAlign w:val="center"/>
          </w:tcPr>
          <w:p/>
        </w:tc>
        <w:tc>
          <w:tcPr>
            <w:vAlign w:val="center"/>
          </w:tcPr>
          <w:p>
            <w:r>
              <w:t>0.287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教育-教师办公室</w:t>
            </w:r>
          </w:p>
        </w:tc>
        <w:tc>
          <w:tcPr>
            <w:vAlign w:val="center"/>
          </w:tcPr>
          <w:p>
            <w:r>
              <w:t>10.40</w:t>
            </w:r>
          </w:p>
        </w:tc>
        <w:tc>
          <w:tcPr>
            <w:vAlign w:val="center"/>
          </w:tcPr>
          <w:p>
            <w:r>
              <w:t>10</w:t>
            </w:r>
          </w:p>
        </w:tc>
        <w:tc>
          <w:tcPr>
            <w:vAlign w:val="center"/>
          </w:tcPr>
          <w:p>
            <w:r>
              <w:t>703</w:t>
            </w:r>
          </w:p>
        </w:tc>
        <w:tc>
          <w:tcPr>
            <w:vAlign w:val="center"/>
          </w:tcPr>
          <w:p>
            <w:r>
              <w:t>7312</w:t>
            </w:r>
          </w:p>
        </w:tc>
        <w:tc>
          <w:tcPr>
            <w:vMerge w:val="continue"/>
            <w:vAlign w:val="center"/>
          </w:tcPr>
          <w:p/>
        </w:tc>
        <w:tc>
          <w:tcPr>
            <w:vAlign w:val="center"/>
          </w:tcPr>
          <w:p>
            <w:r>
              <w:t>4.170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教育-教师女卫</w:t>
            </w:r>
          </w:p>
        </w:tc>
        <w:tc>
          <w:tcPr>
            <w:vAlign w:val="center"/>
          </w:tcPr>
          <w:p>
            <w:r>
              <w:t>10.40</w:t>
            </w:r>
          </w:p>
        </w:tc>
        <w:tc>
          <w:tcPr>
            <w:vAlign w:val="center"/>
          </w:tcPr>
          <w:p>
            <w:r>
              <w:t>2</w:t>
            </w:r>
          </w:p>
        </w:tc>
        <w:tc>
          <w:tcPr>
            <w:vAlign w:val="center"/>
          </w:tcPr>
          <w:p>
            <w:r>
              <w:t>28</w:t>
            </w:r>
          </w:p>
        </w:tc>
        <w:tc>
          <w:tcPr>
            <w:vAlign w:val="center"/>
          </w:tcPr>
          <w:p>
            <w:r>
              <w:t>293</w:t>
            </w:r>
          </w:p>
        </w:tc>
        <w:tc>
          <w:tcPr>
            <w:vMerge w:val="continue"/>
            <w:vAlign w:val="center"/>
          </w:tcPr>
          <w:p/>
        </w:tc>
        <w:tc>
          <w:tcPr>
            <w:vAlign w:val="center"/>
          </w:tcPr>
          <w:p>
            <w:r>
              <w:t>0.167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教育-教师男卫</w:t>
            </w:r>
          </w:p>
        </w:tc>
        <w:tc>
          <w:tcPr>
            <w:vAlign w:val="center"/>
          </w:tcPr>
          <w:p>
            <w:r>
              <w:t>10.40</w:t>
            </w:r>
          </w:p>
        </w:tc>
        <w:tc>
          <w:tcPr>
            <w:vAlign w:val="center"/>
          </w:tcPr>
          <w:p>
            <w:r>
              <w:t>3</w:t>
            </w:r>
          </w:p>
        </w:tc>
        <w:tc>
          <w:tcPr>
            <w:vAlign w:val="center"/>
          </w:tcPr>
          <w:p>
            <w:r>
              <w:t>41</w:t>
            </w:r>
          </w:p>
        </w:tc>
        <w:tc>
          <w:tcPr>
            <w:vAlign w:val="center"/>
          </w:tcPr>
          <w:p>
            <w:r>
              <w:t>423</w:t>
            </w:r>
          </w:p>
        </w:tc>
        <w:tc>
          <w:tcPr>
            <w:vMerge w:val="continue"/>
            <w:vAlign w:val="center"/>
          </w:tcPr>
          <w:p/>
        </w:tc>
        <w:tc>
          <w:tcPr>
            <w:vAlign w:val="center"/>
          </w:tcPr>
          <w:p>
            <w:r>
              <w:t>0.241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教育-教研活动室</w:t>
            </w:r>
          </w:p>
        </w:tc>
        <w:tc>
          <w:tcPr>
            <w:vAlign w:val="center"/>
          </w:tcPr>
          <w:p>
            <w:r>
              <w:t>10.40</w:t>
            </w:r>
          </w:p>
        </w:tc>
        <w:tc>
          <w:tcPr>
            <w:vAlign w:val="center"/>
          </w:tcPr>
          <w:p>
            <w:r>
              <w:t>3</w:t>
            </w:r>
          </w:p>
        </w:tc>
        <w:tc>
          <w:tcPr>
            <w:vAlign w:val="center"/>
          </w:tcPr>
          <w:p>
            <w:r>
              <w:t>314</w:t>
            </w:r>
          </w:p>
        </w:tc>
        <w:tc>
          <w:tcPr>
            <w:vAlign w:val="center"/>
          </w:tcPr>
          <w:p>
            <w:r>
              <w:t>3265</w:t>
            </w:r>
          </w:p>
        </w:tc>
        <w:tc>
          <w:tcPr>
            <w:vMerge w:val="continue"/>
            <w:vAlign w:val="center"/>
          </w:tcPr>
          <w:p/>
        </w:tc>
        <w:tc>
          <w:tcPr>
            <w:vAlign w:val="center"/>
          </w:tcPr>
          <w:p>
            <w:r>
              <w:t>1.862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教育-无障碍楼梯</w:t>
            </w:r>
          </w:p>
        </w:tc>
        <w:tc>
          <w:tcPr>
            <w:vAlign w:val="center"/>
          </w:tcPr>
          <w:p>
            <w:r>
              <w:t>10.40</w:t>
            </w:r>
          </w:p>
        </w:tc>
        <w:tc>
          <w:tcPr>
            <w:vAlign w:val="center"/>
          </w:tcPr>
          <w:p>
            <w:r>
              <w:t>1</w:t>
            </w:r>
          </w:p>
        </w:tc>
        <w:tc>
          <w:tcPr>
            <w:vAlign w:val="center"/>
          </w:tcPr>
          <w:p>
            <w:r>
              <w:t>37</w:t>
            </w:r>
          </w:p>
        </w:tc>
        <w:tc>
          <w:tcPr>
            <w:vAlign w:val="center"/>
          </w:tcPr>
          <w:p>
            <w:r>
              <w:t>387</w:t>
            </w:r>
          </w:p>
        </w:tc>
        <w:tc>
          <w:tcPr>
            <w:vMerge w:val="continue"/>
            <w:vAlign w:val="center"/>
          </w:tcPr>
          <w:p/>
        </w:tc>
        <w:tc>
          <w:tcPr>
            <w:vAlign w:val="center"/>
          </w:tcPr>
          <w:p>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教育-无障碍电梯担架电梯</w:t>
            </w:r>
          </w:p>
        </w:tc>
        <w:tc>
          <w:tcPr>
            <w:vAlign w:val="center"/>
          </w:tcPr>
          <w:p>
            <w:r>
              <w:t>10.40</w:t>
            </w:r>
          </w:p>
        </w:tc>
        <w:tc>
          <w:tcPr>
            <w:vAlign w:val="center"/>
          </w:tcPr>
          <w:p>
            <w:r>
              <w:t>5</w:t>
            </w:r>
          </w:p>
        </w:tc>
        <w:tc>
          <w:tcPr>
            <w:vAlign w:val="center"/>
          </w:tcPr>
          <w:p>
            <w:r>
              <w:t>43</w:t>
            </w:r>
          </w:p>
        </w:tc>
        <w:tc>
          <w:tcPr>
            <w:vAlign w:val="center"/>
          </w:tcPr>
          <w:p>
            <w:r>
              <w:t>443</w:t>
            </w:r>
          </w:p>
        </w:tc>
        <w:tc>
          <w:tcPr>
            <w:vMerge w:val="continue"/>
            <w:vAlign w:val="center"/>
          </w:tcPr>
          <w:p/>
        </w:tc>
        <w:tc>
          <w:tcPr>
            <w:vAlign w:val="center"/>
          </w:tcPr>
          <w:p>
            <w:r>
              <w:t>0.253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普通办公室</w:t>
            </w:r>
          </w:p>
        </w:tc>
        <w:tc>
          <w:tcPr>
            <w:vAlign w:val="center"/>
          </w:tcPr>
          <w:p>
            <w:r>
              <w:t>33.14</w:t>
            </w:r>
          </w:p>
        </w:tc>
        <w:tc>
          <w:tcPr>
            <w:vAlign w:val="center"/>
          </w:tcPr>
          <w:p>
            <w:r>
              <w:t>125</w:t>
            </w:r>
          </w:p>
        </w:tc>
        <w:tc>
          <w:tcPr>
            <w:vAlign w:val="center"/>
          </w:tcPr>
          <w:p>
            <w:r>
              <w:t>1505</w:t>
            </w:r>
          </w:p>
        </w:tc>
        <w:tc>
          <w:tcPr>
            <w:vAlign w:val="center"/>
          </w:tcPr>
          <w:p>
            <w:r>
              <w:t>49855</w:t>
            </w:r>
          </w:p>
        </w:tc>
        <w:tc>
          <w:tcPr>
            <w:vMerge w:val="continue"/>
            <w:vAlign w:val="center"/>
          </w:tcPr>
          <w:p/>
        </w:tc>
        <w:tc>
          <w:tcPr>
            <w:vAlign w:val="center"/>
          </w:tcPr>
          <w:p>
            <w:r>
              <w:t>28.432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教育-普通教室</w:t>
            </w:r>
          </w:p>
        </w:tc>
        <w:tc>
          <w:tcPr>
            <w:vAlign w:val="center"/>
          </w:tcPr>
          <w:p>
            <w:r>
              <w:t>10.40</w:t>
            </w:r>
          </w:p>
        </w:tc>
        <w:tc>
          <w:tcPr>
            <w:vAlign w:val="center"/>
          </w:tcPr>
          <w:p>
            <w:r>
              <w:t>30</w:t>
            </w:r>
          </w:p>
        </w:tc>
        <w:tc>
          <w:tcPr>
            <w:vAlign w:val="center"/>
          </w:tcPr>
          <w:p>
            <w:r>
              <w:t>2740</w:t>
            </w:r>
          </w:p>
        </w:tc>
        <w:tc>
          <w:tcPr>
            <w:vAlign w:val="center"/>
          </w:tcPr>
          <w:p>
            <w:r>
              <w:t>28493</w:t>
            </w:r>
          </w:p>
        </w:tc>
        <w:tc>
          <w:tcPr>
            <w:vMerge w:val="continue"/>
            <w:vAlign w:val="center"/>
          </w:tcPr>
          <w:p/>
        </w:tc>
        <w:tc>
          <w:tcPr>
            <w:vAlign w:val="center"/>
          </w:tcPr>
          <w:p>
            <w:r>
              <w:t>16.250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教育-楼梯间</w:t>
            </w:r>
          </w:p>
        </w:tc>
        <w:tc>
          <w:tcPr>
            <w:vAlign w:val="center"/>
          </w:tcPr>
          <w:p>
            <w:r>
              <w:t>10.40</w:t>
            </w:r>
          </w:p>
        </w:tc>
        <w:tc>
          <w:tcPr>
            <w:vAlign w:val="center"/>
          </w:tcPr>
          <w:p>
            <w:r>
              <w:t>29</w:t>
            </w:r>
          </w:p>
        </w:tc>
        <w:tc>
          <w:tcPr>
            <w:vAlign w:val="center"/>
          </w:tcPr>
          <w:p>
            <w:r>
              <w:t>1075</w:t>
            </w:r>
          </w:p>
        </w:tc>
        <w:tc>
          <w:tcPr>
            <w:vAlign w:val="center"/>
          </w:tcPr>
          <w:p>
            <w:r>
              <w:t>11179</w:t>
            </w:r>
          </w:p>
        </w:tc>
        <w:tc>
          <w:tcPr>
            <w:vMerge w:val="continue"/>
            <w:vAlign w:val="center"/>
          </w:tcPr>
          <w:p/>
        </w:tc>
        <w:tc>
          <w:tcPr>
            <w:vAlign w:val="center"/>
          </w:tcPr>
          <w:p>
            <w:r>
              <w:t>6.376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教育-残卫</w:t>
            </w:r>
          </w:p>
        </w:tc>
        <w:tc>
          <w:tcPr>
            <w:vAlign w:val="center"/>
          </w:tcPr>
          <w:p>
            <w:r>
              <w:t>10.40</w:t>
            </w:r>
          </w:p>
        </w:tc>
        <w:tc>
          <w:tcPr>
            <w:vAlign w:val="center"/>
          </w:tcPr>
          <w:p>
            <w:r>
              <w:t>5</w:t>
            </w:r>
          </w:p>
        </w:tc>
        <w:tc>
          <w:tcPr>
            <w:vAlign w:val="center"/>
          </w:tcPr>
          <w:p>
            <w:r>
              <w:t>37</w:t>
            </w:r>
          </w:p>
        </w:tc>
        <w:tc>
          <w:tcPr>
            <w:vAlign w:val="center"/>
          </w:tcPr>
          <w:p>
            <w:r>
              <w:t>382</w:t>
            </w:r>
          </w:p>
        </w:tc>
        <w:tc>
          <w:tcPr>
            <w:vMerge w:val="continue"/>
            <w:vAlign w:val="center"/>
          </w:tcPr>
          <w:p/>
        </w:tc>
        <w:tc>
          <w:tcPr>
            <w:vAlign w:val="center"/>
          </w:tcPr>
          <w:p>
            <w:r>
              <w:t>0.218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教育-水井</w:t>
            </w:r>
          </w:p>
        </w:tc>
        <w:tc>
          <w:tcPr>
            <w:vAlign w:val="center"/>
          </w:tcPr>
          <w:p>
            <w:r>
              <w:t>10.40</w:t>
            </w:r>
          </w:p>
        </w:tc>
        <w:tc>
          <w:tcPr>
            <w:vAlign w:val="center"/>
          </w:tcPr>
          <w:p>
            <w:r>
              <w:t>25</w:t>
            </w:r>
          </w:p>
        </w:tc>
        <w:tc>
          <w:tcPr>
            <w:vAlign w:val="center"/>
          </w:tcPr>
          <w:p>
            <w:r>
              <w:t>62</w:t>
            </w:r>
          </w:p>
        </w:tc>
        <w:tc>
          <w:tcPr>
            <w:vAlign w:val="center"/>
          </w:tcPr>
          <w:p>
            <w:r>
              <w:t>643</w:t>
            </w:r>
          </w:p>
        </w:tc>
        <w:tc>
          <w:tcPr>
            <w:vMerge w:val="continue"/>
            <w:vAlign w:val="center"/>
          </w:tcPr>
          <w:p/>
        </w:tc>
        <w:tc>
          <w:tcPr>
            <w:vAlign w:val="center"/>
          </w:tcPr>
          <w:p>
            <w:r>
              <w:t>0.367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教育-活动室</w:t>
            </w:r>
          </w:p>
        </w:tc>
        <w:tc>
          <w:tcPr>
            <w:vAlign w:val="center"/>
          </w:tcPr>
          <w:p>
            <w:r>
              <w:t>10.40</w:t>
            </w:r>
          </w:p>
        </w:tc>
        <w:tc>
          <w:tcPr>
            <w:vAlign w:val="center"/>
          </w:tcPr>
          <w:p>
            <w:r>
              <w:t>19</w:t>
            </w:r>
          </w:p>
        </w:tc>
        <w:tc>
          <w:tcPr>
            <w:vAlign w:val="center"/>
          </w:tcPr>
          <w:p>
            <w:r>
              <w:t>1728</w:t>
            </w:r>
          </w:p>
        </w:tc>
        <w:tc>
          <w:tcPr>
            <w:vAlign w:val="center"/>
          </w:tcPr>
          <w:p>
            <w:r>
              <w:t>17969</w:t>
            </w:r>
          </w:p>
        </w:tc>
        <w:tc>
          <w:tcPr>
            <w:vMerge w:val="continue"/>
            <w:vAlign w:val="center"/>
          </w:tcPr>
          <w:p/>
        </w:tc>
        <w:tc>
          <w:tcPr>
            <w:vAlign w:val="center"/>
          </w:tcPr>
          <w:p>
            <w:r>
              <w:t>10.248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教育-物理实验室</w:t>
            </w:r>
          </w:p>
        </w:tc>
        <w:tc>
          <w:tcPr>
            <w:vAlign w:val="center"/>
          </w:tcPr>
          <w:p>
            <w:r>
              <w:t>10.40</w:t>
            </w:r>
          </w:p>
        </w:tc>
        <w:tc>
          <w:tcPr>
            <w:vAlign w:val="center"/>
          </w:tcPr>
          <w:p>
            <w:r>
              <w:t>3</w:t>
            </w:r>
          </w:p>
        </w:tc>
        <w:tc>
          <w:tcPr>
            <w:vAlign w:val="center"/>
          </w:tcPr>
          <w:p>
            <w:r>
              <w:t>314</w:t>
            </w:r>
          </w:p>
        </w:tc>
        <w:tc>
          <w:tcPr>
            <w:vAlign w:val="center"/>
          </w:tcPr>
          <w:p>
            <w:r>
              <w:t>3265</w:t>
            </w:r>
          </w:p>
        </w:tc>
        <w:tc>
          <w:tcPr>
            <w:vMerge w:val="continue"/>
            <w:vAlign w:val="center"/>
          </w:tcPr>
          <w:p/>
        </w:tc>
        <w:tc>
          <w:tcPr>
            <w:vAlign w:val="center"/>
          </w:tcPr>
          <w:p>
            <w:r>
              <w:t>1.862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教育-生物实验室</w:t>
            </w:r>
          </w:p>
        </w:tc>
        <w:tc>
          <w:tcPr>
            <w:vAlign w:val="center"/>
          </w:tcPr>
          <w:p>
            <w:r>
              <w:t>10.40</w:t>
            </w:r>
          </w:p>
        </w:tc>
        <w:tc>
          <w:tcPr>
            <w:vAlign w:val="center"/>
          </w:tcPr>
          <w:p>
            <w:r>
              <w:t>2</w:t>
            </w:r>
          </w:p>
        </w:tc>
        <w:tc>
          <w:tcPr>
            <w:vAlign w:val="center"/>
          </w:tcPr>
          <w:p>
            <w:r>
              <w:t>210</w:t>
            </w:r>
          </w:p>
        </w:tc>
        <w:tc>
          <w:tcPr>
            <w:vAlign w:val="center"/>
          </w:tcPr>
          <w:p>
            <w:r>
              <w:t>2179</w:t>
            </w:r>
          </w:p>
        </w:tc>
        <w:tc>
          <w:tcPr>
            <w:vMerge w:val="continue"/>
            <w:vAlign w:val="center"/>
          </w:tcPr>
          <w:p/>
        </w:tc>
        <w:tc>
          <w:tcPr>
            <w:vAlign w:val="center"/>
          </w:tcPr>
          <w:p>
            <w:r>
              <w:t>1.243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教育-男卫</w:t>
            </w:r>
          </w:p>
        </w:tc>
        <w:tc>
          <w:tcPr>
            <w:vAlign w:val="center"/>
          </w:tcPr>
          <w:p>
            <w:r>
              <w:t>10.40</w:t>
            </w:r>
          </w:p>
        </w:tc>
        <w:tc>
          <w:tcPr>
            <w:vAlign w:val="center"/>
          </w:tcPr>
          <w:p>
            <w:r>
              <w:t>15</w:t>
            </w:r>
          </w:p>
        </w:tc>
        <w:tc>
          <w:tcPr>
            <w:vAlign w:val="center"/>
          </w:tcPr>
          <w:p>
            <w:r>
              <w:t>279</w:t>
            </w:r>
          </w:p>
        </w:tc>
        <w:tc>
          <w:tcPr>
            <w:vAlign w:val="center"/>
          </w:tcPr>
          <w:p>
            <w:r>
              <w:t>2905</w:t>
            </w:r>
          </w:p>
        </w:tc>
        <w:tc>
          <w:tcPr>
            <w:vMerge w:val="continue"/>
            <w:vAlign w:val="center"/>
          </w:tcPr>
          <w:p/>
        </w:tc>
        <w:tc>
          <w:tcPr>
            <w:vAlign w:val="center"/>
          </w:tcPr>
          <w:p>
            <w:r>
              <w:t>1.657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教育-盥洗室</w:t>
            </w:r>
          </w:p>
        </w:tc>
        <w:tc>
          <w:tcPr>
            <w:vAlign w:val="center"/>
          </w:tcPr>
          <w:p>
            <w:r>
              <w:t>10.40</w:t>
            </w:r>
          </w:p>
        </w:tc>
        <w:tc>
          <w:tcPr>
            <w:vAlign w:val="center"/>
          </w:tcPr>
          <w:p>
            <w:r>
              <w:t>35</w:t>
            </w:r>
          </w:p>
        </w:tc>
        <w:tc>
          <w:tcPr>
            <w:vAlign w:val="center"/>
          </w:tcPr>
          <w:p>
            <w:r>
              <w:t>265</w:t>
            </w:r>
          </w:p>
        </w:tc>
        <w:tc>
          <w:tcPr>
            <w:vAlign w:val="center"/>
          </w:tcPr>
          <w:p>
            <w:r>
              <w:t>2754</w:t>
            </w:r>
          </w:p>
        </w:tc>
        <w:tc>
          <w:tcPr>
            <w:vMerge w:val="continue"/>
            <w:vAlign w:val="center"/>
          </w:tcPr>
          <w:p/>
        </w:tc>
        <w:tc>
          <w:tcPr>
            <w:vAlign w:val="center"/>
          </w:tcPr>
          <w:p>
            <w:r>
              <w:t>1.571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58</w:t>
            </w:r>
          </w:p>
        </w:tc>
        <w:tc>
          <w:tcPr>
            <w:vAlign w:val="center"/>
          </w:tcPr>
          <w:p>
            <w:r>
              <w:t>77</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教育-空房间</w:t>
            </w:r>
          </w:p>
        </w:tc>
        <w:tc>
          <w:tcPr>
            <w:vAlign w:val="center"/>
          </w:tcPr>
          <w:p>
            <w:r>
              <w:t>0.00</w:t>
            </w:r>
          </w:p>
        </w:tc>
        <w:tc>
          <w:tcPr>
            <w:vAlign w:val="center"/>
          </w:tcPr>
          <w:p>
            <w:r>
              <w:t>26</w:t>
            </w:r>
          </w:p>
        </w:tc>
        <w:tc>
          <w:tcPr>
            <w:vAlign w:val="center"/>
          </w:tcPr>
          <w:p>
            <w:r>
              <w:t>51</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教育-美术教室</w:t>
            </w:r>
          </w:p>
        </w:tc>
        <w:tc>
          <w:tcPr>
            <w:vAlign w:val="center"/>
          </w:tcPr>
          <w:p>
            <w:r>
              <w:t>10.40</w:t>
            </w:r>
          </w:p>
        </w:tc>
        <w:tc>
          <w:tcPr>
            <w:vAlign w:val="center"/>
          </w:tcPr>
          <w:p>
            <w:r>
              <w:t>1</w:t>
            </w:r>
          </w:p>
        </w:tc>
        <w:tc>
          <w:tcPr>
            <w:vAlign w:val="center"/>
          </w:tcPr>
          <w:p>
            <w:r>
              <w:t>104</w:t>
            </w:r>
          </w:p>
        </w:tc>
        <w:tc>
          <w:tcPr>
            <w:vAlign w:val="center"/>
          </w:tcPr>
          <w:p>
            <w:r>
              <w:t>1087</w:t>
            </w:r>
          </w:p>
        </w:tc>
        <w:tc>
          <w:tcPr>
            <w:vMerge w:val="continue"/>
            <w:vAlign w:val="center"/>
          </w:tcPr>
          <w:p/>
        </w:tc>
        <w:tc>
          <w:tcPr>
            <w:vAlign w:val="center"/>
          </w:tcPr>
          <w:p>
            <w:r>
              <w:t>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教育-计算机教室</w:t>
            </w:r>
          </w:p>
        </w:tc>
        <w:tc>
          <w:tcPr>
            <w:vAlign w:val="center"/>
          </w:tcPr>
          <w:p>
            <w:r>
              <w:t>10.40</w:t>
            </w:r>
          </w:p>
        </w:tc>
        <w:tc>
          <w:tcPr>
            <w:vAlign w:val="center"/>
          </w:tcPr>
          <w:p>
            <w:r>
              <w:t>3</w:t>
            </w:r>
          </w:p>
        </w:tc>
        <w:tc>
          <w:tcPr>
            <w:vAlign w:val="center"/>
          </w:tcPr>
          <w:p>
            <w:r>
              <w:t>314</w:t>
            </w:r>
          </w:p>
        </w:tc>
        <w:tc>
          <w:tcPr>
            <w:vAlign w:val="center"/>
          </w:tcPr>
          <w:p>
            <w:r>
              <w:t>3265</w:t>
            </w:r>
          </w:p>
        </w:tc>
        <w:tc>
          <w:tcPr>
            <w:vMerge w:val="continue"/>
            <w:vAlign w:val="center"/>
          </w:tcPr>
          <w:p/>
        </w:tc>
        <w:tc>
          <w:tcPr>
            <w:vAlign w:val="center"/>
          </w:tcPr>
          <w:p>
            <w:r>
              <w:t>1.862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教育-设备平台</w:t>
            </w:r>
          </w:p>
        </w:tc>
        <w:tc>
          <w:tcPr>
            <w:vAlign w:val="center"/>
          </w:tcPr>
          <w:p>
            <w:r>
              <w:t>10.40</w:t>
            </w:r>
          </w:p>
        </w:tc>
        <w:tc>
          <w:tcPr>
            <w:vAlign w:val="center"/>
          </w:tcPr>
          <w:p>
            <w:r>
              <w:t>70</w:t>
            </w:r>
          </w:p>
        </w:tc>
        <w:tc>
          <w:tcPr>
            <w:vAlign w:val="center"/>
          </w:tcPr>
          <w:p>
            <w:r>
              <w:t>193</w:t>
            </w:r>
          </w:p>
        </w:tc>
        <w:tc>
          <w:tcPr>
            <w:vAlign w:val="center"/>
          </w:tcPr>
          <w:p>
            <w:r>
              <w:t>2011</w:t>
            </w:r>
          </w:p>
        </w:tc>
        <w:tc>
          <w:tcPr>
            <w:vMerge w:val="continue"/>
            <w:vAlign w:val="center"/>
          </w:tcPr>
          <w:p/>
        </w:tc>
        <w:tc>
          <w:tcPr>
            <w:vAlign w:val="center"/>
          </w:tcPr>
          <w:p>
            <w:r>
              <w:t>1.147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教育-风井</w:t>
            </w:r>
          </w:p>
        </w:tc>
        <w:tc>
          <w:tcPr>
            <w:vAlign w:val="center"/>
          </w:tcPr>
          <w:p>
            <w:r>
              <w:t>10.40</w:t>
            </w:r>
          </w:p>
        </w:tc>
        <w:tc>
          <w:tcPr>
            <w:vAlign w:val="center"/>
          </w:tcPr>
          <w:p>
            <w:r>
              <w:t>15</w:t>
            </w:r>
          </w:p>
        </w:tc>
        <w:tc>
          <w:tcPr>
            <w:vAlign w:val="center"/>
          </w:tcPr>
          <w:p>
            <w:r>
              <w:t>14</w:t>
            </w:r>
          </w:p>
        </w:tc>
        <w:tc>
          <w:tcPr>
            <w:vAlign w:val="center"/>
          </w:tcPr>
          <w:p>
            <w:r>
              <w:t>141</w:t>
            </w:r>
          </w:p>
        </w:tc>
        <w:tc>
          <w:tcPr>
            <w:vMerge w:val="continue"/>
            <w:vAlign w:val="center"/>
          </w:tcPr>
          <w:p/>
        </w:tc>
        <w:tc>
          <w:tcPr>
            <w:vAlign w:val="center"/>
          </w:tcPr>
          <w:p>
            <w:r>
              <w:t>0.081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87.184</w:t>
            </w:r>
          </w:p>
        </w:tc>
      </w:tr>
    </w:tbl>
    <w:p>
      <w:pPr>
        <w:pStyle w:val="4"/>
        <w:rPr>
          <w:lang w:val="en-US"/>
        </w:rPr>
      </w:pPr>
      <w:bookmarkStart w:id="100" w:name="_Toc7931"/>
      <w:r>
        <w:rPr>
          <w:lang w:val="en-US"/>
        </w:rPr>
        <w:t>光伏发电</w:t>
      </w:r>
      <w:bookmarkEnd w:id="100"/>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发电量(kWh/a)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63.2</w:t>
            </w:r>
          </w:p>
        </w:tc>
        <w:tc>
          <w:tcPr>
            <w:vMerge w:val="restart"/>
            <w:vAlign w:val="center"/>
          </w:tcPr>
          <w:p>
            <w:r>
              <w:t>0.5703</w:t>
            </w:r>
          </w:p>
        </w:tc>
        <w:tc>
          <w:tcPr>
            <w:vAlign w:val="center"/>
          </w:tcPr>
          <w:p>
            <w:r>
              <w:t>0.036043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w:t>
            </w:r>
          </w:p>
        </w:tc>
        <w:tc>
          <w:tcPr>
            <w:vAlign w:val="center"/>
          </w:tcPr>
          <w:p>
            <w:r>
              <w:t>62</w:t>
            </w:r>
          </w:p>
        </w:tc>
        <w:tc>
          <w:tcPr>
            <w:vMerge w:val="continue"/>
            <w:vAlign w:val="center"/>
          </w:tcPr>
          <w:p/>
        </w:tc>
        <w:tc>
          <w:tcPr>
            <w:vAlign w:val="center"/>
          </w:tcPr>
          <w:p>
            <w:r>
              <w:t>0.0353586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w:t>
            </w:r>
          </w:p>
        </w:tc>
        <w:tc>
          <w:tcPr>
            <w:vAlign w:val="center"/>
          </w:tcPr>
          <w:p>
            <w:r>
              <w:t>69.4</w:t>
            </w:r>
          </w:p>
        </w:tc>
        <w:tc>
          <w:tcPr>
            <w:vMerge w:val="continue"/>
            <w:vAlign w:val="center"/>
          </w:tcPr>
          <w:p/>
        </w:tc>
        <w:tc>
          <w:tcPr>
            <w:vAlign w:val="center"/>
          </w:tcPr>
          <w:p>
            <w:r>
              <w:t>0.0395788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4</w:t>
            </w:r>
          </w:p>
        </w:tc>
        <w:tc>
          <w:tcPr>
            <w:vAlign w:val="center"/>
          </w:tcPr>
          <w:p>
            <w:r>
              <w:t>85.3</w:t>
            </w:r>
          </w:p>
        </w:tc>
        <w:tc>
          <w:tcPr>
            <w:vMerge w:val="continue"/>
            <w:vAlign w:val="center"/>
          </w:tcPr>
          <w:p/>
        </w:tc>
        <w:tc>
          <w:tcPr>
            <w:vAlign w:val="center"/>
          </w:tcPr>
          <w:p>
            <w:r>
              <w:t>0.0486466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w:t>
            </w:r>
          </w:p>
        </w:tc>
        <w:tc>
          <w:tcPr>
            <w:vAlign w:val="center"/>
          </w:tcPr>
          <w:p>
            <w:r>
              <w:t>103.9</w:t>
            </w:r>
          </w:p>
        </w:tc>
        <w:tc>
          <w:tcPr>
            <w:vMerge w:val="continue"/>
            <w:vAlign w:val="center"/>
          </w:tcPr>
          <w:p/>
        </w:tc>
        <w:tc>
          <w:tcPr>
            <w:vAlign w:val="center"/>
          </w:tcPr>
          <w:p>
            <w:r>
              <w:t>0.0592542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6</w:t>
            </w:r>
          </w:p>
        </w:tc>
        <w:tc>
          <w:tcPr>
            <w:vAlign w:val="center"/>
          </w:tcPr>
          <w:p>
            <w:r>
              <w:t>106.8</w:t>
            </w:r>
          </w:p>
        </w:tc>
        <w:tc>
          <w:tcPr>
            <w:vMerge w:val="continue"/>
            <w:vAlign w:val="center"/>
          </w:tcPr>
          <w:p/>
        </w:tc>
        <w:tc>
          <w:tcPr>
            <w:vAlign w:val="center"/>
          </w:tcPr>
          <w:p>
            <w:r>
              <w:t>0.060908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7</w:t>
            </w:r>
          </w:p>
        </w:tc>
        <w:tc>
          <w:tcPr>
            <w:vAlign w:val="center"/>
          </w:tcPr>
          <w:p>
            <w:r>
              <w:t>128.6</w:t>
            </w:r>
          </w:p>
        </w:tc>
        <w:tc>
          <w:tcPr>
            <w:vMerge w:val="continue"/>
            <w:vAlign w:val="center"/>
          </w:tcPr>
          <w:p/>
        </w:tc>
        <w:tc>
          <w:tcPr>
            <w:vAlign w:val="center"/>
          </w:tcPr>
          <w:p>
            <w:r>
              <w:t>0.0733406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8</w:t>
            </w:r>
          </w:p>
        </w:tc>
        <w:tc>
          <w:tcPr>
            <w:vAlign w:val="center"/>
          </w:tcPr>
          <w:p>
            <w:r>
              <w:t>121.7</w:t>
            </w:r>
          </w:p>
        </w:tc>
        <w:tc>
          <w:tcPr>
            <w:vMerge w:val="continue"/>
            <w:vAlign w:val="center"/>
          </w:tcPr>
          <w:p/>
        </w:tc>
        <w:tc>
          <w:tcPr>
            <w:vAlign w:val="center"/>
          </w:tcPr>
          <w:p>
            <w:r>
              <w:t>0.0694055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9</w:t>
            </w:r>
          </w:p>
        </w:tc>
        <w:tc>
          <w:tcPr>
            <w:vAlign w:val="center"/>
          </w:tcPr>
          <w:p>
            <w:r>
              <w:t>109.8</w:t>
            </w:r>
          </w:p>
        </w:tc>
        <w:tc>
          <w:tcPr>
            <w:vMerge w:val="continue"/>
            <w:vAlign w:val="center"/>
          </w:tcPr>
          <w:p/>
        </w:tc>
        <w:tc>
          <w:tcPr>
            <w:vAlign w:val="center"/>
          </w:tcPr>
          <w:p>
            <w:r>
              <w:t>0.0626189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w:t>
            </w:r>
          </w:p>
        </w:tc>
        <w:tc>
          <w:tcPr>
            <w:vAlign w:val="center"/>
          </w:tcPr>
          <w:p>
            <w:r>
              <w:t>102.2</w:t>
            </w:r>
          </w:p>
        </w:tc>
        <w:tc>
          <w:tcPr>
            <w:vMerge w:val="continue"/>
            <w:vAlign w:val="center"/>
          </w:tcPr>
          <w:p/>
        </w:tc>
        <w:tc>
          <w:tcPr>
            <w:vAlign w:val="center"/>
          </w:tcPr>
          <w:p>
            <w:r>
              <w:t>0.0582847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11</w:t>
            </w:r>
          </w:p>
        </w:tc>
        <w:tc>
          <w:tcPr>
            <w:vAlign w:val="center"/>
          </w:tcPr>
          <w:p>
            <w:r>
              <w:t>78.4</w:t>
            </w:r>
          </w:p>
        </w:tc>
        <w:tc>
          <w:tcPr>
            <w:vMerge w:val="continue"/>
            <w:vAlign w:val="center"/>
          </w:tcPr>
          <w:p/>
        </w:tc>
        <w:tc>
          <w:tcPr>
            <w:vAlign w:val="center"/>
          </w:tcPr>
          <w:p>
            <w:r>
              <w:t>0.0447115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w:t>
            </w:r>
          </w:p>
        </w:tc>
        <w:tc>
          <w:tcPr>
            <w:vAlign w:val="center"/>
          </w:tcPr>
          <w:p>
            <w:r>
              <w:t>66.8</w:t>
            </w:r>
          </w:p>
        </w:tc>
        <w:tc>
          <w:tcPr>
            <w:vMerge w:val="continue"/>
            <w:vAlign w:val="center"/>
          </w:tcPr>
          <w:p/>
        </w:tc>
        <w:tc>
          <w:tcPr>
            <w:vAlign w:val="center"/>
          </w:tcPr>
          <w:p>
            <w:r>
              <w:t>0.038096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r>
              <w:t>总计</w:t>
            </w:r>
          </w:p>
        </w:tc>
        <w:tc>
          <w:tcPr>
            <w:vAlign w:val="center"/>
          </w:tcPr>
          <w:p>
            <w:r>
              <w:t>0.626</w:t>
            </w:r>
          </w:p>
        </w:tc>
      </w:tr>
    </w:tbl>
    <w:p>
      <w:pPr>
        <w:sectPr>
          <w:pgSz w:w="11906" w:h="16838"/>
          <w:pgMar w:top="1440" w:right="1418" w:bottom="1440" w:left="1418" w:header="851" w:footer="992" w:gutter="0"/>
          <w:cols w:space="425" w:num="1"/>
          <w:docGrid w:type="lines" w:linePitch="312" w:charSpace="0"/>
        </w:sectPr>
      </w:pPr>
    </w:p>
    <w:p>
      <w:pPr>
        <w:pStyle w:val="4"/>
        <w:rPr>
          <w:lang w:val="en-US"/>
        </w:rPr>
      </w:pPr>
      <w:bookmarkStart w:id="101" w:name="_Toc12926"/>
      <w:r>
        <w:rPr>
          <w:lang w:val="en-US"/>
        </w:rPr>
        <w:t>时间表</w:t>
      </w:r>
      <w:bookmarkEnd w:id="101"/>
    </w:p>
    <w:p>
      <w:pPr>
        <w:rPr>
          <w:lang w:val="en-US"/>
        </w:rPr>
      </w:pPr>
    </w:p>
    <w:p>
      <w:r>
        <w:t>暑假:7.4~8.31; 寒假：1.31~2.25</w:t>
      </w:r>
    </w:p>
    <w:p>
      <w:pPr>
        <w:pStyle w:val="5"/>
      </w:pPr>
      <w:bookmarkStart w:id="102" w:name="_Toc7681"/>
      <w:r>
        <w:t>工作日/节假日人员逐时在室率(%)</w:t>
      </w:r>
      <w:bookmarkEnd w:id="102"/>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教育-党建活动室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教育-准备室（丁类，无爆炸危险）</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教育-化学实验室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教育-开放共享空间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教育-弱电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教育-强电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教育-教研活动室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教育-无障碍楼梯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教育-无障碍电梯担架电梯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教育-残卫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教育-水井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教育-物理实验室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教育-生物实验室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教育-盥洗室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教育-计算机教室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教育-设备平台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教育-风井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5"/>
      </w:pPr>
      <w:bookmarkStart w:id="103" w:name="_Toc16516"/>
      <w:r>
        <w:t>工作日/节假日照明开关时间表(%)</w:t>
      </w:r>
      <w:bookmarkEnd w:id="103"/>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教育-党建活动室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教育-准备室（丁类，无爆炸危险）</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教育-化学实验室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教育-开放共享空间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教育-弱电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教育-强电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教育-教研活动室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教育-无障碍楼梯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教育-无障碍电梯担架电梯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教育-残卫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教育-水井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教育-物理实验室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教育-生物实验室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教育-盥洗室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教育-计算机教室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教育-设备平台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教育-风井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5"/>
      </w:pPr>
      <w:bookmarkStart w:id="104" w:name="_Toc25670"/>
      <w:r>
        <w:t>工作日/节假日设备逐时使用率(%)</w:t>
      </w:r>
      <w:bookmarkEnd w:id="104"/>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教育-党建活动室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教育-准备室（丁类，无爆炸危险）</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教育-化学实验室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教育-开放共享空间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教育-弱电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教育-强电</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教育-教师女卫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教育-教师男卫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教育-教研活动室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教育-无障碍楼梯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教育-无障碍电梯担架电梯</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教育-残卫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教育-水井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教育-活动室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教育-物理实验室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教育-生物实验室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教育-男卫</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教育-盥洗室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教育-计算机教室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教育-设备平台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教育-风井</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5"/>
      </w:pPr>
      <w:bookmarkStart w:id="105" w:name="_Toc26572"/>
      <w:r>
        <w:t>工作日/节假日空调系统运行时间表(1:开,0:关)</w:t>
      </w:r>
      <w:bookmarkEnd w:id="105"/>
    </w:p>
    <w:p>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5"/>
      </w:pPr>
      <w:bookmarkStart w:id="106" w:name="_Toc7880"/>
      <w:r>
        <w:t>工作日/节假日新风运行时间表(%)</w:t>
      </w:r>
      <w:bookmarkEnd w:id="106"/>
    </w:p>
    <w:p>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注：第一行：工作日；第二行：节假日；第三行：寒假；第四行：暑假</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00"/>
      <w:jc w:val="left"/>
      <w:rPr>
        <w:rFonts w:ascii="Calibri" w:hAnsi="Calibri" w:cs="Calibri"/>
        <w:color w:val="000000"/>
        <w:sz w:val="20"/>
        <w:szCs w:val="20"/>
      </w:rPr>
    </w:pPr>
  </w:p>
  <w:p>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24184C08"/>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00F4"/>
    <w:rsid w:val="00076A0C"/>
    <w:rsid w:val="00084154"/>
    <w:rsid w:val="000873E0"/>
    <w:rsid w:val="000955D1"/>
    <w:rsid w:val="000A3BFD"/>
    <w:rsid w:val="000B2F5A"/>
    <w:rsid w:val="000B3AD7"/>
    <w:rsid w:val="000B4001"/>
    <w:rsid w:val="000C21FF"/>
    <w:rsid w:val="000D5BDD"/>
    <w:rsid w:val="000E707C"/>
    <w:rsid w:val="000E73A6"/>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A1D4F"/>
    <w:rsid w:val="001B2E91"/>
    <w:rsid w:val="001B7676"/>
    <w:rsid w:val="001C5FDE"/>
    <w:rsid w:val="001D0666"/>
    <w:rsid w:val="001D4767"/>
    <w:rsid w:val="001D5BEF"/>
    <w:rsid w:val="001F2EAE"/>
    <w:rsid w:val="001F561C"/>
    <w:rsid w:val="001F6B6C"/>
    <w:rsid w:val="00203A7D"/>
    <w:rsid w:val="00206A37"/>
    <w:rsid w:val="002122E8"/>
    <w:rsid w:val="0021504D"/>
    <w:rsid w:val="00225A6C"/>
    <w:rsid w:val="002324A2"/>
    <w:rsid w:val="00232CCC"/>
    <w:rsid w:val="00235D41"/>
    <w:rsid w:val="002425B6"/>
    <w:rsid w:val="00245791"/>
    <w:rsid w:val="002501CA"/>
    <w:rsid w:val="002555B8"/>
    <w:rsid w:val="00262DF1"/>
    <w:rsid w:val="0026678B"/>
    <w:rsid w:val="00272F04"/>
    <w:rsid w:val="00274A4B"/>
    <w:rsid w:val="002807D1"/>
    <w:rsid w:val="00286ADA"/>
    <w:rsid w:val="0028759B"/>
    <w:rsid w:val="002A4E5B"/>
    <w:rsid w:val="002A55C2"/>
    <w:rsid w:val="002A5A94"/>
    <w:rsid w:val="002B2EC4"/>
    <w:rsid w:val="002B430E"/>
    <w:rsid w:val="002C0A18"/>
    <w:rsid w:val="002C11BF"/>
    <w:rsid w:val="002C6168"/>
    <w:rsid w:val="002C7EE0"/>
    <w:rsid w:val="002E44F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27BD3"/>
    <w:rsid w:val="00331C89"/>
    <w:rsid w:val="00333BB4"/>
    <w:rsid w:val="00333BE8"/>
    <w:rsid w:val="00336171"/>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4AD5"/>
    <w:rsid w:val="003E6A2B"/>
    <w:rsid w:val="003F4D6F"/>
    <w:rsid w:val="003F5BE3"/>
    <w:rsid w:val="003F66BF"/>
    <w:rsid w:val="003F7BE4"/>
    <w:rsid w:val="00406741"/>
    <w:rsid w:val="0041415C"/>
    <w:rsid w:val="00423DF2"/>
    <w:rsid w:val="00424E50"/>
    <w:rsid w:val="00433881"/>
    <w:rsid w:val="00441313"/>
    <w:rsid w:val="00443757"/>
    <w:rsid w:val="00455279"/>
    <w:rsid w:val="0045611F"/>
    <w:rsid w:val="00460D5B"/>
    <w:rsid w:val="0047238A"/>
    <w:rsid w:val="004757AE"/>
    <w:rsid w:val="00475D7A"/>
    <w:rsid w:val="00483CEF"/>
    <w:rsid w:val="00484061"/>
    <w:rsid w:val="00487D34"/>
    <w:rsid w:val="00494E44"/>
    <w:rsid w:val="0049561F"/>
    <w:rsid w:val="004968BA"/>
    <w:rsid w:val="00496D8C"/>
    <w:rsid w:val="004A702B"/>
    <w:rsid w:val="004B0709"/>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21C5B"/>
    <w:rsid w:val="00534262"/>
    <w:rsid w:val="00540B8B"/>
    <w:rsid w:val="00553B3B"/>
    <w:rsid w:val="005555D6"/>
    <w:rsid w:val="0055574C"/>
    <w:rsid w:val="00555959"/>
    <w:rsid w:val="0056173B"/>
    <w:rsid w:val="00561CB2"/>
    <w:rsid w:val="00561CCE"/>
    <w:rsid w:val="00570FEF"/>
    <w:rsid w:val="0057343B"/>
    <w:rsid w:val="005755BA"/>
    <w:rsid w:val="00576531"/>
    <w:rsid w:val="00581198"/>
    <w:rsid w:val="00584FAF"/>
    <w:rsid w:val="005911D8"/>
    <w:rsid w:val="00596D4F"/>
    <w:rsid w:val="005A1395"/>
    <w:rsid w:val="005A5ADF"/>
    <w:rsid w:val="005A5C98"/>
    <w:rsid w:val="005B0D08"/>
    <w:rsid w:val="005C2251"/>
    <w:rsid w:val="005C264D"/>
    <w:rsid w:val="005C48E7"/>
    <w:rsid w:val="005D18B6"/>
    <w:rsid w:val="005D3F38"/>
    <w:rsid w:val="005D7274"/>
    <w:rsid w:val="005E385A"/>
    <w:rsid w:val="005F0007"/>
    <w:rsid w:val="005F23B3"/>
    <w:rsid w:val="0060084E"/>
    <w:rsid w:val="00605D1B"/>
    <w:rsid w:val="006073D0"/>
    <w:rsid w:val="00610AC1"/>
    <w:rsid w:val="00616758"/>
    <w:rsid w:val="00617CF9"/>
    <w:rsid w:val="0062349D"/>
    <w:rsid w:val="00636256"/>
    <w:rsid w:val="00646892"/>
    <w:rsid w:val="00656103"/>
    <w:rsid w:val="00657333"/>
    <w:rsid w:val="00660C93"/>
    <w:rsid w:val="00660E7F"/>
    <w:rsid w:val="00662870"/>
    <w:rsid w:val="00663A66"/>
    <w:rsid w:val="0067043D"/>
    <w:rsid w:val="006740FD"/>
    <w:rsid w:val="00675521"/>
    <w:rsid w:val="006764FA"/>
    <w:rsid w:val="0067684E"/>
    <w:rsid w:val="00681D10"/>
    <w:rsid w:val="00683DD6"/>
    <w:rsid w:val="006904B5"/>
    <w:rsid w:val="00694FCA"/>
    <w:rsid w:val="0069576E"/>
    <w:rsid w:val="00697D19"/>
    <w:rsid w:val="006A0084"/>
    <w:rsid w:val="006A2A62"/>
    <w:rsid w:val="006A2F50"/>
    <w:rsid w:val="006A48CE"/>
    <w:rsid w:val="006B28F6"/>
    <w:rsid w:val="006B38CD"/>
    <w:rsid w:val="006D11B4"/>
    <w:rsid w:val="006D6523"/>
    <w:rsid w:val="006E0EFC"/>
    <w:rsid w:val="006E1CD1"/>
    <w:rsid w:val="006E3B8E"/>
    <w:rsid w:val="006E4244"/>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4D"/>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B6A"/>
    <w:rsid w:val="008D3D30"/>
    <w:rsid w:val="008D6C46"/>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3399D"/>
    <w:rsid w:val="00941A3D"/>
    <w:rsid w:val="0094344D"/>
    <w:rsid w:val="00944EB4"/>
    <w:rsid w:val="00952401"/>
    <w:rsid w:val="00952B34"/>
    <w:rsid w:val="00963A72"/>
    <w:rsid w:val="009677EB"/>
    <w:rsid w:val="009815D4"/>
    <w:rsid w:val="00994673"/>
    <w:rsid w:val="00995051"/>
    <w:rsid w:val="009A05A2"/>
    <w:rsid w:val="009A4B86"/>
    <w:rsid w:val="009B21D0"/>
    <w:rsid w:val="009B7E26"/>
    <w:rsid w:val="009C2358"/>
    <w:rsid w:val="009C2F8B"/>
    <w:rsid w:val="009D1406"/>
    <w:rsid w:val="009D4E84"/>
    <w:rsid w:val="009E651E"/>
    <w:rsid w:val="009E74ED"/>
    <w:rsid w:val="009F0577"/>
    <w:rsid w:val="009F1D79"/>
    <w:rsid w:val="009F288F"/>
    <w:rsid w:val="009F2B9E"/>
    <w:rsid w:val="00A051FC"/>
    <w:rsid w:val="00A057C6"/>
    <w:rsid w:val="00A1000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21E3"/>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326F6"/>
    <w:rsid w:val="00B41640"/>
    <w:rsid w:val="00B43F6F"/>
    <w:rsid w:val="00B45CB6"/>
    <w:rsid w:val="00B5050B"/>
    <w:rsid w:val="00B52B15"/>
    <w:rsid w:val="00B55B22"/>
    <w:rsid w:val="00B55D3D"/>
    <w:rsid w:val="00B60476"/>
    <w:rsid w:val="00B60841"/>
    <w:rsid w:val="00B63399"/>
    <w:rsid w:val="00B77C37"/>
    <w:rsid w:val="00B82334"/>
    <w:rsid w:val="00B84891"/>
    <w:rsid w:val="00B87AC0"/>
    <w:rsid w:val="00BA2E58"/>
    <w:rsid w:val="00BA44E0"/>
    <w:rsid w:val="00BA5EFA"/>
    <w:rsid w:val="00BC3937"/>
    <w:rsid w:val="00BC7B95"/>
    <w:rsid w:val="00BD6A84"/>
    <w:rsid w:val="00BE1EA2"/>
    <w:rsid w:val="00BE34F5"/>
    <w:rsid w:val="00BE5164"/>
    <w:rsid w:val="00BF08D5"/>
    <w:rsid w:val="00BF1B0B"/>
    <w:rsid w:val="00BF221F"/>
    <w:rsid w:val="00BF279B"/>
    <w:rsid w:val="00BF7FC0"/>
    <w:rsid w:val="00C00FE2"/>
    <w:rsid w:val="00C1704E"/>
    <w:rsid w:val="00C20636"/>
    <w:rsid w:val="00C27639"/>
    <w:rsid w:val="00C34A67"/>
    <w:rsid w:val="00C3704B"/>
    <w:rsid w:val="00C3759E"/>
    <w:rsid w:val="00C37EE3"/>
    <w:rsid w:val="00C63237"/>
    <w:rsid w:val="00C67778"/>
    <w:rsid w:val="00C70939"/>
    <w:rsid w:val="00C77EB7"/>
    <w:rsid w:val="00C82E0F"/>
    <w:rsid w:val="00C919F8"/>
    <w:rsid w:val="00C9532F"/>
    <w:rsid w:val="00C97E25"/>
    <w:rsid w:val="00CA1FE2"/>
    <w:rsid w:val="00CA2081"/>
    <w:rsid w:val="00CB5E85"/>
    <w:rsid w:val="00CD3821"/>
    <w:rsid w:val="00CD40EE"/>
    <w:rsid w:val="00CD67FD"/>
    <w:rsid w:val="00CE28AA"/>
    <w:rsid w:val="00CF0F18"/>
    <w:rsid w:val="00CF2364"/>
    <w:rsid w:val="00CF5001"/>
    <w:rsid w:val="00D00F76"/>
    <w:rsid w:val="00D17F33"/>
    <w:rsid w:val="00D22646"/>
    <w:rsid w:val="00D22E22"/>
    <w:rsid w:val="00D32A35"/>
    <w:rsid w:val="00D32F0E"/>
    <w:rsid w:val="00D37389"/>
    <w:rsid w:val="00D40158"/>
    <w:rsid w:val="00D43C46"/>
    <w:rsid w:val="00D44B7D"/>
    <w:rsid w:val="00D50619"/>
    <w:rsid w:val="00D51FA2"/>
    <w:rsid w:val="00D62A9A"/>
    <w:rsid w:val="00D6466D"/>
    <w:rsid w:val="00D66109"/>
    <w:rsid w:val="00D7475F"/>
    <w:rsid w:val="00D76E5F"/>
    <w:rsid w:val="00D84A74"/>
    <w:rsid w:val="00D9729A"/>
    <w:rsid w:val="00DA0B91"/>
    <w:rsid w:val="00DA1035"/>
    <w:rsid w:val="00DA11C4"/>
    <w:rsid w:val="00DA608E"/>
    <w:rsid w:val="00DA6C9A"/>
    <w:rsid w:val="00DB1679"/>
    <w:rsid w:val="00DB4CC2"/>
    <w:rsid w:val="00DB51AC"/>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57D8"/>
    <w:rsid w:val="00E666ED"/>
    <w:rsid w:val="00E70080"/>
    <w:rsid w:val="00E74893"/>
    <w:rsid w:val="00E75299"/>
    <w:rsid w:val="00E81ACD"/>
    <w:rsid w:val="00E914E2"/>
    <w:rsid w:val="00E91F66"/>
    <w:rsid w:val="00EA1E65"/>
    <w:rsid w:val="00EB2016"/>
    <w:rsid w:val="00ED7B1A"/>
    <w:rsid w:val="00EE2D9C"/>
    <w:rsid w:val="00EE4C68"/>
    <w:rsid w:val="00EE5DD5"/>
    <w:rsid w:val="00EE7184"/>
    <w:rsid w:val="00EF64C7"/>
    <w:rsid w:val="00F04642"/>
    <w:rsid w:val="00F14790"/>
    <w:rsid w:val="00F2230D"/>
    <w:rsid w:val="00F367C1"/>
    <w:rsid w:val="00F375C2"/>
    <w:rsid w:val="00F4466E"/>
    <w:rsid w:val="00F4490D"/>
    <w:rsid w:val="00F45FCD"/>
    <w:rsid w:val="00F47A9B"/>
    <w:rsid w:val="00F54441"/>
    <w:rsid w:val="00F544D4"/>
    <w:rsid w:val="00F56162"/>
    <w:rsid w:val="00F67548"/>
    <w:rsid w:val="00F721C9"/>
    <w:rsid w:val="00F75DD1"/>
    <w:rsid w:val="00F80B85"/>
    <w:rsid w:val="00F95AEE"/>
    <w:rsid w:val="00FA08C6"/>
    <w:rsid w:val="00FA4A17"/>
    <w:rsid w:val="00FA4B87"/>
    <w:rsid w:val="00FB7CE5"/>
    <w:rsid w:val="00FC11C7"/>
    <w:rsid w:val="00FD1410"/>
    <w:rsid w:val="00FD227E"/>
    <w:rsid w:val="00FD3744"/>
    <w:rsid w:val="00FD4896"/>
    <w:rsid w:val="00FD6BC7"/>
    <w:rsid w:val="00FE4109"/>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184C08"/>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BF169D"/>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Pages>34</Pages>
  <Words>19047</Words>
  <Characters>25138</Characters>
  <Lines>86</Lines>
  <Paragraphs>24</Paragraphs>
  <TotalTime>5</TotalTime>
  <ScaleCrop>false</ScaleCrop>
  <LinksUpToDate>false</LinksUpToDate>
  <CharactersWithSpaces>25598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2025-12-04T10:32:00Z</dcterms:created>
  <dc:creator>半江芦苇</dc:creator>
  <cp:lastModifiedBy>半江芦苇</cp:lastModifiedBy>
  <dcterms:modified xsi:type="dcterms:W3CDTF">2025-12-20T12:04:15Z</dcterms:modified>
  <dc:title>绿色建筑全生命期碳排放报告书</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64AF3EBE020E40329D33F647363EA36E</vt:lpwstr>
  </property>
</Properties>
</file>