
<file path=[Content_Types].xml><?xml version="1.0" encoding="utf-8"?>
<Types xmlns="http://schemas.openxmlformats.org/package/2006/content-types">
  <Default Extension="xml" ContentType="application/xml"/>
  <Default Extension="jpeg" ContentType="image/jpeg"/>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Calibri" w:hAnsi="Calibri"/>
          <w:szCs w:val="22"/>
          <w:lang w:val="en-US"/>
        </w:rPr>
      </w:pPr>
      <w:bookmarkStart w:id="0" w:name="_Hlk172625514"/>
      <w:bookmarkStart w:id="80" w:name="_GoBack"/>
      <w:bookmarkEnd w:id="80"/>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9071" w:type="dxa"/>
            <w:vAlign w:val="center"/>
          </w:tcPr>
          <w:p>
            <w:pPr>
              <w:snapToGrid w:val="0"/>
              <w:spacing w:line="240" w:lineRule="auto"/>
              <w:jc w:val="center"/>
              <w:rPr>
                <w:rFonts w:ascii="微软雅黑" w:hAnsi="微软雅黑" w:eastAsia="微软雅黑"/>
                <w:b/>
                <w:spacing w:val="45"/>
                <w:sz w:val="30"/>
                <w:szCs w:val="30"/>
              </w:rPr>
            </w:pPr>
          </w:p>
          <w:p>
            <w:pPr>
              <w:snapToGrid w:val="0"/>
              <w:spacing w:line="240" w:lineRule="auto"/>
              <w:jc w:val="center"/>
              <w:rPr>
                <w:rFonts w:ascii="微软雅黑" w:hAnsi="微软雅黑" w:eastAsia="微软雅黑"/>
                <w:b/>
                <w:spacing w:val="45"/>
                <w:sz w:val="30"/>
                <w:szCs w:val="30"/>
              </w:rPr>
            </w:pPr>
          </w:p>
          <w:p>
            <w:pPr>
              <w:snapToGrid w:val="0"/>
              <w:spacing w:line="240" w:lineRule="auto"/>
              <w:jc w:val="center"/>
              <w:rPr>
                <w:rFonts w:ascii="微软雅黑" w:hAnsi="微软雅黑" w:eastAsia="微软雅黑"/>
                <w:b/>
                <w:sz w:val="72"/>
                <w:szCs w:val="72"/>
              </w:rPr>
            </w:pPr>
            <w:r>
              <w:rPr>
                <w:rFonts w:hint="eastAsia" w:ascii="微软雅黑" w:hAnsi="微软雅黑" w:eastAsia="微软雅黑"/>
                <w:b/>
                <w:spacing w:val="12"/>
                <w:w w:val="78"/>
                <w:sz w:val="72"/>
                <w:szCs w:val="72"/>
                <w:fitText w:val="7920" w:id="0"/>
              </w:rPr>
              <w:t>暖通及照明系统能耗模拟计算</w:t>
            </w:r>
            <w:r>
              <w:rPr>
                <w:rFonts w:hint="eastAsia" w:ascii="微软雅黑" w:hAnsi="微软雅黑" w:eastAsia="微软雅黑"/>
                <w:b/>
                <w:spacing w:val="-60"/>
                <w:w w:val="78"/>
                <w:sz w:val="72"/>
                <w:szCs w:val="72"/>
                <w:fitText w:val="7920" w:id="0"/>
              </w:rPr>
              <w:t>书</w:t>
            </w:r>
          </w:p>
          <w:p>
            <w:pPr>
              <w:snapToGrid w:val="0"/>
              <w:spacing w:line="240" w:lineRule="auto"/>
              <w:jc w:val="center"/>
              <w:rPr>
                <w:rFonts w:ascii="微软雅黑" w:hAnsi="微软雅黑" w:eastAsia="微软雅黑"/>
                <w:b/>
                <w:sz w:val="72"/>
                <w:szCs w:val="52"/>
              </w:rPr>
            </w:pPr>
            <w:bookmarkStart w:id="1" w:name="地区"/>
            <w:r>
              <w:rPr>
                <w:rFonts w:hint="eastAsia" w:ascii="微软雅黑" w:hAnsi="微软雅黑" w:eastAsia="微软雅黑"/>
                <w:b/>
                <w:sz w:val="48"/>
                <w:szCs w:val="48"/>
              </w:rPr>
              <w:t>公共建筑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pPr>
              <w:snapToGrid w:val="0"/>
              <w:spacing w:before="312" w:beforeLines="100" w:line="240" w:lineRule="auto"/>
              <w:jc w:val="center"/>
              <w:rPr>
                <w:rFonts w:ascii="微软雅黑" w:hAnsi="微软雅黑" w:eastAsia="微软雅黑"/>
                <w:b/>
                <w:sz w:val="36"/>
                <w:szCs w:val="36"/>
              </w:rPr>
            </w:pPr>
            <w:bookmarkStart w:id="2" w:name="项目名称"/>
            <w:r>
              <w:rPr>
                <w:rFonts w:hint="eastAsia" w:ascii="微软雅黑" w:hAnsi="微软雅黑" w:eastAsia="微软雅黑"/>
                <w:b/>
                <w:sz w:val="36"/>
                <w:szCs w:val="36"/>
              </w:rPr>
              <w:t>筑绿未来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pPr>
              <w:snapToGrid w:val="0"/>
              <w:spacing w:line="240" w:lineRule="auto"/>
              <w:jc w:val="center"/>
              <w:rPr>
                <w:rFonts w:ascii="微软雅黑" w:hAnsi="微软雅黑" w:eastAsia="微软雅黑"/>
                <w:b/>
                <w:sz w:val="32"/>
                <w:szCs w:val="52"/>
              </w:rPr>
            </w:pPr>
            <w:r>
              <w:rPr>
                <w:rFonts w:hint="eastAsia" w:ascii="微软雅黑" w:hAnsi="微软雅黑" w:eastAsia="微软雅黑"/>
                <w:b/>
                <w:sz w:val="32"/>
                <w:szCs w:val="52"/>
              </w:rPr>
              <w:t>设计编号：</w:t>
            </w:r>
            <w:bookmarkStart w:id="3" w:name="设计编号"/>
            <w:r>
              <w:rPr>
                <w:rFonts w:hint="eastAsia" w:ascii="微软雅黑" w:hAnsi="微软雅黑" w:eastAsia="微软雅黑"/>
                <w:b/>
                <w:sz w:val="32"/>
                <w:szCs w:val="52"/>
              </w:rPr>
              <w:t>2025-AA-BB</w:t>
            </w:r>
          </w:p>
          <w:p>
            <w:pPr>
              <w:snapToGrid w:val="0"/>
              <w:spacing w:line="240" w:lineRule="auto"/>
              <w:rPr>
                <w:rFonts w:ascii="微软雅黑" w:hAnsi="微软雅黑" w:eastAsia="微软雅黑"/>
                <w:b/>
                <w:sz w:val="32"/>
                <w:szCs w:val="52"/>
              </w:rPr>
            </w:pPr>
          </w:p>
        </w:tc>
      </w:tr>
    </w:tbl>
    <w:p>
      <w:pPr>
        <w:snapToGrid w:val="0"/>
        <w:rPr>
          <w:rFonts w:ascii="Calibri" w:hAnsi="Calibri"/>
          <w:szCs w:val="22"/>
          <w:lang w:val="en-US"/>
        </w:rPr>
      </w:pPr>
    </w:p>
    <w:p>
      <w:pPr>
        <w:snapToGrid w:val="0"/>
        <w:jc w:val="center"/>
        <w:rPr>
          <w:rFonts w:ascii="微软雅黑" w:hAnsi="微软雅黑" w:eastAsia="微软雅黑"/>
          <w:szCs w:val="18"/>
        </w:rPr>
      </w:pPr>
      <w:bookmarkStart w:id="4" w:name="二维码"/>
      <w:bookmarkStart w:id="5" w:name="_Hlk172625491"/>
      <w:r>
        <w:drawing>
          <wp:inline distT="0" distB="0" distL="0" distR="0">
            <wp:extent cx="1009650" cy="10096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pPr>
        <w:snapToGrid w:val="0"/>
        <w:jc w:val="center"/>
        <w:rPr>
          <w:rFonts w:ascii="微软雅黑" w:hAnsi="微软雅黑" w:eastAsia="微软雅黑"/>
          <w:szCs w:val="18"/>
        </w:rPr>
      </w:pPr>
    </w:p>
    <w:p>
      <w:pPr>
        <w:snapToGrid w:val="0"/>
        <w:rPr>
          <w:rFonts w:ascii="微软雅黑" w:hAnsi="微软雅黑" w:eastAsia="微软雅黑"/>
          <w:szCs w:val="18"/>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工程地点</w:t>
            </w:r>
          </w:p>
        </w:tc>
        <w:tc>
          <w:tcPr>
            <w:tcW w:w="456" w:type="dxa"/>
          </w:tcPr>
          <w:p>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pPr>
              <w:snapToGrid w:val="0"/>
              <w:spacing w:line="600" w:lineRule="exact"/>
              <w:jc w:val="center"/>
              <w:rPr>
                <w:rFonts w:ascii="微软雅黑" w:hAnsi="微软雅黑" w:eastAsia="微软雅黑"/>
                <w:sz w:val="24"/>
                <w:szCs w:val="24"/>
              </w:rPr>
            </w:pPr>
            <w:bookmarkStart w:id="6" w:name="地理位置"/>
            <w:r>
              <w:rPr>
                <w:rFonts w:hint="eastAsia" w:ascii="微软雅黑" w:hAnsi="微软雅黑" w:eastAsia="微软雅黑"/>
                <w:sz w:val="24"/>
                <w:szCs w:val="24"/>
              </w:rPr>
              <w:t>福建-福州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建设单位</w:t>
            </w:r>
          </w:p>
        </w:tc>
        <w:tc>
          <w:tcPr>
            <w:tcW w:w="456" w:type="dxa"/>
          </w:tcPr>
          <w:p>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pPr>
              <w:snapToGrid w:val="0"/>
              <w:spacing w:line="600" w:lineRule="exact"/>
              <w:jc w:val="center"/>
              <w:rPr>
                <w:rFonts w:ascii="微软雅黑" w:hAnsi="微软雅黑" w:eastAsia="微软雅黑"/>
                <w:sz w:val="24"/>
                <w:szCs w:val="24"/>
              </w:rPr>
            </w:pPr>
            <w:bookmarkStart w:id="7" w:name="建设单位"/>
            <w:r>
              <w:rPr>
                <w:rFonts w:hint="eastAsia" w:ascii="微软雅黑" w:hAnsi="微软雅黑" w:eastAsia="微软雅黑"/>
                <w:sz w:val="24"/>
                <w:szCs w:val="24"/>
              </w:rPr>
              <w:t>xxxx工程建设有限公司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设计单位</w:t>
            </w:r>
          </w:p>
        </w:tc>
        <w:tc>
          <w:tcPr>
            <w:tcW w:w="456" w:type="dxa"/>
          </w:tcPr>
          <w:p>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pPr>
              <w:snapToGrid w:val="0"/>
              <w:spacing w:line="600" w:lineRule="exact"/>
              <w:jc w:val="center"/>
              <w:rPr>
                <w:rFonts w:ascii="微软雅黑" w:hAnsi="微软雅黑" w:eastAsia="微软雅黑"/>
                <w:sz w:val="24"/>
                <w:szCs w:val="24"/>
              </w:rPr>
            </w:pPr>
            <w:bookmarkStart w:id="8" w:name="设计单位"/>
            <w:r>
              <w:rPr>
                <w:rFonts w:hint="eastAsia" w:ascii="微软雅黑" w:hAnsi="微软雅黑" w:eastAsia="微软雅黑"/>
                <w:sz w:val="24"/>
                <w:szCs w:val="24"/>
              </w:rPr>
              <w:t>xxxx建筑设计研究院有限公司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设计人</w:t>
            </w:r>
          </w:p>
        </w:tc>
        <w:tc>
          <w:tcPr>
            <w:tcW w:w="456" w:type="dxa"/>
          </w:tcPr>
          <w:p>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pPr>
              <w:snapToGrid w:val="0"/>
              <w:spacing w:line="600" w:lineRule="exact"/>
              <w:jc w:val="center"/>
              <w:rPr>
                <w:rFonts w:ascii="微软雅黑" w:hAnsi="微软雅黑" w:eastAsia="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校对人</w:t>
            </w:r>
          </w:p>
        </w:tc>
        <w:tc>
          <w:tcPr>
            <w:tcW w:w="456" w:type="dxa"/>
          </w:tcPr>
          <w:p>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pPr>
              <w:snapToGrid w:val="0"/>
              <w:spacing w:line="600" w:lineRule="exact"/>
              <w:jc w:val="center"/>
              <w:rPr>
                <w:rFonts w:ascii="微软雅黑" w:hAnsi="微软雅黑" w:eastAsia="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审定人</w:t>
            </w:r>
          </w:p>
        </w:tc>
        <w:tc>
          <w:tcPr>
            <w:tcW w:w="456" w:type="dxa"/>
          </w:tcPr>
          <w:p>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pPr>
              <w:snapToGrid w:val="0"/>
              <w:spacing w:line="600" w:lineRule="exact"/>
              <w:jc w:val="center"/>
              <w:rPr>
                <w:rFonts w:ascii="微软雅黑" w:hAnsi="微软雅黑" w:eastAsia="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报告日期</w:t>
            </w:r>
          </w:p>
        </w:tc>
        <w:tc>
          <w:tcPr>
            <w:tcW w:w="456" w:type="dxa"/>
          </w:tcPr>
          <w:p>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pPr>
              <w:snapToGrid w:val="0"/>
              <w:spacing w:line="600" w:lineRule="exact"/>
              <w:jc w:val="center"/>
              <w:rPr>
                <w:rFonts w:ascii="微软雅黑" w:hAnsi="微软雅黑" w:eastAsia="微软雅黑"/>
                <w:sz w:val="24"/>
                <w:szCs w:val="24"/>
              </w:rPr>
            </w:pPr>
            <w:bookmarkStart w:id="9" w:name="报告日期"/>
            <w:r>
              <w:rPr>
                <w:rFonts w:hint="eastAsia" w:ascii="微软雅黑" w:hAnsi="微软雅黑" w:eastAsia="微软雅黑"/>
                <w:sz w:val="24"/>
                <w:szCs w:val="24"/>
              </w:rPr>
              <w:t>2025年11月16日</w:t>
            </w:r>
          </w:p>
        </w:tc>
      </w:tr>
    </w:tbl>
    <w:p>
      <w:pPr>
        <w:snapToGrid w:val="0"/>
        <w:rPr>
          <w:rFonts w:ascii="Calibri" w:hAnsi="Calibri"/>
          <w:kern w:val="2"/>
          <w:szCs w:val="22"/>
        </w:rPr>
      </w:pPr>
    </w:p>
    <w:p>
      <w:pPr>
        <w:snapToGrid w:val="0"/>
        <w:rPr>
          <w:rFonts w:ascii="微软雅黑" w:hAnsi="微软雅黑" w:eastAsia="微软雅黑"/>
          <w:szCs w:val="18"/>
        </w:rPr>
      </w:pPr>
    </w:p>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pPr>
              <w:snapToGrid w:val="0"/>
              <w:spacing w:before="156" w:beforeLines="50" w:line="180" w:lineRule="exact"/>
              <w:jc w:val="distribute"/>
              <w:rPr>
                <w:rFonts w:ascii="微软雅黑" w:hAnsi="微软雅黑" w:eastAsia="微软雅黑"/>
                <w:sz w:val="18"/>
                <w:szCs w:val="18"/>
              </w:rPr>
            </w:pPr>
            <w:r>
              <w:rPr>
                <w:rFonts w:hint="eastAsia" w:ascii="微软雅黑" w:hAnsi="微软雅黑" w:eastAsia="微软雅黑"/>
                <w:sz w:val="18"/>
                <w:szCs w:val="18"/>
              </w:rPr>
              <w:t>采用软件</w:t>
            </w:r>
          </w:p>
        </w:tc>
        <w:tc>
          <w:tcPr>
            <w:tcW w:w="3109" w:type="dxa"/>
            <w:tcBorders>
              <w:top w:val="single" w:color="auto" w:sz="2" w:space="0"/>
              <w:left w:val="nil"/>
              <w:bottom w:val="nil"/>
              <w:right w:val="nil"/>
            </w:tcBorders>
            <w:vAlign w:val="bottom"/>
          </w:tcPr>
          <w:p>
            <w:pPr>
              <w:snapToGrid w:val="0"/>
              <w:spacing w:line="180" w:lineRule="exact"/>
              <w:ind w:left="-34" w:leftChars="-16" w:right="-105" w:rightChars="-50"/>
              <w:rPr>
                <w:rFonts w:ascii="微软雅黑" w:hAnsi="微软雅黑" w:eastAsia="微软雅黑"/>
                <w:sz w:val="18"/>
                <w:szCs w:val="18"/>
              </w:rPr>
            </w:pPr>
            <w:r>
              <w:rPr>
                <w:rFonts w:hint="eastAsia" w:ascii="微软雅黑" w:hAnsi="微软雅黑" w:eastAsia="微软雅黑"/>
                <w:sz w:val="18"/>
                <w:szCs w:val="18"/>
              </w:rPr>
              <w:t xml:space="preserve">: </w:t>
            </w:r>
            <w:bookmarkStart w:id="10" w:name="软件全称"/>
            <w:r>
              <w:rPr>
                <w:rFonts w:hint="eastAsia" w:ascii="微软雅黑" w:hAnsi="微软雅黑" w:eastAsia="微软雅黑"/>
                <w:sz w:val="18"/>
                <w:szCs w:val="18"/>
              </w:rPr>
              <w:t>能耗计算BESI2025</w:t>
            </w:r>
            <w:r>
              <w:rPr>
                <w:rFonts w:ascii="微软雅黑" w:hAnsi="微软雅黑" w:eastAsia="微软雅黑"/>
                <w:sz w:val="18"/>
                <w:szCs w:val="18"/>
              </w:rPr>
              <w:t xml:space="preserve"> </w:t>
            </w:r>
          </w:p>
        </w:tc>
        <w:tc>
          <w:tcPr>
            <w:tcW w:w="3958" w:type="dxa"/>
            <w:vMerge w:val="restart"/>
            <w:tcBorders>
              <w:top w:val="single" w:color="auto" w:sz="2" w:space="0"/>
              <w:left w:val="nil"/>
              <w:bottom w:val="nil"/>
              <w:right w:val="nil"/>
            </w:tcBorders>
            <w:vAlign w:val="bottom"/>
          </w:tcPr>
          <w:p>
            <w:pPr>
              <w:snapToGrid w:val="0"/>
              <w:spacing w:line="240" w:lineRule="auto"/>
              <w:ind w:left="-246" w:leftChars="-117"/>
              <w:jc w:val="right"/>
              <w:rPr>
                <w:rFonts w:ascii="微软雅黑" w:hAnsi="微软雅黑" w:eastAsia="微软雅黑"/>
                <w:color w:val="767171"/>
                <w:szCs w:val="18"/>
              </w:rPr>
            </w:pPr>
            <w:r>
              <w:rPr>
                <w:rFonts w:ascii="微软雅黑" w:hAnsi="微软雅黑" w:eastAsia="微软雅黑"/>
                <w:szCs w:val="18"/>
                <w:lang w:val="en-US"/>
              </w:rPr>
              <w:drawing>
                <wp:inline distT="0" distB="0" distL="0" distR="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软件版本</w:t>
            </w:r>
          </w:p>
        </w:tc>
        <w:tc>
          <w:tcPr>
            <w:tcW w:w="3109" w:type="dxa"/>
            <w:tcBorders>
              <w:top w:val="nil"/>
              <w:left w:val="nil"/>
              <w:bottom w:val="nil"/>
              <w:right w:val="nil"/>
            </w:tcBorders>
            <w:vAlign w:val="bottom"/>
          </w:tcPr>
          <w:p>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1" w:name="软件版本"/>
            <w:r>
              <w:rPr>
                <w:rFonts w:hint="eastAsia" w:ascii="微软雅黑" w:hAnsi="微软雅黑" w:eastAsia="微软雅黑"/>
                <w:sz w:val="18"/>
                <w:szCs w:val="18"/>
              </w:rPr>
              <w:t>20250505(PLUS)</w:t>
            </w:r>
          </w:p>
        </w:tc>
        <w:tc>
          <w:tcPr>
            <w:tcW w:w="3958" w:type="dxa"/>
            <w:vMerge w:val="continue"/>
            <w:tcBorders>
              <w:top w:val="single" w:color="auto" w:sz="2" w:space="0"/>
              <w:left w:val="nil"/>
              <w:bottom w:val="nil"/>
              <w:right w:val="nil"/>
            </w:tcBorders>
            <w:vAlign w:val="center"/>
          </w:tcPr>
          <w:p>
            <w:pPr>
              <w:snapToGrid w:val="0"/>
              <w:spacing w:line="240" w:lineRule="auto"/>
              <w:rPr>
                <w:rFonts w:ascii="Calibri" w:hAnsi="Calibri"/>
                <w:color w:val="767171"/>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正版授权码</w:t>
            </w:r>
          </w:p>
        </w:tc>
        <w:tc>
          <w:tcPr>
            <w:tcW w:w="3109" w:type="dxa"/>
            <w:tcBorders>
              <w:top w:val="nil"/>
              <w:left w:val="nil"/>
              <w:bottom w:val="nil"/>
              <w:right w:val="nil"/>
            </w:tcBorders>
            <w:vAlign w:val="bottom"/>
          </w:tcPr>
          <w:p>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2" w:name="加密锁号"/>
            <w:r>
              <w:rPr>
                <w:rFonts w:hint="eastAsia" w:ascii="微软雅黑" w:hAnsi="微软雅黑" w:eastAsia="微软雅黑"/>
                <w:sz w:val="18"/>
                <w:szCs w:val="18"/>
              </w:rPr>
              <w:t>T18060052160</w:t>
            </w:r>
          </w:p>
        </w:tc>
        <w:tc>
          <w:tcPr>
            <w:tcW w:w="3958" w:type="dxa"/>
            <w:vMerge w:val="continue"/>
            <w:tcBorders>
              <w:top w:val="single" w:color="auto" w:sz="2" w:space="0"/>
              <w:left w:val="nil"/>
              <w:bottom w:val="nil"/>
              <w:right w:val="nil"/>
            </w:tcBorders>
            <w:vAlign w:val="center"/>
          </w:tcPr>
          <w:p>
            <w:pPr>
              <w:snapToGrid w:val="0"/>
              <w:spacing w:line="240" w:lineRule="auto"/>
              <w:rPr>
                <w:rFonts w:ascii="Calibri" w:hAnsi="Calibri"/>
                <w:color w:val="767171"/>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研发单位</w:t>
            </w:r>
          </w:p>
        </w:tc>
        <w:tc>
          <w:tcPr>
            <w:tcW w:w="3109" w:type="dxa"/>
            <w:tcBorders>
              <w:top w:val="nil"/>
              <w:left w:val="nil"/>
              <w:bottom w:val="nil"/>
              <w:right w:val="nil"/>
            </w:tcBorders>
            <w:vAlign w:val="bottom"/>
          </w:tcPr>
          <w:p>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北京绿建软件股份有限公司</w:t>
            </w:r>
          </w:p>
        </w:tc>
        <w:tc>
          <w:tcPr>
            <w:tcW w:w="3958" w:type="dxa"/>
            <w:vMerge w:val="continue"/>
            <w:tcBorders>
              <w:top w:val="single" w:color="auto" w:sz="2" w:space="0"/>
              <w:left w:val="nil"/>
              <w:bottom w:val="nil"/>
              <w:right w:val="nil"/>
            </w:tcBorders>
            <w:vAlign w:val="center"/>
          </w:tcPr>
          <w:p>
            <w:pPr>
              <w:snapToGrid w:val="0"/>
              <w:spacing w:line="240" w:lineRule="auto"/>
              <w:rPr>
                <w:rFonts w:ascii="Calibri" w:hAnsi="Calibri"/>
                <w:color w:val="767171"/>
                <w:kern w:val="2"/>
                <w:szCs w:val="22"/>
              </w:rPr>
            </w:pPr>
          </w:p>
        </w:tc>
      </w:tr>
    </w:tbl>
    <w:p>
      <w:pPr>
        <w:snapToGrid w:val="0"/>
        <w:spacing w:line="200" w:lineRule="exact"/>
        <w:rPr>
          <w:rFonts w:ascii="Calibri" w:hAnsi="Calibri"/>
          <w:kern w:val="2"/>
          <w:szCs w:val="22"/>
        </w:rPr>
      </w:pPr>
    </w:p>
    <w:p>
      <w:pPr>
        <w:tabs>
          <w:tab w:val="left" w:pos="2568"/>
        </w:tabs>
        <w:snapToGrid w:val="0"/>
        <w:rPr>
          <w:rFonts w:ascii="微软雅黑" w:hAnsi="微软雅黑" w:eastAsia="微软雅黑"/>
          <w:szCs w:val="18"/>
        </w:rPr>
        <w:sectPr>
          <w:headerReference r:id="rId3" w:type="default"/>
          <w:footerReference r:id="rId4" w:type="default"/>
          <w:footerReference r:id="rId5" w:type="even"/>
          <w:pgSz w:w="11906" w:h="16838"/>
          <w:pgMar w:top="1440" w:right="1418" w:bottom="284" w:left="1418" w:header="851" w:footer="284" w:gutter="0"/>
          <w:cols w:space="425" w:num="1"/>
          <w:titlePg/>
          <w:docGrid w:type="lines" w:linePitch="312" w:charSpace="0"/>
        </w:sectPr>
      </w:pPr>
    </w:p>
    <w:p>
      <w:pPr>
        <w:spacing w:line="1000" w:lineRule="exact"/>
        <w:jc w:val="center"/>
        <w:rPr>
          <w:rFonts w:ascii="宋体" w:hAnsi="宋体"/>
          <w:b/>
          <w:bCs/>
          <w:sz w:val="32"/>
          <w:szCs w:val="32"/>
        </w:rPr>
      </w:pPr>
      <w:r>
        <w:rPr>
          <w:rFonts w:hint="eastAsia" w:ascii="宋体" w:hAnsi="宋体"/>
          <w:b/>
          <w:bCs/>
          <w:sz w:val="32"/>
          <w:szCs w:val="32"/>
        </w:rPr>
        <w:t>目  录</w:t>
      </w:r>
    </w:p>
    <w:p>
      <w:pPr>
        <w:pStyle w:val="17"/>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bookmarkStart w:id="13" w:name="目录"/>
      <w:r>
        <w:rPr>
          <w:rFonts w:ascii="宋体" w:hAnsi="宋体"/>
          <w:bCs w:val="0"/>
          <w:caps/>
        </w:rPr>
        <w:fldChar w:fldCharType="begin"/>
      </w:r>
      <w:r>
        <w:rPr>
          <w:rFonts w:ascii="宋体" w:hAnsi="宋体"/>
          <w:bCs w:val="0"/>
          <w:caps/>
        </w:rPr>
        <w:instrText xml:space="preserve"> HYPERLINK \l _Toc24496 </w:instrText>
      </w:r>
      <w:r>
        <w:rPr>
          <w:rFonts w:ascii="宋体" w:hAnsi="宋体"/>
          <w:bCs w:val="0"/>
          <w:caps/>
        </w:rPr>
        <w:fldChar w:fldCharType="separate"/>
      </w:r>
      <w:r>
        <w:rPr>
          <w:rFonts w:hint="eastAsia"/>
        </w:rPr>
        <w:t>1 建筑概况</w:t>
      </w:r>
      <w:r>
        <w:tab/>
      </w:r>
      <w:r>
        <w:fldChar w:fldCharType="begin"/>
      </w:r>
      <w:r>
        <w:instrText xml:space="preserve"> PAGEREF _Toc24496 </w:instrText>
      </w:r>
      <w:r>
        <w:fldChar w:fldCharType="separate"/>
      </w:r>
      <w:r>
        <w:t>3</w:t>
      </w:r>
      <w:r>
        <w:fldChar w:fldCharType="end"/>
      </w:r>
      <w:r>
        <w:rPr>
          <w:rFonts w:ascii="宋体" w:hAnsi="宋体"/>
          <w:bCs w:val="0"/>
          <w:caps/>
        </w:rPr>
        <w:fldChar w:fldCharType="end"/>
      </w:r>
    </w:p>
    <w:p>
      <w:pPr>
        <w:pStyle w:val="17"/>
        <w:tabs>
          <w:tab w:val="right" w:leader="dot" w:pos="9070"/>
          <w:tab w:val="clear" w:pos="180"/>
          <w:tab w:val="clear" w:pos="420"/>
          <w:tab w:val="clear" w:pos="9360"/>
        </w:tabs>
      </w:pPr>
      <w:r>
        <w:fldChar w:fldCharType="begin"/>
      </w:r>
      <w:r>
        <w:instrText xml:space="preserve"> HYPERLINK \l _Toc6147 </w:instrText>
      </w:r>
      <w:r>
        <w:fldChar w:fldCharType="separate"/>
      </w:r>
      <w:r>
        <w:rPr>
          <w:rFonts w:hint="eastAsia"/>
        </w:rPr>
        <w:t>2 计算依据</w:t>
      </w:r>
      <w:r>
        <w:tab/>
      </w:r>
      <w:r>
        <w:fldChar w:fldCharType="begin"/>
      </w:r>
      <w:r>
        <w:instrText xml:space="preserve"> PAGEREF _Toc6147 </w:instrText>
      </w:r>
      <w:r>
        <w:fldChar w:fldCharType="separate"/>
      </w:r>
      <w:r>
        <w:t>3</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_Toc9701 </w:instrText>
      </w:r>
      <w:r>
        <w:fldChar w:fldCharType="separate"/>
      </w:r>
      <w:r>
        <w:rPr>
          <w:rFonts w:hint="eastAsia"/>
        </w:rPr>
        <w:t>3 计算要求</w:t>
      </w:r>
      <w:r>
        <w:tab/>
      </w:r>
      <w:r>
        <w:fldChar w:fldCharType="begin"/>
      </w:r>
      <w:r>
        <w:instrText xml:space="preserve"> PAGEREF _Toc9701 </w:instrText>
      </w:r>
      <w:r>
        <w:fldChar w:fldCharType="separate"/>
      </w:r>
      <w:r>
        <w:t>3</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_Toc29022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_Toc29022 </w:instrText>
      </w:r>
      <w:r>
        <w:fldChar w:fldCharType="separate"/>
      </w:r>
      <w:r>
        <w:t>3</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_Toc8836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_Toc8836 </w:instrText>
      </w:r>
      <w:r>
        <w:fldChar w:fldCharType="separate"/>
      </w:r>
      <w:r>
        <w:t>4</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_Toc15250 </w:instrText>
      </w:r>
      <w:r>
        <w:fldChar w:fldCharType="separate"/>
      </w:r>
      <w:r>
        <w:rPr>
          <w:rFonts w:hint="eastAsia"/>
        </w:rPr>
        <w:t>4 软件介绍</w:t>
      </w:r>
      <w:r>
        <w:tab/>
      </w:r>
      <w:r>
        <w:fldChar w:fldCharType="begin"/>
      </w:r>
      <w:r>
        <w:instrText xml:space="preserve"> PAGEREF _Toc15250 </w:instrText>
      </w:r>
      <w:r>
        <w:fldChar w:fldCharType="separate"/>
      </w:r>
      <w:r>
        <w:t>4</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_Toc30041 </w:instrText>
      </w:r>
      <w:r>
        <w:fldChar w:fldCharType="separate"/>
      </w:r>
      <w:r>
        <w:rPr>
          <w:rFonts w:hint="eastAsia"/>
        </w:rPr>
        <w:t>5 气象数据</w:t>
      </w:r>
      <w:r>
        <w:tab/>
      </w:r>
      <w:r>
        <w:fldChar w:fldCharType="begin"/>
      </w:r>
      <w:r>
        <w:instrText xml:space="preserve"> PAGEREF _Toc30041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_Toc23010 </w:instrText>
      </w:r>
      <w:r>
        <w:fldChar w:fldCharType="separate"/>
      </w:r>
      <w:r>
        <w:rPr>
          <w:rFonts w:hint="eastAsia"/>
          <w:lang w:val="en-GB"/>
        </w:rPr>
        <w:t xml:space="preserve">5.1 </w:t>
      </w:r>
      <w:r>
        <w:rPr>
          <w:rFonts w:hint="eastAsia"/>
        </w:rPr>
        <w:t>气象地点</w:t>
      </w:r>
      <w:r>
        <w:tab/>
      </w:r>
      <w:r>
        <w:fldChar w:fldCharType="begin"/>
      </w:r>
      <w:r>
        <w:instrText xml:space="preserve"> PAGEREF _Toc23010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_Toc21658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_Toc21658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_Toc4521 </w:instrText>
      </w:r>
      <w:r>
        <w:fldChar w:fldCharType="separate"/>
      </w:r>
      <w:r>
        <w:rPr>
          <w:rFonts w:hint="eastAsia"/>
          <w:lang w:val="en-GB"/>
        </w:rPr>
        <w:t xml:space="preserve">5.3 </w:t>
      </w:r>
      <w:r>
        <w:rPr>
          <w:rFonts w:hint="eastAsia"/>
        </w:rPr>
        <w:t>逐月辐照量表</w:t>
      </w:r>
      <w:r>
        <w:tab/>
      </w:r>
      <w:r>
        <w:fldChar w:fldCharType="begin"/>
      </w:r>
      <w:r>
        <w:instrText xml:space="preserve"> PAGEREF _Toc4521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_Toc8270 </w:instrText>
      </w:r>
      <w:r>
        <w:fldChar w:fldCharType="separate"/>
      </w:r>
      <w:r>
        <w:rPr>
          <w:rFonts w:hint="eastAsia"/>
          <w:lang w:val="en-GB"/>
        </w:rPr>
        <w:t xml:space="preserve">5.4 </w:t>
      </w:r>
      <w:r>
        <w:rPr>
          <w:rFonts w:hint="eastAsia"/>
        </w:rPr>
        <w:t>峰值工况</w:t>
      </w:r>
      <w:r>
        <w:tab/>
      </w:r>
      <w:r>
        <w:fldChar w:fldCharType="begin"/>
      </w:r>
      <w:r>
        <w:instrText xml:space="preserve"> PAGEREF _Toc8270 </w:instrText>
      </w:r>
      <w:r>
        <w:fldChar w:fldCharType="separate"/>
      </w:r>
      <w:r>
        <w:t>5</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_Toc31384 </w:instrText>
      </w:r>
      <w:r>
        <w:fldChar w:fldCharType="separate"/>
      </w:r>
      <w:r>
        <w:rPr>
          <w:rFonts w:hint="eastAsia"/>
        </w:rPr>
        <w:t xml:space="preserve">6 </w:t>
      </w:r>
      <w:r>
        <w:t>围护结构</w:t>
      </w:r>
      <w:r>
        <w:tab/>
      </w:r>
      <w:r>
        <w:fldChar w:fldCharType="begin"/>
      </w:r>
      <w:r>
        <w:instrText xml:space="preserve"> PAGEREF _Toc31384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_Toc4604 </w:instrText>
      </w:r>
      <w:r>
        <w:fldChar w:fldCharType="separate"/>
      </w:r>
      <w:r>
        <w:rPr>
          <w:rFonts w:hint="eastAsia"/>
          <w:lang w:val="en-GB"/>
        </w:rPr>
        <w:t xml:space="preserve">6.1 </w:t>
      </w:r>
      <w:r>
        <w:t>工程材料</w:t>
      </w:r>
      <w:r>
        <w:tab/>
      </w:r>
      <w:r>
        <w:fldChar w:fldCharType="begin"/>
      </w:r>
      <w:r>
        <w:instrText xml:space="preserve"> PAGEREF _Toc4604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_Toc28215 </w:instrText>
      </w:r>
      <w:r>
        <w:fldChar w:fldCharType="separate"/>
      </w:r>
      <w:r>
        <w:rPr>
          <w:rFonts w:hint="eastAsia"/>
          <w:lang w:val="en-GB"/>
        </w:rPr>
        <w:t xml:space="preserve">6.2 </w:t>
      </w:r>
      <w:r>
        <w:t>围护结构作法简要说明</w:t>
      </w:r>
      <w:r>
        <w:tab/>
      </w:r>
      <w:r>
        <w:fldChar w:fldCharType="begin"/>
      </w:r>
      <w:r>
        <w:instrText xml:space="preserve"> PAGEREF _Toc28215 </w:instrText>
      </w:r>
      <w:r>
        <w:fldChar w:fldCharType="separate"/>
      </w:r>
      <w:r>
        <w:t>6</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_Toc29380 </w:instrText>
      </w:r>
      <w:r>
        <w:fldChar w:fldCharType="separate"/>
      </w:r>
      <w:r>
        <w:rPr>
          <w:rFonts w:hint="eastAsia"/>
        </w:rPr>
        <w:t xml:space="preserve">7 </w:t>
      </w:r>
      <w:r>
        <w:t>围护结构概况</w:t>
      </w:r>
      <w:r>
        <w:tab/>
      </w:r>
      <w:r>
        <w:fldChar w:fldCharType="begin"/>
      </w:r>
      <w:r>
        <w:instrText xml:space="preserve"> PAGEREF _Toc29380 </w:instrText>
      </w:r>
      <w:r>
        <w:fldChar w:fldCharType="separate"/>
      </w:r>
      <w:r>
        <w:t>6</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_Toc22541 </w:instrText>
      </w:r>
      <w:r>
        <w:fldChar w:fldCharType="separate"/>
      </w:r>
      <w:r>
        <w:rPr>
          <w:rFonts w:hint="eastAsia"/>
        </w:rPr>
        <w:t xml:space="preserve">8 </w:t>
      </w:r>
      <w:r>
        <w:t>设计建筑</w:t>
      </w:r>
      <w:r>
        <w:tab/>
      </w:r>
      <w:r>
        <w:fldChar w:fldCharType="begin"/>
      </w:r>
      <w:r>
        <w:instrText xml:space="preserve"> PAGEREF _Toc22541 </w:instrText>
      </w:r>
      <w:r>
        <w:fldChar w:fldCharType="separate"/>
      </w:r>
      <w:r>
        <w:t>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_Toc21330 </w:instrText>
      </w:r>
      <w:r>
        <w:fldChar w:fldCharType="separate"/>
      </w:r>
      <w:r>
        <w:rPr>
          <w:rFonts w:hint="eastAsia"/>
          <w:lang w:val="en-GB"/>
        </w:rPr>
        <w:t xml:space="preserve">8.1 </w:t>
      </w:r>
      <w:r>
        <w:t>房间类型</w:t>
      </w:r>
      <w:r>
        <w:tab/>
      </w:r>
      <w:r>
        <w:fldChar w:fldCharType="begin"/>
      </w:r>
      <w:r>
        <w:instrText xml:space="preserve"> PAGEREF _Toc21330 </w:instrText>
      </w:r>
      <w:r>
        <w:fldChar w:fldCharType="separate"/>
      </w:r>
      <w:r>
        <w:t>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_Toc5205 </w:instrText>
      </w:r>
      <w:r>
        <w:fldChar w:fldCharType="separate"/>
      </w:r>
      <w:r>
        <w:rPr>
          <w:rFonts w:hint="eastAsia"/>
          <w:lang w:val="en-GB"/>
        </w:rPr>
        <w:t xml:space="preserve">8.2 </w:t>
      </w:r>
      <w:r>
        <w:t>系统类型</w:t>
      </w:r>
      <w:r>
        <w:tab/>
      </w:r>
      <w:r>
        <w:fldChar w:fldCharType="begin"/>
      </w:r>
      <w:r>
        <w:instrText xml:space="preserve"> PAGEREF _Toc5205 </w:instrText>
      </w:r>
      <w:r>
        <w:fldChar w:fldCharType="separate"/>
      </w:r>
      <w:r>
        <w:t>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_Toc23621 </w:instrText>
      </w:r>
      <w:r>
        <w:fldChar w:fldCharType="separate"/>
      </w:r>
      <w:r>
        <w:rPr>
          <w:rFonts w:hint="eastAsia"/>
          <w:lang w:val="en-GB"/>
        </w:rPr>
        <w:t xml:space="preserve">8.3 </w:t>
      </w:r>
      <w:r>
        <w:t>制冷系统</w:t>
      </w:r>
      <w:r>
        <w:tab/>
      </w:r>
      <w:r>
        <w:fldChar w:fldCharType="begin"/>
      </w:r>
      <w:r>
        <w:instrText xml:space="preserve"> PAGEREF _Toc23621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_Toc14648 </w:instrText>
      </w:r>
      <w:r>
        <w:fldChar w:fldCharType="separate"/>
      </w:r>
      <w:r>
        <w:rPr>
          <w:rFonts w:hint="eastAsia"/>
          <w:lang w:val="en-GB"/>
        </w:rPr>
        <w:t xml:space="preserve">8.4 </w:t>
      </w:r>
      <w:r>
        <w:t>空调风机</w:t>
      </w:r>
      <w:r>
        <w:tab/>
      </w:r>
      <w:r>
        <w:fldChar w:fldCharType="begin"/>
      </w:r>
      <w:r>
        <w:instrText xml:space="preserve"> PAGEREF _Toc14648 </w:instrText>
      </w:r>
      <w:r>
        <w:fldChar w:fldCharType="separate"/>
      </w:r>
      <w:r>
        <w:t>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_Toc17158 </w:instrText>
      </w:r>
      <w:r>
        <w:fldChar w:fldCharType="separate"/>
      </w:r>
      <w:r>
        <w:rPr>
          <w:rFonts w:hint="eastAsia"/>
          <w:lang w:val="en-GB"/>
        </w:rPr>
        <w:t xml:space="preserve">8.5 </w:t>
      </w:r>
      <w:r>
        <w:t>照明</w:t>
      </w:r>
      <w:r>
        <w:tab/>
      </w:r>
      <w:r>
        <w:fldChar w:fldCharType="begin"/>
      </w:r>
      <w:r>
        <w:instrText xml:space="preserve"> PAGEREF _Toc17158 </w:instrText>
      </w:r>
      <w:r>
        <w:fldChar w:fldCharType="separate"/>
      </w:r>
      <w:r>
        <w:t>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_Toc18135 </w:instrText>
      </w:r>
      <w:r>
        <w:fldChar w:fldCharType="separate"/>
      </w:r>
      <w:r>
        <w:rPr>
          <w:rFonts w:hint="eastAsia"/>
          <w:lang w:val="en-GB"/>
        </w:rPr>
        <w:t xml:space="preserve">8.6 </w:t>
      </w:r>
      <w:r>
        <w:t>负荷分项统计</w:t>
      </w:r>
      <w:r>
        <w:tab/>
      </w:r>
      <w:r>
        <w:fldChar w:fldCharType="begin"/>
      </w:r>
      <w:r>
        <w:instrText xml:space="preserve"> PAGEREF _Toc18135 </w:instrText>
      </w:r>
      <w:r>
        <w:fldChar w:fldCharType="separate"/>
      </w:r>
      <w:r>
        <w:t>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_Toc3620 </w:instrText>
      </w:r>
      <w:r>
        <w:fldChar w:fldCharType="separate"/>
      </w:r>
      <w:r>
        <w:rPr>
          <w:rFonts w:hint="eastAsia"/>
          <w:lang w:val="en-GB"/>
        </w:rPr>
        <w:t xml:space="preserve">8.7 </w:t>
      </w:r>
      <w:r>
        <w:t>逐月负荷表</w:t>
      </w:r>
      <w:r>
        <w:tab/>
      </w:r>
      <w:r>
        <w:fldChar w:fldCharType="begin"/>
      </w:r>
      <w:r>
        <w:instrText xml:space="preserve"> PAGEREF _Toc3620 </w:instrText>
      </w:r>
      <w:r>
        <w:fldChar w:fldCharType="separate"/>
      </w:r>
      <w:r>
        <w:t>10</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_Toc23728 </w:instrText>
      </w:r>
      <w:r>
        <w:fldChar w:fldCharType="separate"/>
      </w:r>
      <w:r>
        <w:rPr>
          <w:rFonts w:hint="eastAsia"/>
          <w:lang w:val="en-GB"/>
        </w:rPr>
        <w:t xml:space="preserve">8.8 </w:t>
      </w:r>
      <w:r>
        <w:t>逐月电耗</w:t>
      </w:r>
      <w:r>
        <w:tab/>
      </w:r>
      <w:r>
        <w:fldChar w:fldCharType="begin"/>
      </w:r>
      <w:r>
        <w:instrText xml:space="preserve"> PAGEREF _Toc23728 </w:instrText>
      </w:r>
      <w:r>
        <w:fldChar w:fldCharType="separate"/>
      </w:r>
      <w:r>
        <w:t>11</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_Toc28071 </w:instrText>
      </w:r>
      <w:r>
        <w:fldChar w:fldCharType="separate"/>
      </w:r>
      <w:r>
        <w:rPr>
          <w:rFonts w:hint="eastAsia"/>
        </w:rPr>
        <w:t xml:space="preserve">9 </w:t>
      </w:r>
      <w:r>
        <w:t>计算结果</w:t>
      </w:r>
      <w:r>
        <w:tab/>
      </w:r>
      <w:r>
        <w:fldChar w:fldCharType="begin"/>
      </w:r>
      <w:r>
        <w:instrText xml:space="preserve"> PAGEREF _Toc28071 </w:instrText>
      </w:r>
      <w:r>
        <w:fldChar w:fldCharType="separate"/>
      </w:r>
      <w:r>
        <w:t>12</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_Toc18209 </w:instrText>
      </w:r>
      <w:r>
        <w:fldChar w:fldCharType="separate"/>
      </w:r>
      <w:r>
        <w:rPr>
          <w:rFonts w:hint="eastAsia"/>
        </w:rPr>
        <w:t xml:space="preserve">10 </w:t>
      </w:r>
      <w:r>
        <w:t>绿色建筑性能评估得分</w:t>
      </w:r>
      <w:r>
        <w:tab/>
      </w:r>
      <w:r>
        <w:fldChar w:fldCharType="begin"/>
      </w:r>
      <w:r>
        <w:instrText xml:space="preserve"> PAGEREF _Toc18209 </w:instrText>
      </w:r>
      <w:r>
        <w:fldChar w:fldCharType="separate"/>
      </w:r>
      <w:r>
        <w:t>12</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_Toc20227 </w:instrText>
      </w:r>
      <w:r>
        <w:fldChar w:fldCharType="separate"/>
      </w:r>
      <w:r>
        <w:rPr>
          <w:rFonts w:hint="eastAsia"/>
        </w:rPr>
        <w:t xml:space="preserve">11 </w:t>
      </w:r>
      <w:r>
        <w:t>附录</w:t>
      </w:r>
      <w:r>
        <w:tab/>
      </w:r>
      <w:r>
        <w:fldChar w:fldCharType="begin"/>
      </w:r>
      <w:r>
        <w:instrText xml:space="preserve"> PAGEREF _Toc20227 </w:instrText>
      </w:r>
      <w:r>
        <w:fldChar w:fldCharType="separate"/>
      </w:r>
      <w:r>
        <w:t>14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_Toc3612 </w:instrText>
      </w:r>
      <w:r>
        <w:fldChar w:fldCharType="separate"/>
      </w:r>
      <w:r>
        <w:rPr>
          <w:rFonts w:hint="eastAsia"/>
          <w:lang w:val="en-GB"/>
        </w:rPr>
        <w:t xml:space="preserve">11.1 </w:t>
      </w:r>
      <w:r>
        <w:t>工作日/节假日人员逐时在室率(%)</w:t>
      </w:r>
      <w:r>
        <w:tab/>
      </w:r>
      <w:r>
        <w:fldChar w:fldCharType="begin"/>
      </w:r>
      <w:r>
        <w:instrText xml:space="preserve"> PAGEREF _Toc3612 </w:instrText>
      </w:r>
      <w:r>
        <w:fldChar w:fldCharType="separate"/>
      </w:r>
      <w:r>
        <w:t>14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_Toc20875 </w:instrText>
      </w:r>
      <w:r>
        <w:fldChar w:fldCharType="separate"/>
      </w:r>
      <w:r>
        <w:rPr>
          <w:rFonts w:hint="eastAsia"/>
          <w:lang w:val="en-GB"/>
        </w:rPr>
        <w:t xml:space="preserve">11.2 </w:t>
      </w:r>
      <w:r>
        <w:t>工作日/节假日照明开关时间表(%)</w:t>
      </w:r>
      <w:r>
        <w:tab/>
      </w:r>
      <w:r>
        <w:fldChar w:fldCharType="begin"/>
      </w:r>
      <w:r>
        <w:instrText xml:space="preserve"> PAGEREF _Toc20875 </w:instrText>
      </w:r>
      <w:r>
        <w:fldChar w:fldCharType="separate"/>
      </w:r>
      <w:r>
        <w:t>14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_Toc13885 </w:instrText>
      </w:r>
      <w:r>
        <w:fldChar w:fldCharType="separate"/>
      </w:r>
      <w:r>
        <w:rPr>
          <w:rFonts w:hint="eastAsia"/>
          <w:lang w:val="en-GB"/>
        </w:rPr>
        <w:t xml:space="preserve">11.3 </w:t>
      </w:r>
      <w:r>
        <w:t>工作日/节假日设备逐时使用率(%)</w:t>
      </w:r>
      <w:r>
        <w:tab/>
      </w:r>
      <w:r>
        <w:fldChar w:fldCharType="begin"/>
      </w:r>
      <w:r>
        <w:instrText xml:space="preserve"> PAGEREF _Toc13885 </w:instrText>
      </w:r>
      <w:r>
        <w:fldChar w:fldCharType="separate"/>
      </w:r>
      <w:r>
        <w:t>15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_Toc10135 </w:instrText>
      </w:r>
      <w:r>
        <w:fldChar w:fldCharType="separate"/>
      </w:r>
      <w:r>
        <w:rPr>
          <w:rFonts w:hint="eastAsia"/>
          <w:lang w:val="en-GB"/>
        </w:rPr>
        <w:t xml:space="preserve">11.4 </w:t>
      </w:r>
      <w:r>
        <w:t>工作日/节假日空调系统运行时间表(1:开,0:关)</w:t>
      </w:r>
      <w:r>
        <w:tab/>
      </w:r>
      <w:r>
        <w:fldChar w:fldCharType="begin"/>
      </w:r>
      <w:r>
        <w:instrText xml:space="preserve"> PAGEREF _Toc10135 </w:instrText>
      </w:r>
      <w:r>
        <w:fldChar w:fldCharType="separate"/>
      </w:r>
      <w:r>
        <w:t>16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_Toc12266 </w:instrText>
      </w:r>
      <w:r>
        <w:fldChar w:fldCharType="separate"/>
      </w:r>
      <w:r>
        <w:rPr>
          <w:rFonts w:hint="eastAsia"/>
          <w:lang w:val="en-GB"/>
        </w:rPr>
        <w:t xml:space="preserve">11.5 </w:t>
      </w:r>
      <w:r>
        <w:t>工作日/节假日新风运行时间表(%)</w:t>
      </w:r>
      <w:r>
        <w:tab/>
      </w:r>
      <w:r>
        <w:fldChar w:fldCharType="begin"/>
      </w:r>
      <w:r>
        <w:instrText xml:space="preserve"> PAGEREF _Toc12266 </w:instrText>
      </w:r>
      <w:r>
        <w:fldChar w:fldCharType="separate"/>
      </w:r>
      <w:r>
        <w:t>17</w:t>
      </w:r>
      <w:r>
        <w:fldChar w:fldCharType="end"/>
      </w:r>
      <w:r>
        <w:fldChar w:fldCharType="end"/>
      </w:r>
    </w:p>
    <w:p>
      <w:pPr>
        <w:pStyle w:val="17"/>
        <w:sectPr>
          <w:headerReference r:id="rId6" w:type="first"/>
          <w:pgSz w:w="11906" w:h="16838"/>
          <w:pgMar w:top="1440" w:right="1418" w:bottom="1440" w:left="1418" w:header="851" w:footer="284" w:gutter="0"/>
          <w:cols w:space="425" w:num="1"/>
          <w:titlePg/>
          <w:docGrid w:type="lines" w:linePitch="312" w:charSpace="0"/>
        </w:sectPr>
      </w:pPr>
      <w:r>
        <w:fldChar w:fldCharType="end"/>
      </w:r>
    </w:p>
    <w:p>
      <w:pPr>
        <w:pStyle w:val="17"/>
      </w:pPr>
    </w:p>
    <w:p>
      <w:pPr>
        <w:pStyle w:val="2"/>
      </w:pPr>
      <w:bookmarkStart w:id="14" w:name="_Toc24496"/>
      <w:r>
        <w:rPr>
          <w:rFonts w:hint="eastAsia"/>
        </w:rPr>
        <w:t>建筑概况</w:t>
      </w:r>
      <w:bookmarkEnd w:id="14"/>
    </w:p>
    <w:tbl>
      <w:tblPr>
        <w:tblStyle w:val="19"/>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5" w:name="工程名称"/>
            <w:r>
              <w:t>筑绿未来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6" w:name="工程地点"/>
            <w:r>
              <w:t>福建-福州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7" w:name="纬度"/>
            <w:r>
              <w:rPr>
                <w:rFonts w:hint="eastAsia" w:ascii="宋体" w:hAnsi="宋体"/>
                <w:lang w:val="en-US"/>
              </w:rPr>
              <w:t>26.00°</w:t>
            </w:r>
          </w:p>
        </w:tc>
        <w:tc>
          <w:tcPr>
            <w:tcW w:w="3116" w:type="dxa"/>
          </w:tcPr>
          <w:p>
            <w:pPr>
              <w:pStyle w:val="3"/>
              <w:ind w:firstLine="0" w:firstLineChars="0"/>
              <w:rPr>
                <w:rFonts w:ascii="宋体" w:hAnsi="宋体"/>
                <w:lang w:val="en-US"/>
              </w:rPr>
            </w:pPr>
            <w:r>
              <w:rPr>
                <w:rFonts w:hint="eastAsia" w:ascii="宋体" w:hAnsi="宋体"/>
                <w:lang w:val="en-US"/>
              </w:rPr>
              <w:t>东经：</w:t>
            </w:r>
            <w:bookmarkStart w:id="18" w:name="经度"/>
            <w:r>
              <w:rPr>
                <w:rFonts w:hint="eastAsia" w:ascii="宋体" w:hAnsi="宋体"/>
                <w:lang w:val="en-US"/>
              </w:rPr>
              <w:t>119.28°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9" w:name="地上建筑面积"/>
            <w:r>
              <w:rPr>
                <w:rFonts w:hint="eastAsia" w:ascii="宋体" w:hAnsi="宋体"/>
                <w:lang w:val="en-US"/>
              </w:rPr>
              <w:t>2068    地下</w:t>
            </w:r>
            <w:bookmarkStart w:id="20" w:name="地下建筑面积"/>
            <w:r>
              <w:rPr>
                <w:rFonts w:hint="eastAsia" w:ascii="宋体" w:hAnsi="宋体"/>
                <w:lang w:val="en-US"/>
              </w:rPr>
              <w:t>37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21" w:name="地上建筑层数"/>
            <w:r>
              <w:rPr>
                <w:rFonts w:hint="eastAsia" w:ascii="宋体" w:hAnsi="宋体"/>
                <w:lang w:val="en-US"/>
              </w:rPr>
              <w:t>6          地下</w:t>
            </w:r>
            <w:bookmarkStart w:id="22" w:name="地下建筑层数"/>
            <w: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23" w:name="地上建筑高度"/>
            <w:r>
              <w:rPr>
                <w:rFonts w:hint="eastAsia" w:ascii="宋体" w:hAnsi="宋体"/>
                <w:lang w:val="en-US"/>
              </w:rPr>
              <w:t>27.0     地下</w:t>
            </w:r>
            <w:bookmarkStart w:id="24" w:name="地下建筑高度"/>
            <w:r>
              <w:rPr>
                <w:rFonts w:hint="eastAsia" w:ascii="宋体" w:hAnsi="宋体"/>
                <w:lang w:val="en-US"/>
              </w:rPr>
              <w:t>4.9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5" w:name="建筑体积"/>
            <w:r>
              <w:t>7604.36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6" w:name="外表面积"/>
            <w:r>
              <w:t>2219.76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7" w:name="北向角度"/>
            <w:r>
              <w:t>90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bookmarkStart w:id="28" w:name="结构类型"/>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9" w:name="外墙ρ"/>
            <w:r>
              <w:rPr>
                <w:rFonts w:hint="eastAsia"/>
              </w:rPr>
              <w:t>0.65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30" w:name="屋顶ρ"/>
            <w:r>
              <w:rPr>
                <w:rFonts w:hint="eastAsia"/>
              </w:rPr>
              <w:t>0.62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31" w:name="控温期"/>
            <w:r>
              <w:t>供冷期:5.1-10.1</w:t>
            </w:r>
            <w:bookmarkEnd w:id="31"/>
          </w:p>
        </w:tc>
      </w:tr>
    </w:tbl>
    <w:p>
      <w:pPr>
        <w:pStyle w:val="3"/>
        <w:ind w:firstLine="0" w:firstLineChars="0"/>
        <w:rPr>
          <w:lang w:val="en-US"/>
        </w:rPr>
      </w:pPr>
      <w:bookmarkStart w:id="32" w:name="TitleFormat"/>
    </w:p>
    <w:p>
      <w:pPr>
        <w:pStyle w:val="3"/>
        <w:ind w:firstLine="0" w:firstLineChars="0"/>
        <w:rPr>
          <w:lang w:val="en-US"/>
        </w:rPr>
      </w:pPr>
    </w:p>
    <w:p>
      <w:pPr>
        <w:pStyle w:val="2"/>
      </w:pPr>
      <w:bookmarkStart w:id="33" w:name="_Toc6147"/>
      <w:r>
        <w:rPr>
          <w:rFonts w:hint="eastAsia"/>
        </w:rPr>
        <w:t>计算依据</w:t>
      </w:r>
      <w:bookmarkEnd w:id="33"/>
    </w:p>
    <w:bookmarkEnd w:id="32"/>
    <w:p>
      <w:pPr>
        <w:widowControl w:val="0"/>
        <w:jc w:val="both"/>
        <w:rPr>
          <w:kern w:val="2"/>
          <w:szCs w:val="24"/>
          <w:lang w:val="en-US"/>
        </w:rPr>
      </w:pPr>
      <w:bookmarkStart w:id="34" w:name="计算依据"/>
      <w:bookmarkEnd w:id="34"/>
      <w:r>
        <w:rPr>
          <w:kern w:val="2"/>
          <w:szCs w:val="24"/>
          <w:lang w:val="en-US"/>
        </w:rPr>
        <w:t>1. 《绿色建筑评价标准》GB/T 50378-2019（2024年版）</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《建筑节能与可再生能源利用通用规范》GB55015-2021</w:t>
      </w:r>
    </w:p>
    <w:p>
      <w:pPr>
        <w:widowControl w:val="0"/>
        <w:jc w:val="both"/>
        <w:rPr>
          <w:kern w:val="2"/>
          <w:szCs w:val="24"/>
          <w:lang w:val="en-US"/>
        </w:rPr>
      </w:pPr>
      <w:r>
        <w:rPr>
          <w:kern w:val="2"/>
          <w:szCs w:val="24"/>
          <w:lang w:val="en-US"/>
        </w:rPr>
        <w:t>4. 《公共建筑节能设计标准》GB50189-2015</w:t>
      </w:r>
    </w:p>
    <w:p>
      <w:pPr>
        <w:widowControl w:val="0"/>
        <w:jc w:val="both"/>
        <w:rPr>
          <w:kern w:val="2"/>
          <w:szCs w:val="24"/>
          <w:lang w:val="en-US"/>
        </w:rPr>
      </w:pPr>
      <w:r>
        <w:rPr>
          <w:kern w:val="2"/>
          <w:szCs w:val="24"/>
          <w:lang w:val="en-US"/>
        </w:rPr>
        <w:t>5. 《民用建筑热工设计规范》GB50176-2016</w:t>
      </w:r>
    </w:p>
    <w:p>
      <w:pPr>
        <w:widowControl w:val="0"/>
        <w:jc w:val="both"/>
        <w:rPr>
          <w:kern w:val="2"/>
          <w:szCs w:val="24"/>
          <w:lang w:val="en-US"/>
        </w:rPr>
      </w:pPr>
      <w:r>
        <w:rPr>
          <w:kern w:val="2"/>
          <w:szCs w:val="24"/>
          <w:lang w:val="en-US"/>
        </w:rPr>
        <w:t>6. 《建筑幕墙、门窗通用技术条件》GB/T31433-2015</w:t>
      </w:r>
    </w:p>
    <w:p>
      <w:pPr>
        <w:widowControl w:val="0"/>
        <w:jc w:val="both"/>
        <w:rPr>
          <w:kern w:val="2"/>
          <w:szCs w:val="24"/>
          <w:lang w:val="en-US"/>
        </w:rPr>
      </w:pPr>
    </w:p>
    <w:p>
      <w:pPr>
        <w:pStyle w:val="2"/>
      </w:pPr>
      <w:bookmarkStart w:id="35" w:name="_Toc31856"/>
      <w:bookmarkStart w:id="36" w:name="_Toc25351"/>
      <w:bookmarkStart w:id="37" w:name="_Toc9701"/>
      <w:r>
        <w:rPr>
          <w:rFonts w:hint="eastAsia"/>
        </w:rPr>
        <w:t>计算要求</w:t>
      </w:r>
      <w:bookmarkEnd w:id="35"/>
      <w:bookmarkEnd w:id="36"/>
      <w:bookmarkEnd w:id="37"/>
    </w:p>
    <w:p>
      <w:pPr>
        <w:pStyle w:val="4"/>
        <w:tabs>
          <w:tab w:val="clear" w:pos="578"/>
        </w:tabs>
        <w:rPr>
          <w:kern w:val="2"/>
          <w:sz w:val="21"/>
        </w:rPr>
      </w:pPr>
      <w:bookmarkStart w:id="38" w:name="_Toc20530"/>
      <w:bookmarkStart w:id="39" w:name="_Toc3445"/>
      <w:bookmarkStart w:id="40" w:name="_Toc29022"/>
      <w:r>
        <w:rPr>
          <w:rFonts w:hint="eastAsia"/>
          <w:kern w:val="2"/>
          <w:sz w:val="21"/>
        </w:rPr>
        <w:t>计算目标</w:t>
      </w:r>
      <w:bookmarkEnd w:id="38"/>
      <w:bookmarkEnd w:id="39"/>
      <w:bookmarkEnd w:id="40"/>
    </w:p>
    <w:p>
      <w:pPr>
        <w:spacing w:line="360" w:lineRule="auto"/>
        <w:ind w:firstLine="420" w:firstLineChars="200"/>
        <w:rPr>
          <w:szCs w:val="21"/>
          <w:lang w:val="en-US"/>
        </w:rPr>
      </w:pPr>
      <w:bookmarkStart w:id="41" w:name="_Toc30695"/>
      <w:bookmarkStart w:id="42" w:name="_Toc6638"/>
      <w:r>
        <w:rPr>
          <w:rFonts w:hint="eastAsia"/>
          <w:szCs w:val="21"/>
          <w:lang w:val="en-US"/>
        </w:rPr>
        <w:t>《绿色建筑评价标准》GB/T 50378-2019（2024年版）</w:t>
      </w:r>
      <w:r>
        <w:rPr>
          <w:szCs w:val="21"/>
          <w:lang w:val="en-US"/>
        </w:rPr>
        <w:t xml:space="preserve"> </w:t>
      </w:r>
      <w:r>
        <w:rPr>
          <w:rFonts w:hint="eastAsia"/>
          <w:szCs w:val="21"/>
          <w:lang w:val="en-US"/>
        </w:rPr>
        <w:t>第</w:t>
      </w:r>
      <w:r>
        <w:rPr>
          <w:szCs w:val="21"/>
          <w:lang w:val="en-US"/>
        </w:rPr>
        <w:t>7.2.8</w:t>
      </w:r>
      <w:r>
        <w:rPr>
          <w:rFonts w:hint="eastAsia"/>
          <w:szCs w:val="21"/>
          <w:lang w:val="en-US"/>
        </w:rPr>
        <w:t>条</w:t>
      </w:r>
      <w:r>
        <w:rPr>
          <w:szCs w:val="21"/>
          <w:lang w:val="en-US"/>
        </w:rPr>
        <w:t>：</w:t>
      </w:r>
      <w:r>
        <w:rPr>
          <w:rFonts w:hint="eastAsia"/>
          <w:szCs w:val="21"/>
          <w:lang w:val="en-US"/>
        </w:rPr>
        <w:t>采取措施</w:t>
      </w:r>
      <w:r>
        <w:rPr>
          <w:szCs w:val="21"/>
          <w:lang w:val="en-US"/>
        </w:rPr>
        <w:t>降低建筑能耗，</w:t>
      </w:r>
      <w:r>
        <w:rPr>
          <w:rFonts w:hint="eastAsia"/>
          <w:szCs w:val="21"/>
          <w:lang w:val="en-US"/>
        </w:rPr>
        <w:t>评价</w:t>
      </w:r>
      <w:r>
        <w:rPr>
          <w:szCs w:val="21"/>
          <w:lang w:val="en-US"/>
        </w:rPr>
        <w:t>总分值</w:t>
      </w:r>
      <w:r>
        <w:rPr>
          <w:rFonts w:hint="eastAsia"/>
          <w:szCs w:val="21"/>
          <w:lang w:val="en-US"/>
        </w:rPr>
        <w:t>1</w:t>
      </w:r>
      <w:r>
        <w:rPr>
          <w:szCs w:val="21"/>
          <w:lang w:val="en-US"/>
        </w:rPr>
        <w:t>0</w:t>
      </w:r>
      <w:r>
        <w:rPr>
          <w:rFonts w:hint="eastAsia"/>
          <w:szCs w:val="21"/>
          <w:lang w:val="en-US"/>
        </w:rPr>
        <w:t>分</w:t>
      </w:r>
      <w:r>
        <w:rPr>
          <w:szCs w:val="21"/>
          <w:lang w:val="en-US"/>
        </w:rPr>
        <w:t>。</w:t>
      </w:r>
      <w:r>
        <w:rPr>
          <w:rFonts w:hint="eastAsia"/>
          <w:szCs w:val="21"/>
          <w:lang w:val="en-US"/>
        </w:rPr>
        <w:t>建筑设计能耗相比现行强制性工程建设规范《建筑节能与可再生能源利用通用规范》</w:t>
      </w:r>
      <w:r>
        <w:rPr>
          <w:szCs w:val="21"/>
          <w:lang w:val="en-US"/>
        </w:rPr>
        <w:t>GB 55015</w:t>
      </w:r>
      <w:r>
        <w:rPr>
          <w:rFonts w:hint="eastAsia"/>
          <w:szCs w:val="21"/>
          <w:lang w:val="en-US"/>
        </w:rPr>
        <w:t>降低</w:t>
      </w:r>
      <w:r>
        <w:rPr>
          <w:szCs w:val="21"/>
          <w:lang w:val="en-US"/>
        </w:rPr>
        <w:t>5%</w:t>
      </w:r>
      <w:r>
        <w:rPr>
          <w:rFonts w:hint="eastAsia"/>
          <w:szCs w:val="21"/>
          <w:lang w:val="en-US"/>
        </w:rPr>
        <w:t>，得</w:t>
      </w:r>
      <w:r>
        <w:rPr>
          <w:szCs w:val="21"/>
          <w:lang w:val="en-US"/>
        </w:rPr>
        <w:t>6</w:t>
      </w:r>
      <w:r>
        <w:rPr>
          <w:rFonts w:hint="eastAsia"/>
          <w:szCs w:val="21"/>
          <w:lang w:val="en-US"/>
        </w:rPr>
        <w:t>分；降低</w:t>
      </w:r>
      <w:r>
        <w:rPr>
          <w:szCs w:val="21"/>
          <w:lang w:val="en-US"/>
        </w:rPr>
        <w:t>10%</w:t>
      </w:r>
      <w:r>
        <w:rPr>
          <w:rFonts w:hint="eastAsia"/>
          <w:szCs w:val="21"/>
          <w:lang w:val="en-US"/>
        </w:rPr>
        <w:t>，得</w:t>
      </w:r>
      <w:r>
        <w:rPr>
          <w:szCs w:val="21"/>
          <w:lang w:val="en-US"/>
        </w:rPr>
        <w:t>8</w:t>
      </w:r>
      <w:r>
        <w:rPr>
          <w:rFonts w:hint="eastAsia"/>
          <w:szCs w:val="21"/>
          <w:lang w:val="en-US"/>
        </w:rPr>
        <w:t>分；降低</w:t>
      </w:r>
      <w:r>
        <w:rPr>
          <w:szCs w:val="21"/>
          <w:lang w:val="en-US"/>
        </w:rPr>
        <w:t>15%</w:t>
      </w:r>
      <w:r>
        <w:rPr>
          <w:rFonts w:hint="eastAsia"/>
          <w:szCs w:val="21"/>
          <w:lang w:val="en-US"/>
        </w:rPr>
        <w:t>，得</w:t>
      </w:r>
      <w:r>
        <w:rPr>
          <w:szCs w:val="21"/>
          <w:lang w:val="en-US"/>
        </w:rPr>
        <w:t>10</w:t>
      </w:r>
      <w:r>
        <w:rPr>
          <w:rFonts w:hint="eastAsia"/>
          <w:szCs w:val="21"/>
          <w:lang w:val="en-US"/>
        </w:rPr>
        <w:t>分</w:t>
      </w:r>
      <w:r>
        <w:rPr>
          <w:szCs w:val="21"/>
          <w:lang w:val="en-US"/>
        </w:rPr>
        <w:t>。</w:t>
      </w:r>
    </w:p>
    <w:p>
      <w:pPr>
        <w:pStyle w:val="4"/>
        <w:tabs>
          <w:tab w:val="clear" w:pos="578"/>
        </w:tabs>
        <w:rPr>
          <w:kern w:val="2"/>
          <w:sz w:val="21"/>
        </w:rPr>
      </w:pPr>
      <w:bookmarkStart w:id="43" w:name="_Toc8836"/>
      <w:r>
        <w:rPr>
          <w:rFonts w:hint="eastAsia"/>
          <w:kern w:val="2"/>
          <w:sz w:val="21"/>
        </w:rPr>
        <w:t>计算方法</w:t>
      </w:r>
      <w:bookmarkEnd w:id="41"/>
      <w:bookmarkEnd w:id="42"/>
      <w:bookmarkEnd w:id="43"/>
    </w:p>
    <w:p>
      <w:pPr>
        <w:pStyle w:val="3"/>
        <w:ind w:firstLine="420"/>
        <w:jc w:val="left"/>
        <w:rPr>
          <w:lang w:val="en-US"/>
        </w:rPr>
      </w:pPr>
      <w:bookmarkStart w:id="44" w:name="_Toc59787735"/>
      <w:bookmarkStart w:id="45" w:name="_Toc58336110"/>
      <w:bookmarkStart w:id="46" w:name="_Toc59800596"/>
      <w:r>
        <w:rPr>
          <w:rFonts w:hint="eastAsia"/>
          <w:lang w:val="en-US"/>
        </w:rPr>
        <w:t>建筑设计能耗应与强制性工程建设规范《建筑节能与可再生能源利用通用规范》</w:t>
      </w:r>
      <w:r>
        <w:rPr>
          <w:lang w:val="en-US"/>
        </w:rPr>
        <w:t>GB55015-2021</w:t>
      </w:r>
      <w:r>
        <w:rPr>
          <w:rFonts w:hint="eastAsia"/>
          <w:lang w:val="en-US"/>
        </w:rPr>
        <w:t>附录</w:t>
      </w:r>
      <w:r>
        <w:rPr>
          <w:lang w:val="en-US"/>
        </w:rPr>
        <w:t>A</w:t>
      </w:r>
      <w:r>
        <w:rPr>
          <w:rFonts w:hint="eastAsia"/>
          <w:lang w:val="en-US"/>
        </w:rPr>
        <w:t>中规定的平均能耗指标进行比较，根据低于平均能耗指标的百分比进行得分判断。对于</w:t>
      </w:r>
      <w:r>
        <w:rPr>
          <w:lang w:val="en-US"/>
        </w:rPr>
        <w:t>GB55015-2021</w:t>
      </w:r>
      <w:r>
        <w:rPr>
          <w:rFonts w:hint="eastAsia"/>
          <w:lang w:val="en-US"/>
        </w:rPr>
        <w:t>附录</w:t>
      </w:r>
      <w:r>
        <w:rPr>
          <w:lang w:val="en-US"/>
        </w:rPr>
        <w:t>A</w:t>
      </w:r>
      <w:r>
        <w:rPr>
          <w:rFonts w:hint="eastAsia"/>
          <w:lang w:val="en-US"/>
        </w:rPr>
        <w:t>中尚缺的建筑类型可沿用修订前评价方法，即按照现行行业标准《民用建筑绿色性能计算标准》</w:t>
      </w:r>
      <w:r>
        <w:rPr>
          <w:lang w:val="en-US"/>
        </w:rPr>
        <w:t>JGJ/T 449</w:t>
      </w:r>
      <w:r>
        <w:rPr>
          <w:rFonts w:hint="eastAsia"/>
          <w:lang w:val="en-US"/>
        </w:rPr>
        <w:t>分别计算设计建筑及满足国家现行建筑节能设计标准规定的参照建筑的供暖空调能耗和照明系统能耗，计算节能率并进行得分判定。</w:t>
      </w:r>
    </w:p>
    <w:p>
      <w:pPr>
        <w:pStyle w:val="2"/>
      </w:pPr>
      <w:bookmarkStart w:id="47" w:name="_Toc15250"/>
      <w:r>
        <w:rPr>
          <w:rFonts w:hint="eastAsia"/>
        </w:rPr>
        <w:t>软件介绍</w:t>
      </w:r>
      <w:bookmarkEnd w:id="44"/>
      <w:bookmarkEnd w:id="45"/>
      <w:bookmarkEnd w:id="46"/>
      <w:bookmarkEnd w:id="47"/>
    </w:p>
    <w:p>
      <w:pPr>
        <w:pStyle w:val="3"/>
        <w:ind w:firstLine="420"/>
        <w:rPr>
          <w:lang w:val="en-US"/>
        </w:rPr>
      </w:pPr>
      <w:r>
        <w:rPr>
          <w:rFonts w:hint="eastAsia"/>
          <w:lang w:val="en-US"/>
        </w:rPr>
        <w:t>本</w:t>
      </w:r>
      <w:r>
        <w:rPr>
          <w:lang w:val="en-US"/>
        </w:rPr>
        <w:t>报告</w:t>
      </w:r>
      <w:r>
        <w:rPr>
          <w:rFonts w:hint="eastAsia"/>
          <w:lang w:val="en-US"/>
        </w:rPr>
        <w:t>内容由</w:t>
      </w:r>
      <w:bookmarkStart w:id="48" w:name="软件全称＃2"/>
      <w:r>
        <w:rPr>
          <w:rFonts w:hint="eastAsia"/>
          <w:lang w:val="en-US"/>
        </w:rPr>
        <w:t>能耗计算BESI2025</w:t>
      </w:r>
      <w:bookmarkEnd w:id="48"/>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pPr>
        <w:pStyle w:val="2"/>
      </w:pPr>
      <w:bookmarkStart w:id="49" w:name="_Toc30041"/>
      <w:r>
        <w:rPr>
          <w:rFonts w:hint="eastAsia"/>
        </w:rPr>
        <w:t>气象数据</w:t>
      </w:r>
      <w:bookmarkEnd w:id="49"/>
    </w:p>
    <w:p>
      <w:pPr>
        <w:pStyle w:val="4"/>
      </w:pPr>
      <w:bookmarkStart w:id="50" w:name="_Toc23010"/>
      <w:r>
        <w:rPr>
          <w:rFonts w:hint="eastAsia"/>
        </w:rPr>
        <w:t>气象地点</w:t>
      </w:r>
      <w:bookmarkEnd w:id="50"/>
    </w:p>
    <w:p>
      <w:pPr>
        <w:pStyle w:val="3"/>
        <w:ind w:firstLine="420"/>
        <w:rPr>
          <w:lang w:val="en-US"/>
        </w:rPr>
      </w:pPr>
      <w:bookmarkStart w:id="51" w:name="气象数据来源"/>
      <w:r>
        <w:t>福建-福州, 《建筑节能气象参数标准》</w:t>
      </w:r>
      <w:bookmarkEnd w:id="51"/>
    </w:p>
    <w:p>
      <w:pPr>
        <w:pStyle w:val="4"/>
      </w:pPr>
      <w:bookmarkStart w:id="52" w:name="_Toc21658"/>
      <w:r>
        <w:rPr>
          <w:rFonts w:hint="eastAsia"/>
        </w:rPr>
        <w:t>逐日干球温度表</w:t>
      </w:r>
      <w:bookmarkEnd w:id="52"/>
    </w:p>
    <w:p>
      <w:pPr>
        <w:pStyle w:val="3"/>
        <w:ind w:firstLine="0" w:firstLineChars="0"/>
        <w:rPr>
          <w:lang w:val="en-US"/>
        </w:rPr>
      </w:pPr>
      <w:bookmarkStart w:id="53" w:name="日均干球温度变化表"/>
      <w:bookmarkEnd w:id="53"/>
      <w:r>
        <w:drawing>
          <wp:inline distT="0" distB="0" distL="0" distR="0">
            <wp:extent cx="5667375" cy="26479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5667375" cy="2647950"/>
                    </a:xfrm>
                    <a:prstGeom prst="rect">
                      <a:avLst/>
                    </a:prstGeom>
                  </pic:spPr>
                </pic:pic>
              </a:graphicData>
            </a:graphic>
          </wp:inline>
        </w:drawing>
      </w:r>
    </w:p>
    <w:p>
      <w:pPr>
        <w:pStyle w:val="4"/>
      </w:pPr>
      <w:bookmarkStart w:id="54" w:name="_Toc4521"/>
      <w:r>
        <w:rPr>
          <w:rFonts w:hint="eastAsia"/>
        </w:rPr>
        <w:t>逐月辐照量表</w:t>
      </w:r>
      <w:bookmarkEnd w:id="54"/>
    </w:p>
    <w:p>
      <w:pPr>
        <w:pStyle w:val="3"/>
        <w:ind w:firstLine="0" w:firstLineChars="0"/>
        <w:rPr>
          <w:lang w:val="en-US"/>
        </w:rPr>
      </w:pPr>
      <w:bookmarkStart w:id="55" w:name="逐月辐照量图表"/>
      <w:bookmarkEnd w:id="55"/>
      <w:r>
        <w:drawing>
          <wp:inline distT="0" distB="0" distL="0" distR="0">
            <wp:extent cx="5667375" cy="23907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5667375" cy="2390775"/>
                    </a:xfrm>
                    <a:prstGeom prst="rect">
                      <a:avLst/>
                    </a:prstGeom>
                  </pic:spPr>
                </pic:pic>
              </a:graphicData>
            </a:graphic>
          </wp:inline>
        </w:drawing>
      </w:r>
    </w:p>
    <w:p>
      <w:pPr>
        <w:pStyle w:val="4"/>
      </w:pPr>
      <w:bookmarkStart w:id="56" w:name="_Toc8270"/>
      <w:r>
        <w:rPr>
          <w:rFonts w:hint="eastAsia"/>
        </w:rPr>
        <w:t>峰值工况</w:t>
      </w:r>
      <w:bookmarkEnd w:id="56"/>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最热</w:t>
            </w:r>
          </w:p>
        </w:tc>
        <w:tc>
          <w:tcPr>
            <w:vAlign w:val="center"/>
          </w:tcPr>
          <w:p>
            <w:r>
              <w:t>07月11日14时</w:t>
            </w:r>
          </w:p>
        </w:tc>
        <w:tc>
          <w:tcPr>
            <w:vAlign w:val="center"/>
          </w:tcPr>
          <w:p>
            <w:r>
              <w:t>37.8</w:t>
            </w:r>
          </w:p>
        </w:tc>
        <w:tc>
          <w:tcPr>
            <w:vAlign w:val="center"/>
          </w:tcPr>
          <w:p>
            <w:r>
              <w:t>26.1</w:t>
            </w:r>
          </w:p>
        </w:tc>
        <w:tc>
          <w:tcPr>
            <w:vAlign w:val="center"/>
          </w:tcPr>
          <w:p>
            <w:r>
              <w:t>17.1</w:t>
            </w:r>
          </w:p>
        </w:tc>
        <w:tc>
          <w:tcPr>
            <w:vAlign w:val="center"/>
          </w:tcPr>
          <w:p>
            <w:r>
              <w:t>81.9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最冷</w:t>
            </w:r>
          </w:p>
        </w:tc>
        <w:tc>
          <w:tcPr>
            <w:vAlign w:val="center"/>
          </w:tcPr>
          <w:p>
            <w:r>
              <w:t>01月16日06时</w:t>
            </w:r>
          </w:p>
        </w:tc>
        <w:tc>
          <w:tcPr>
            <w:vAlign w:val="center"/>
          </w:tcPr>
          <w:p>
            <w:r>
              <w:t>1.7</w:t>
            </w:r>
          </w:p>
        </w:tc>
        <w:tc>
          <w:tcPr>
            <w:vAlign w:val="center"/>
          </w:tcPr>
          <w:p>
            <w:r>
              <w:t>1.1</w:t>
            </w:r>
          </w:p>
        </w:tc>
        <w:tc>
          <w:tcPr>
            <w:vAlign w:val="center"/>
          </w:tcPr>
          <w:p>
            <w:r>
              <w:t>3.8</w:t>
            </w:r>
          </w:p>
        </w:tc>
        <w:tc>
          <w:tcPr>
            <w:vAlign w:val="center"/>
          </w:tcPr>
          <w:p>
            <w:r>
              <w:t>11.2</w:t>
            </w:r>
          </w:p>
        </w:tc>
      </w:tr>
    </w:tbl>
    <w:p>
      <w:pPr>
        <w:pStyle w:val="2"/>
        <w:widowControl w:val="0"/>
        <w:jc w:val="both"/>
      </w:pPr>
      <w:bookmarkStart w:id="57" w:name="气象峰值工况"/>
      <w:bookmarkEnd w:id="57"/>
      <w:bookmarkStart w:id="58" w:name="_Toc31384"/>
      <w:r>
        <w:t>围护结构</w:t>
      </w:r>
      <w:bookmarkEnd w:id="58"/>
    </w:p>
    <w:p>
      <w:pPr>
        <w:pStyle w:val="4"/>
        <w:widowControl w:val="0"/>
        <w:jc w:val="both"/>
      </w:pPr>
      <w:bookmarkStart w:id="59" w:name="_Toc4604"/>
      <w:r>
        <w:t>工程材料</w:t>
      </w:r>
      <w:bookmarkEnd w:id="59"/>
    </w:p>
    <w:tbl>
      <w:tblPr>
        <w:tblStyle w:val="19"/>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密度</w:t>
            </w:r>
            <w:r>
              <w:br w:type="textWrapping"/>
            </w:r>
            <w:r>
              <w:t>ρ</w:t>
            </w:r>
          </w:p>
        </w:tc>
        <w:tc>
          <w:tcPr>
            <w:shd w:val="clear" w:color="auto" w:fill="E6E6E6"/>
            <w:vAlign w:val="center"/>
          </w:tcPr>
          <w:p>
            <w:pPr>
              <w:jc w:val="center"/>
            </w:pPr>
            <w:r>
              <w:t>比热容</w:t>
            </w:r>
            <w:r>
              <w:br w:type="textWrapping"/>
            </w:r>
            <w:r>
              <w:t>Cp</w:t>
            </w:r>
          </w:p>
        </w:tc>
        <w:tc>
          <w:tcPr>
            <w:shd w:val="clear" w:color="auto" w:fill="E6E6E6"/>
            <w:vAlign w:val="center"/>
          </w:tcPr>
          <w:p>
            <w:pPr>
              <w:jc w:val="center"/>
            </w:pPr>
            <w:r>
              <w:t>蒸汽渗透</w:t>
            </w:r>
            <w:r>
              <w:br w:type="textWrapping"/>
            </w:r>
            <w:r>
              <w:t>系数u</w:t>
            </w:r>
          </w:p>
        </w:tc>
        <w:tc>
          <w:tcPr>
            <w:vMerge w:val="restart"/>
            <w:shd w:val="clear" w:color="auto" w:fill="E6E6E6"/>
            <w:vAlign w:val="center"/>
          </w:tcPr>
          <w:p>
            <w:pPr>
              <w:jc w:val="center"/>
            </w:pPr>
            <w:r>
              <w:t>数据来源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0.930</w:t>
            </w:r>
          </w:p>
        </w:tc>
        <w:tc>
          <w:tcPr>
            <w:vAlign w:val="center"/>
          </w:tcPr>
          <w:p>
            <w:pPr>
              <w:jc w:val="right"/>
            </w:pPr>
            <w:r>
              <w:t>11.370</w:t>
            </w:r>
          </w:p>
        </w:tc>
        <w:tc>
          <w:tcPr>
            <w:vAlign w:val="center"/>
          </w:tcPr>
          <w:p>
            <w:pPr>
              <w:jc w:val="right"/>
            </w:pPr>
            <w:r>
              <w:t>1800.0</w:t>
            </w:r>
          </w:p>
        </w:tc>
        <w:tc>
          <w:tcPr>
            <w:vAlign w:val="center"/>
          </w:tcPr>
          <w:p>
            <w:pPr>
              <w:jc w:val="right"/>
            </w:pPr>
            <w:r>
              <w:t>1050.0</w:t>
            </w:r>
          </w:p>
        </w:tc>
        <w:tc>
          <w:tcPr>
            <w:vAlign w:val="center"/>
          </w:tcPr>
          <w:p>
            <w:pPr>
              <w:jc w:val="right"/>
            </w:pPr>
            <w:r>
              <w:t>0.0210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石灰砂浆1</w:t>
            </w:r>
          </w:p>
        </w:tc>
        <w:tc>
          <w:tcPr>
            <w:vAlign w:val="center"/>
          </w:tcPr>
          <w:p>
            <w:pPr>
              <w:jc w:val="right"/>
            </w:pPr>
            <w:r>
              <w:t>0.810</w:t>
            </w:r>
          </w:p>
        </w:tc>
        <w:tc>
          <w:tcPr>
            <w:vAlign w:val="center"/>
          </w:tcPr>
          <w:p>
            <w:pPr>
              <w:jc w:val="right"/>
            </w:pPr>
            <w:r>
              <w:t>10.070</w:t>
            </w:r>
          </w:p>
        </w:tc>
        <w:tc>
          <w:tcPr>
            <w:vAlign w:val="center"/>
          </w:tcPr>
          <w:p>
            <w:pPr>
              <w:jc w:val="right"/>
            </w:pPr>
            <w:r>
              <w:t>1600.0</w:t>
            </w:r>
          </w:p>
        </w:tc>
        <w:tc>
          <w:tcPr>
            <w:vAlign w:val="center"/>
          </w:tcPr>
          <w:p>
            <w:pPr>
              <w:jc w:val="right"/>
            </w:pPr>
            <w:r>
              <w:t>1050.0</w:t>
            </w:r>
          </w:p>
        </w:tc>
        <w:tc>
          <w:tcPr>
            <w:vAlign w:val="center"/>
          </w:tcPr>
          <w:p>
            <w:pPr>
              <w:jc w:val="right"/>
            </w:pPr>
            <w:r>
              <w:t>0.0443</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钢筋混凝土1</w:t>
            </w:r>
          </w:p>
        </w:tc>
        <w:tc>
          <w:tcPr>
            <w:vAlign w:val="center"/>
          </w:tcPr>
          <w:p>
            <w:pPr>
              <w:jc w:val="right"/>
            </w:pPr>
            <w:r>
              <w:t>1.740</w:t>
            </w:r>
          </w:p>
        </w:tc>
        <w:tc>
          <w:tcPr>
            <w:vAlign w:val="center"/>
          </w:tcPr>
          <w:p>
            <w:pPr>
              <w:jc w:val="right"/>
            </w:pPr>
            <w:r>
              <w:t>17.200</w:t>
            </w:r>
          </w:p>
        </w:tc>
        <w:tc>
          <w:tcPr>
            <w:vAlign w:val="center"/>
          </w:tcPr>
          <w:p>
            <w:pPr>
              <w:jc w:val="right"/>
            </w:pPr>
            <w:r>
              <w:t>2500.0</w:t>
            </w:r>
          </w:p>
        </w:tc>
        <w:tc>
          <w:tcPr>
            <w:vAlign w:val="center"/>
          </w:tcPr>
          <w:p>
            <w:pPr>
              <w:jc w:val="right"/>
            </w:pPr>
            <w:r>
              <w:t>920.0</w:t>
            </w:r>
          </w:p>
        </w:tc>
        <w:tc>
          <w:tcPr>
            <w:vAlign w:val="center"/>
          </w:tcPr>
          <w:p>
            <w:pPr>
              <w:jc w:val="right"/>
            </w:pPr>
            <w:r>
              <w:t>0.0158</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碎石、卵石混凝土(ρ=2300)</w:t>
            </w:r>
          </w:p>
        </w:tc>
        <w:tc>
          <w:tcPr>
            <w:vAlign w:val="center"/>
          </w:tcPr>
          <w:p>
            <w:pPr>
              <w:jc w:val="right"/>
            </w:pPr>
            <w:r>
              <w:t>1.740</w:t>
            </w:r>
          </w:p>
        </w:tc>
        <w:tc>
          <w:tcPr>
            <w:vAlign w:val="center"/>
          </w:tcPr>
          <w:p>
            <w:pPr>
              <w:jc w:val="right"/>
            </w:pPr>
            <w:r>
              <w:t>15.360</w:t>
            </w:r>
          </w:p>
        </w:tc>
        <w:tc>
          <w:tcPr>
            <w:vAlign w:val="center"/>
          </w:tcPr>
          <w:p>
            <w:pPr>
              <w:jc w:val="right"/>
            </w:pPr>
            <w:r>
              <w:t>2300.0</w:t>
            </w:r>
          </w:p>
        </w:tc>
        <w:tc>
          <w:tcPr>
            <w:vAlign w:val="center"/>
          </w:tcPr>
          <w:p>
            <w:pPr>
              <w:jc w:val="right"/>
            </w:pPr>
            <w:r>
              <w:t>920.0</w:t>
            </w:r>
          </w:p>
        </w:tc>
        <w:tc>
          <w:tcPr>
            <w:vAlign w:val="center"/>
          </w:tcPr>
          <w:p>
            <w:pPr>
              <w:jc w:val="right"/>
            </w:pPr>
            <w:r>
              <w:t>0.0173</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挤塑聚苯乙烯泡沫塑料（带表皮）</w:t>
            </w:r>
          </w:p>
        </w:tc>
        <w:tc>
          <w:tcPr>
            <w:vAlign w:val="center"/>
          </w:tcPr>
          <w:p>
            <w:pPr>
              <w:jc w:val="right"/>
            </w:pPr>
            <w:r>
              <w:t>0.030</w:t>
            </w:r>
          </w:p>
        </w:tc>
        <w:tc>
          <w:tcPr>
            <w:vAlign w:val="center"/>
          </w:tcPr>
          <w:p>
            <w:pPr>
              <w:jc w:val="right"/>
            </w:pPr>
            <w:r>
              <w:t>0.340</w:t>
            </w:r>
          </w:p>
        </w:tc>
        <w:tc>
          <w:tcPr>
            <w:vAlign w:val="center"/>
          </w:tcPr>
          <w:p>
            <w:pPr>
              <w:jc w:val="right"/>
            </w:pPr>
            <w:r>
              <w:t>35.0</w:t>
            </w:r>
          </w:p>
        </w:tc>
        <w:tc>
          <w:tcPr>
            <w:vAlign w:val="center"/>
          </w:tcPr>
          <w:p>
            <w:pPr>
              <w:jc w:val="right"/>
            </w:pPr>
            <w:r>
              <w:t>1380.0</w:t>
            </w:r>
          </w:p>
        </w:tc>
        <w:tc>
          <w:tcPr>
            <w:vAlign w:val="center"/>
          </w:tcPr>
          <w:p>
            <w:pPr>
              <w:jc w:val="right"/>
            </w:pPr>
            <w:r>
              <w:t>0.0162</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混凝土多孔砖(190六孔砖）</w:t>
            </w:r>
          </w:p>
        </w:tc>
        <w:tc>
          <w:tcPr>
            <w:vAlign w:val="center"/>
          </w:tcPr>
          <w:p>
            <w:pPr>
              <w:jc w:val="right"/>
            </w:pPr>
            <w:r>
              <w:t>0.750</w:t>
            </w:r>
          </w:p>
        </w:tc>
        <w:tc>
          <w:tcPr>
            <w:vAlign w:val="center"/>
          </w:tcPr>
          <w:p>
            <w:pPr>
              <w:jc w:val="right"/>
            </w:pPr>
            <w:r>
              <w:t>7.490</w:t>
            </w:r>
          </w:p>
        </w:tc>
        <w:tc>
          <w:tcPr>
            <w:vAlign w:val="center"/>
          </w:tcPr>
          <w:p>
            <w:pPr>
              <w:jc w:val="right"/>
            </w:pPr>
            <w:r>
              <w:t>1450.0</w:t>
            </w:r>
          </w:p>
        </w:tc>
        <w:tc>
          <w:tcPr>
            <w:vAlign w:val="center"/>
          </w:tcPr>
          <w:p>
            <w:pPr>
              <w:jc w:val="right"/>
            </w:pPr>
            <w:r>
              <w:t>709.4</w:t>
            </w:r>
          </w:p>
        </w:tc>
        <w:tc>
          <w:tcPr>
            <w:vAlign w:val="center"/>
          </w:tcPr>
          <w:p>
            <w:pPr>
              <w:jc w:val="right"/>
            </w:pPr>
            <w:r>
              <w:t>0.0000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聚苯颗粒保温砂浆</w:t>
            </w:r>
          </w:p>
        </w:tc>
        <w:tc>
          <w:tcPr>
            <w:vAlign w:val="center"/>
          </w:tcPr>
          <w:p>
            <w:pPr>
              <w:jc w:val="right"/>
            </w:pPr>
            <w:r>
              <w:t>0.060</w:t>
            </w:r>
          </w:p>
        </w:tc>
        <w:tc>
          <w:tcPr>
            <w:vAlign w:val="center"/>
          </w:tcPr>
          <w:p>
            <w:pPr>
              <w:jc w:val="right"/>
            </w:pPr>
            <w:r>
              <w:t>0.950</w:t>
            </w:r>
          </w:p>
        </w:tc>
        <w:tc>
          <w:tcPr>
            <w:vAlign w:val="center"/>
          </w:tcPr>
          <w:p>
            <w:pPr>
              <w:jc w:val="right"/>
            </w:pPr>
            <w:r>
              <w:t>230.0</w:t>
            </w:r>
          </w:p>
        </w:tc>
        <w:tc>
          <w:tcPr>
            <w:vAlign w:val="center"/>
          </w:tcPr>
          <w:p>
            <w:pPr>
              <w:jc w:val="right"/>
            </w:pPr>
            <w:r>
              <w:t>900.0</w:t>
            </w:r>
          </w:p>
        </w:tc>
        <w:tc>
          <w:tcPr>
            <w:vAlign w:val="center"/>
          </w:tcPr>
          <w:p>
            <w:pPr>
              <w:jc w:val="right"/>
            </w:pPr>
            <w:r>
              <w:t>0.0000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pPr>
              <w:jc w:val="right"/>
            </w:pPr>
            <w:r>
              <w:t>1.740</w:t>
            </w:r>
          </w:p>
        </w:tc>
        <w:tc>
          <w:tcPr>
            <w:vAlign w:val="center"/>
          </w:tcPr>
          <w:p>
            <w:pPr>
              <w:jc w:val="right"/>
            </w:pPr>
            <w:r>
              <w:t>17.200</w:t>
            </w:r>
          </w:p>
        </w:tc>
        <w:tc>
          <w:tcPr>
            <w:vAlign w:val="center"/>
          </w:tcPr>
          <w:p>
            <w:pPr>
              <w:jc w:val="right"/>
            </w:pPr>
            <w:r>
              <w:t>2500.0</w:t>
            </w:r>
          </w:p>
        </w:tc>
        <w:tc>
          <w:tcPr>
            <w:vAlign w:val="center"/>
          </w:tcPr>
          <w:p>
            <w:pPr>
              <w:jc w:val="right"/>
            </w:pPr>
            <w:r>
              <w:t>920.0</w:t>
            </w:r>
          </w:p>
        </w:tc>
        <w:tc>
          <w:tcPr>
            <w:vAlign w:val="center"/>
          </w:tcPr>
          <w:p>
            <w:pPr>
              <w:jc w:val="right"/>
            </w:pPr>
            <w:r>
              <w:t>0.0158</w:t>
            </w:r>
          </w:p>
        </w:tc>
        <w:tc>
          <w:tcPr>
            <w:vAlign w:val="center"/>
          </w:tcPr>
          <w:p>
            <w:r>
              <w:rPr>
                <w:sz w:val="18"/>
                <w:szCs w:val="18"/>
              </w:rPr>
              <w:t>DBJT13-62-2023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SBS改性沥青防水卷材</w:t>
            </w:r>
          </w:p>
        </w:tc>
        <w:tc>
          <w:tcPr>
            <w:vAlign w:val="center"/>
          </w:tcPr>
          <w:p>
            <w:pPr>
              <w:jc w:val="right"/>
            </w:pPr>
            <w:r>
              <w:t>0.170</w:t>
            </w:r>
          </w:p>
        </w:tc>
        <w:tc>
          <w:tcPr>
            <w:vAlign w:val="center"/>
          </w:tcPr>
          <w:p>
            <w:pPr>
              <w:jc w:val="right"/>
            </w:pPr>
            <w:r>
              <w:t>9.370</w:t>
            </w:r>
          </w:p>
        </w:tc>
        <w:tc>
          <w:tcPr>
            <w:vAlign w:val="center"/>
          </w:tcPr>
          <w:p>
            <w:pPr>
              <w:jc w:val="right"/>
            </w:pPr>
            <w:r>
              <w:t>900.0</w:t>
            </w:r>
          </w:p>
        </w:tc>
        <w:tc>
          <w:tcPr>
            <w:vAlign w:val="center"/>
          </w:tcPr>
          <w:p>
            <w:pPr>
              <w:jc w:val="right"/>
            </w:pPr>
            <w:r>
              <w:t>1620.0</w:t>
            </w:r>
          </w:p>
        </w:tc>
        <w:tc>
          <w:tcPr>
            <w:vAlign w:val="center"/>
          </w:tcPr>
          <w:p>
            <w:pPr>
              <w:jc w:val="right"/>
            </w:pPr>
            <w:r>
              <w:t>0.0014</w:t>
            </w:r>
          </w:p>
        </w:tc>
        <w:tc>
          <w:tcPr>
            <w:vAlign w:val="center"/>
          </w:tcPr>
          <w:p>
            <w:r>
              <w:rPr>
                <w:sz w:val="18"/>
                <w:szCs w:val="18"/>
              </w:rPr>
              <w:t>安徽公共建筑节能设计标准 DB34 T753-2007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挤塑聚苯板</w:t>
            </w:r>
          </w:p>
        </w:tc>
        <w:tc>
          <w:tcPr>
            <w:vAlign w:val="center"/>
          </w:tcPr>
          <w:p>
            <w:pPr>
              <w:jc w:val="right"/>
            </w:pPr>
            <w:r>
              <w:t>0.030</w:t>
            </w:r>
          </w:p>
        </w:tc>
        <w:tc>
          <w:tcPr>
            <w:vAlign w:val="center"/>
          </w:tcPr>
          <w:p>
            <w:pPr>
              <w:jc w:val="right"/>
            </w:pPr>
            <w:r>
              <w:t>0.347</w:t>
            </w:r>
          </w:p>
        </w:tc>
        <w:tc>
          <w:tcPr>
            <w:vAlign w:val="center"/>
          </w:tcPr>
          <w:p>
            <w:pPr>
              <w:jc w:val="right"/>
            </w:pPr>
            <w:r>
              <w:t>28.0</w:t>
            </w:r>
          </w:p>
        </w:tc>
        <w:tc>
          <w:tcPr>
            <w:vAlign w:val="center"/>
          </w:tcPr>
          <w:p>
            <w:pPr>
              <w:jc w:val="right"/>
            </w:pPr>
            <w:r>
              <w:t>1790.0</w:t>
            </w:r>
          </w:p>
        </w:tc>
        <w:tc>
          <w:tcPr>
            <w:vAlign w:val="center"/>
          </w:tcPr>
          <w:p>
            <w:pPr>
              <w:jc w:val="right"/>
            </w:pPr>
            <w:r>
              <w:t>0.0140</w:t>
            </w:r>
          </w:p>
        </w:tc>
        <w:tc>
          <w:tcPr>
            <w:vAlign w:val="center"/>
          </w:tcPr>
          <w:p>
            <w:r>
              <w:rPr>
                <w:sz w:val="18"/>
                <w:szCs w:val="18"/>
              </w:rPr>
              <w:t>安徽公共建筑节能设计标准 DB34 T753-2007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轻集料混凝土2%找坡层</w:t>
            </w:r>
          </w:p>
        </w:tc>
        <w:tc>
          <w:tcPr>
            <w:vAlign w:val="center"/>
          </w:tcPr>
          <w:p>
            <w:pPr>
              <w:jc w:val="right"/>
            </w:pPr>
            <w:r>
              <w:t>0.280</w:t>
            </w:r>
          </w:p>
        </w:tc>
        <w:tc>
          <w:tcPr>
            <w:vAlign w:val="center"/>
          </w:tcPr>
          <w:p>
            <w:pPr>
              <w:jc w:val="right"/>
            </w:pPr>
            <w:r>
              <w:t>7.500</w:t>
            </w:r>
          </w:p>
        </w:tc>
        <w:tc>
          <w:tcPr>
            <w:vAlign w:val="center"/>
          </w:tcPr>
          <w:p>
            <w:pPr>
              <w:jc w:val="right"/>
            </w:pPr>
            <w:r>
              <w:t>1600.0</w:t>
            </w:r>
          </w:p>
        </w:tc>
        <w:tc>
          <w:tcPr>
            <w:vAlign w:val="center"/>
          </w:tcPr>
          <w:p>
            <w:pPr>
              <w:jc w:val="right"/>
            </w:pPr>
            <w:r>
              <w:t>1611.4</w:t>
            </w:r>
          </w:p>
        </w:tc>
        <w:tc>
          <w:tcPr>
            <w:vAlign w:val="center"/>
          </w:tcPr>
          <w:p>
            <w:pPr>
              <w:jc w:val="right"/>
            </w:pPr>
            <w:r>
              <w:t>0.0040</w:t>
            </w:r>
          </w:p>
        </w:tc>
        <w:tc>
          <w:tcPr>
            <w:vAlign w:val="center"/>
          </w:tcPr>
          <w:p>
            <w:r>
              <w:rPr>
                <w:sz w:val="18"/>
                <w:szCs w:val="18"/>
              </w:rPr>
              <w:t>闽2023-J-06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混合砂浆</w:t>
            </w:r>
          </w:p>
        </w:tc>
        <w:tc>
          <w:tcPr>
            <w:vAlign w:val="center"/>
          </w:tcPr>
          <w:p>
            <w:pPr>
              <w:jc w:val="right"/>
            </w:pPr>
            <w:r>
              <w:t>0.870</w:t>
            </w:r>
          </w:p>
        </w:tc>
        <w:tc>
          <w:tcPr>
            <w:vAlign w:val="center"/>
          </w:tcPr>
          <w:p>
            <w:pPr>
              <w:jc w:val="right"/>
            </w:pPr>
            <w:r>
              <w:t>10.750</w:t>
            </w:r>
          </w:p>
        </w:tc>
        <w:tc>
          <w:tcPr>
            <w:vAlign w:val="center"/>
          </w:tcPr>
          <w:p>
            <w:pPr>
              <w:jc w:val="right"/>
            </w:pPr>
            <w:r>
              <w:t>1700.0</w:t>
            </w:r>
          </w:p>
        </w:tc>
        <w:tc>
          <w:tcPr>
            <w:vAlign w:val="center"/>
          </w:tcPr>
          <w:p>
            <w:pPr>
              <w:jc w:val="right"/>
            </w:pPr>
            <w:r>
              <w:t>1074.4</w:t>
            </w:r>
          </w:p>
        </w:tc>
        <w:tc>
          <w:tcPr>
            <w:vAlign w:val="center"/>
          </w:tcPr>
          <w:p>
            <w:pPr>
              <w:jc w:val="right"/>
            </w:pPr>
            <w:r>
              <w:t>0.0230</w:t>
            </w:r>
          </w:p>
        </w:tc>
        <w:tc>
          <w:tcPr>
            <w:vAlign w:val="center"/>
          </w:tcPr>
          <w:p>
            <w:pPr>
              <w:rPr>
                <w:sz w:val="18"/>
                <w:szCs w:val="18"/>
              </w:rPr>
            </w:pPr>
          </w:p>
        </w:tc>
      </w:tr>
    </w:tbl>
    <w:p>
      <w:pPr>
        <w:pStyle w:val="4"/>
        <w:widowControl w:val="0"/>
        <w:jc w:val="both"/>
      </w:pPr>
      <w:bookmarkStart w:id="60" w:name="_Toc28215"/>
      <w:r>
        <w:t>围护结构作法简要说明</w:t>
      </w:r>
      <w:bookmarkEnd w:id="60"/>
    </w:p>
    <w:p>
      <w:pPr>
        <w:widowControl w:val="0"/>
        <w:jc w:val="both"/>
      </w:pPr>
      <w:r>
        <w:rPr>
          <w:b/>
          <w:color w:val="000000"/>
          <w:sz w:val="24"/>
          <w:szCs w:val="24"/>
        </w:rPr>
        <w:t>1. 屋顶：</w:t>
      </w:r>
      <w:r>
        <w:rPr>
          <w:color w:val="0000FF"/>
        </w:rPr>
        <w:t>屋顶构造四 (K=0.192,D=5.688)：</w:t>
      </w:r>
      <w:r>
        <w:rPr>
          <w:color w:val="000000"/>
        </w:rPr>
        <w:t>（由上到下）</w:t>
      </w:r>
    </w:p>
    <w:p>
      <w:pPr>
        <w:widowControl w:val="0"/>
        <w:jc w:val="both"/>
      </w:pPr>
      <w:r>
        <w:t xml:space="preserve">    </w:t>
      </w:r>
      <w:r>
        <w:rPr>
          <w:color w:val="000000"/>
        </w:rPr>
        <w:t>碎石、卵石混凝土(ρ=2300) 50mm＋</w:t>
      </w:r>
      <w:r>
        <w:rPr>
          <w:color w:val="800000"/>
        </w:rPr>
        <w:t>挤塑聚苯板 140mm</w:t>
      </w:r>
      <w:r>
        <w:rPr>
          <w:color w:val="000000"/>
        </w:rPr>
        <w:t>＋SBS改性沥青防水卷材 4mm＋水泥砂浆 30mm＋轻集料混凝土2%找坡层 60mm＋</w:t>
      </w:r>
      <w:r>
        <w:rPr>
          <w:color w:val="800080"/>
        </w:rPr>
        <w:t>钢筋混凝土 120mm</w:t>
      </w:r>
      <w:r>
        <w:rPr>
          <w:color w:val="000000"/>
        </w:rPr>
        <w:t>＋混合砂浆 20mm</w:t>
      </w:r>
    </w:p>
    <w:p>
      <w:pPr>
        <w:widowControl w:val="0"/>
        <w:jc w:val="both"/>
        <w:rPr>
          <w:color w:val="000000"/>
        </w:rPr>
      </w:pPr>
      <w:r>
        <w:rPr>
          <w:b/>
          <w:color w:val="000000"/>
          <w:sz w:val="24"/>
          <w:szCs w:val="24"/>
        </w:rPr>
        <w:t>2. 屋顶防火隔离带：</w:t>
      </w:r>
      <w:r>
        <w:rPr>
          <w:color w:val="0000FF"/>
        </w:rPr>
        <w:t>屋顶防火隔离带构造一 (K=1.612,D=3.031)：</w:t>
      </w:r>
      <w:r>
        <w:rPr>
          <w:color w:val="000000"/>
        </w:rPr>
        <w:t>（由上到下）</w:t>
      </w:r>
    </w:p>
    <w:p>
      <w:pPr>
        <w:widowControl w:val="0"/>
        <w:jc w:val="both"/>
        <w:rPr>
          <w:color w:val="000000"/>
        </w:rPr>
      </w:pPr>
      <w:r>
        <w:rPr>
          <w:color w:val="000000"/>
        </w:rPr>
        <w:t xml:space="preserve">    水泥砂浆 20mm＋</w:t>
      </w:r>
      <w:r>
        <w:rPr>
          <w:color w:val="800000"/>
        </w:rPr>
        <w:t>聚苯颗粒保温砂浆 20mm</w:t>
      </w:r>
      <w:r>
        <w:rPr>
          <w:color w:val="000000"/>
        </w:rPr>
        <w:t>＋水泥砂浆 20mm＋</w:t>
      </w:r>
      <w:r>
        <w:rPr>
          <w:color w:val="800080"/>
        </w:rPr>
        <w:t>钢筋混凝土1 200mm</w:t>
      </w:r>
      <w:r>
        <w:rPr>
          <w:color w:val="000000"/>
        </w:rPr>
        <w:t>＋石灰砂浆1 20mm</w:t>
      </w:r>
    </w:p>
    <w:p>
      <w:pPr>
        <w:widowControl w:val="0"/>
        <w:jc w:val="both"/>
        <w:rPr>
          <w:color w:val="000000"/>
        </w:rPr>
      </w:pPr>
      <w:r>
        <w:rPr>
          <w:b/>
          <w:color w:val="000000"/>
          <w:sz w:val="24"/>
          <w:szCs w:val="24"/>
        </w:rPr>
        <w:t>3. 外墙（填充墙）：</w:t>
      </w:r>
      <w:r>
        <w:rPr>
          <w:color w:val="0000FF"/>
        </w:rPr>
        <w:t>外墙构造一 (K=1.113,D=2.941)：</w:t>
      </w:r>
      <w:r>
        <w:rPr>
          <w:color w:val="000000"/>
        </w:rPr>
        <w:t>（由外到内）</w:t>
      </w:r>
    </w:p>
    <w:p>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钢筋混凝土1 200mm</w:t>
      </w:r>
      <w:r>
        <w:rPr>
          <w:color w:val="000000"/>
        </w:rPr>
        <w:t>＋石灰砂浆1 20mm</w:t>
      </w:r>
    </w:p>
    <w:p>
      <w:pPr>
        <w:widowControl w:val="0"/>
        <w:jc w:val="both"/>
        <w:rPr>
          <w:color w:val="000000"/>
        </w:rPr>
      </w:pPr>
      <w:r>
        <w:rPr>
          <w:b/>
          <w:color w:val="000000"/>
          <w:sz w:val="24"/>
          <w:szCs w:val="24"/>
        </w:rPr>
        <w:t>4. 外墙防火隔离带：</w:t>
      </w:r>
      <w:r>
        <w:rPr>
          <w:color w:val="0000FF"/>
        </w:rPr>
        <w:t>外墙防火隔离带构造一 (K=1.612,D=3.031)：</w:t>
      </w:r>
    </w:p>
    <w:p>
      <w:pPr>
        <w:widowControl w:val="0"/>
        <w:jc w:val="both"/>
        <w:rPr>
          <w:color w:val="000000"/>
        </w:rPr>
      </w:pPr>
      <w:r>
        <w:rPr>
          <w:color w:val="000000"/>
        </w:rPr>
        <w:t xml:space="preserve">    水泥砂浆 20mm＋</w:t>
      </w:r>
      <w:r>
        <w:rPr>
          <w:color w:val="800000"/>
        </w:rPr>
        <w:t>聚苯颗粒保温砂浆 20mm</w:t>
      </w:r>
      <w:r>
        <w:rPr>
          <w:color w:val="000000"/>
        </w:rPr>
        <w:t>＋水泥砂浆 20mm＋</w:t>
      </w:r>
      <w:r>
        <w:rPr>
          <w:color w:val="800080"/>
        </w:rPr>
        <w:t>钢筋混凝土1 200mm</w:t>
      </w:r>
      <w:r>
        <w:rPr>
          <w:color w:val="000000"/>
        </w:rPr>
        <w:t>＋石灰砂浆1 20mm</w:t>
      </w:r>
    </w:p>
    <w:p>
      <w:pPr>
        <w:widowControl w:val="0"/>
        <w:jc w:val="both"/>
        <w:rPr>
          <w:color w:val="000000"/>
        </w:rPr>
      </w:pPr>
      <w:r>
        <w:rPr>
          <w:b/>
          <w:color w:val="000000"/>
          <w:sz w:val="24"/>
          <w:szCs w:val="24"/>
        </w:rPr>
        <w:t>5. 热桥柱：</w:t>
      </w:r>
      <w:r>
        <w:rPr>
          <w:color w:val="0000FF"/>
        </w:rPr>
        <w:t>梁柱构造一 (K=1.113,D=2.941)：</w:t>
      </w:r>
      <w:r>
        <w:rPr>
          <w:color w:val="000000"/>
        </w:rPr>
        <w:t>（由外到内）</w:t>
      </w:r>
    </w:p>
    <w:p>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钢筋混凝土1 200mm</w:t>
      </w:r>
      <w:r>
        <w:rPr>
          <w:color w:val="000000"/>
        </w:rPr>
        <w:t>＋石灰砂浆1 20mm</w:t>
      </w:r>
    </w:p>
    <w:p>
      <w:pPr>
        <w:widowControl w:val="0"/>
        <w:jc w:val="both"/>
        <w:rPr>
          <w:color w:val="000000"/>
        </w:rPr>
      </w:pPr>
      <w:r>
        <w:rPr>
          <w:b/>
          <w:color w:val="000000"/>
          <w:sz w:val="24"/>
          <w:szCs w:val="24"/>
        </w:rPr>
        <w:t>6. 幕墙：</w:t>
      </w:r>
      <w:r>
        <w:rPr>
          <w:color w:val="0000FF"/>
        </w:rPr>
        <w:t>6CEF11-38+9A+6C—120系列隐框幕墙单元(14) (K=2.089)：</w:t>
      </w:r>
    </w:p>
    <w:p>
      <w:pPr>
        <w:widowControl w:val="0"/>
        <w:jc w:val="both"/>
        <w:rPr>
          <w:color w:val="000000"/>
        </w:rPr>
      </w:pPr>
      <w:r>
        <w:rPr>
          <w:color w:val="000000"/>
        </w:rPr>
        <w:t xml:space="preserve">    传热系数2.089W/㎡.K，窗太阳得热系数0.247</w:t>
      </w:r>
    </w:p>
    <w:p>
      <w:pPr>
        <w:widowControl w:val="0"/>
        <w:jc w:val="both"/>
        <w:rPr>
          <w:color w:val="000000"/>
        </w:rPr>
      </w:pPr>
      <w:r>
        <w:rPr>
          <w:b/>
          <w:color w:val="000000"/>
          <w:sz w:val="24"/>
          <w:szCs w:val="24"/>
        </w:rPr>
        <w:t>7. 外窗：</w:t>
      </w:r>
      <w:r>
        <w:rPr>
          <w:color w:val="0000FF"/>
        </w:rPr>
        <w:t>断热铝合金--6中透光双银Low-E玻璃+9Ar+6透明玻璃+9Ar+6透明玻璃(2) (K=1.540)：</w:t>
      </w:r>
    </w:p>
    <w:p>
      <w:pPr>
        <w:widowControl w:val="0"/>
        <w:jc w:val="both"/>
        <w:rPr>
          <w:color w:val="000000"/>
        </w:rPr>
      </w:pPr>
      <w:r>
        <w:rPr>
          <w:color w:val="000000"/>
        </w:rPr>
        <w:t xml:space="preserve">    传热系数1.540W/㎡.K，窗太阳得热系数0.250</w:t>
      </w:r>
    </w:p>
    <w:p>
      <w:pPr>
        <w:pStyle w:val="2"/>
        <w:widowControl w:val="0"/>
        <w:jc w:val="both"/>
        <w:rPr>
          <w:color w:val="000000"/>
        </w:rPr>
      </w:pPr>
      <w:bookmarkStart w:id="61" w:name="_Toc29380"/>
      <w:r>
        <w:rPr>
          <w:color w:val="000000"/>
        </w:rPr>
        <w:t>围护结构概况</w:t>
      </w:r>
      <w:bookmarkEnd w:id="61"/>
    </w:p>
    <w:p/>
    <w:tbl>
      <w:tblPr>
        <w:tblStyle w:val="19"/>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jc w:val="center"/>
              <w:rPr>
                <w:rFonts w:eastAsia="宋体"/>
                <w:bCs/>
                <w:sz w:val="21"/>
                <w:szCs w:val="21"/>
                <w:lang w:eastAsia="zh-CN"/>
              </w:rPr>
            </w:pPr>
          </w:p>
        </w:tc>
        <w:tc>
          <w:tcPr>
            <w:tcW w:w="1587" w:type="pct"/>
            <w:gridSpan w:val="3"/>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c>
          <w:tcPr>
            <w:tcW w:w="1586" w:type="pct"/>
            <w:gridSpan w:val="3"/>
            <w:shd w:val="clear" w:color="auto" w:fill="E6E6E6"/>
            <w:vAlign w:val="center"/>
          </w:tcPr>
          <w:p>
            <w:pPr>
              <w:jc w:val="center"/>
              <w:rPr>
                <w:rFonts w:eastAsia="宋体"/>
                <w:bCs/>
                <w:sz w:val="21"/>
                <w:szCs w:val="21"/>
                <w:lang w:eastAsia="zh-CN"/>
              </w:rPr>
            </w:pPr>
            <w:bookmarkStart w:id="62" w:name="参照建筑别名"/>
            <w:r>
              <w:rPr>
                <w:rFonts w:hAnsi="宋体" w:eastAsia="宋体"/>
                <w:kern w:val="0"/>
                <w:sz w:val="21"/>
                <w:szCs w:val="21"/>
                <w:lang w:eastAsia="zh-CN"/>
              </w:rPr>
              <w:t>参照建筑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c>
          <w:tcPr>
            <w:tcW w:w="1586"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0.40</w:t>
            </w:r>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5.30</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0.40</w:t>
            </w:r>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4.50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1.18</w:t>
            </w:r>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2.95</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1.50</w:t>
            </w:r>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2.85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1.18</w:t>
            </w:r>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2.15</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1.18</w:t>
            </w:r>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2.15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w:t>
            </w:r>
          </w:p>
          <w:p>
            <w:pPr>
              <w:jc w:val="center"/>
              <w:rPr>
                <w:rFonts w:eastAsia="宋体"/>
                <w:bCs/>
                <w:sz w:val="21"/>
                <w:szCs w:val="21"/>
                <w:lang w:eastAsia="zh-CN"/>
              </w:rPr>
            </w:pPr>
            <w:r>
              <w:rPr>
                <w:rFonts w:eastAsia="宋体"/>
                <w:bCs/>
                <w:sz w:val="21"/>
                <w:szCs w:val="21"/>
                <w:lang w:eastAsia="zh-CN"/>
              </w:rPr>
              <w:t>SHGC=</w:t>
            </w:r>
            <w:r>
              <w:rPr>
                <w:rFonts w:hint="eastAsia" w:eastAsia="宋体"/>
                <w:bCs/>
                <w:sz w:val="21"/>
                <w:szCs w:val="21"/>
                <w:lang w:eastAsia="zh-CN"/>
              </w:rPr>
              <w:t>－</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p>
          <w:p>
            <w:pPr>
              <w:widowControl/>
              <w:jc w:val="center"/>
              <w:rPr>
                <w:rFonts w:eastAsia="宋体"/>
                <w:kern w:val="0"/>
                <w:sz w:val="21"/>
                <w:szCs w:val="21"/>
                <w:lang w:eastAsia="zh-CN"/>
              </w:rPr>
            </w:pPr>
            <w:r>
              <w:rPr>
                <w:rFonts w:eastAsia="宋体"/>
                <w:bCs/>
                <w:sz w:val="21"/>
                <w:szCs w:val="21"/>
                <w:lang w:eastAsia="zh-CN"/>
              </w:rPr>
              <w:t>SHGC=</w:t>
            </w: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hAnsi="宋体" w:eastAsia="宋体"/>
                <w:bCs/>
                <w:sz w:val="21"/>
                <w:szCs w:val="21"/>
                <w:lang w:eastAsia="zh-CN"/>
              </w:rPr>
            </w:pPr>
            <w:r>
              <w:rPr>
                <w:rFonts w:hint="eastAsia" w:hAnsi="宋体" w:eastAsia="宋体"/>
                <w:bCs/>
                <w:sz w:val="21"/>
                <w:szCs w:val="21"/>
                <w:lang w:eastAsia="zh-CN"/>
              </w:rPr>
              <w:t>南向</w:t>
            </w:r>
          </w:p>
        </w:tc>
        <w:tc>
          <w:tcPr>
            <w:tcW w:w="937" w:type="pct"/>
            <w:shd w:val="clear" w:color="auto" w:fill="auto"/>
            <w:vAlign w:val="center"/>
          </w:tcPr>
          <w:p>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0.30</w:t>
            </w:r>
          </w:p>
        </w:tc>
        <w:tc>
          <w:tcPr>
            <w:tcW w:w="501" w:type="pct"/>
            <w:vAlign w:val="center"/>
          </w:tcPr>
          <w:p>
            <w:pPr>
              <w:jc w:val="center"/>
              <w:rPr>
                <w:rFonts w:eastAsia="宋体"/>
                <w:bCs/>
                <w:sz w:val="21"/>
                <w:szCs w:val="21"/>
                <w:lang w:eastAsia="zh-CN"/>
              </w:rPr>
            </w:pPr>
            <w:r>
              <w:rPr>
                <w:rFonts w:eastAsia="宋体"/>
                <w:bCs/>
                <w:sz w:val="21"/>
                <w:szCs w:val="21"/>
                <w:lang w:eastAsia="zh-CN"/>
              </w:rPr>
              <w:t>1.54</w:t>
            </w:r>
          </w:p>
        </w:tc>
        <w:tc>
          <w:tcPr>
            <w:tcW w:w="585" w:type="pct"/>
            <w:vAlign w:val="center"/>
          </w:tcPr>
          <w:p>
            <w:pPr>
              <w:jc w:val="center"/>
              <w:rPr>
                <w:rFonts w:eastAsia="宋体"/>
                <w:bCs/>
                <w:sz w:val="21"/>
                <w:szCs w:val="21"/>
                <w:lang w:eastAsia="zh-CN"/>
              </w:rPr>
            </w:pPr>
            <w:r>
              <w:rPr>
                <w:rFonts w:eastAsia="宋体"/>
                <w:bCs/>
                <w:sz w:val="21"/>
                <w:szCs w:val="21"/>
                <w:lang w:eastAsia="zh-CN"/>
              </w:rPr>
              <w:t>0.21</w:t>
            </w:r>
          </w:p>
        </w:tc>
        <w:tc>
          <w:tcPr>
            <w:tcW w:w="582" w:type="pct"/>
            <w:vAlign w:val="center"/>
          </w:tcPr>
          <w:p>
            <w:pPr>
              <w:jc w:val="center"/>
              <w:rPr>
                <w:rFonts w:eastAsia="宋体"/>
                <w:bCs/>
                <w:sz w:val="21"/>
                <w:szCs w:val="21"/>
                <w:lang w:eastAsia="zh-CN"/>
              </w:rPr>
            </w:pPr>
            <w:r>
              <w:rPr>
                <w:rFonts w:eastAsia="宋体"/>
                <w:bCs/>
                <w:sz w:val="21"/>
                <w:szCs w:val="21"/>
                <w:lang w:eastAsia="zh-CN"/>
              </w:rPr>
              <w:t>0.30</w:t>
            </w:r>
          </w:p>
        </w:tc>
        <w:tc>
          <w:tcPr>
            <w:tcW w:w="501" w:type="pct"/>
            <w:vAlign w:val="center"/>
          </w:tcPr>
          <w:p>
            <w:pPr>
              <w:jc w:val="center"/>
              <w:rPr>
                <w:rFonts w:eastAsia="宋体"/>
                <w:bCs/>
                <w:sz w:val="21"/>
                <w:szCs w:val="21"/>
                <w:lang w:eastAsia="zh-CN"/>
              </w:rPr>
            </w:pPr>
            <w:r>
              <w:rPr>
                <w:rFonts w:eastAsia="宋体"/>
                <w:bCs/>
                <w:sz w:val="21"/>
                <w:szCs w:val="21"/>
                <w:lang w:eastAsia="zh-CN"/>
              </w:rPr>
              <w:t>3.00</w:t>
            </w:r>
          </w:p>
        </w:tc>
        <w:tc>
          <w:tcPr>
            <w:tcW w:w="503" w:type="pct"/>
            <w:vAlign w:val="center"/>
          </w:tcPr>
          <w:p>
            <w:pPr>
              <w:jc w:val="center"/>
              <w:rPr>
                <w:rFonts w:eastAsia="宋体"/>
                <w:bCs/>
                <w:sz w:val="21"/>
                <w:szCs w:val="21"/>
                <w:lang w:eastAsia="zh-CN"/>
              </w:rPr>
            </w:pPr>
            <w:r>
              <w:rPr>
                <w:rFonts w:eastAsia="宋体"/>
                <w:bCs/>
                <w:sz w:val="21"/>
                <w:szCs w:val="21"/>
                <w:lang w:eastAsia="zh-CN"/>
              </w:rPr>
              <w:t>0.35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0.54</w:t>
            </w:r>
          </w:p>
        </w:tc>
        <w:tc>
          <w:tcPr>
            <w:tcW w:w="501" w:type="pct"/>
            <w:vAlign w:val="center"/>
          </w:tcPr>
          <w:p>
            <w:pPr>
              <w:jc w:val="center"/>
              <w:rPr>
                <w:rFonts w:eastAsia="宋体"/>
                <w:bCs/>
                <w:sz w:val="21"/>
                <w:szCs w:val="21"/>
                <w:lang w:eastAsia="zh-CN"/>
              </w:rPr>
            </w:pPr>
            <w:r>
              <w:rPr>
                <w:rFonts w:eastAsia="宋体"/>
                <w:bCs/>
                <w:sz w:val="21"/>
                <w:szCs w:val="21"/>
                <w:lang w:eastAsia="zh-CN"/>
              </w:rPr>
              <w:t>2.03</w:t>
            </w:r>
          </w:p>
        </w:tc>
        <w:tc>
          <w:tcPr>
            <w:tcW w:w="585" w:type="pct"/>
            <w:vAlign w:val="center"/>
          </w:tcPr>
          <w:p>
            <w:pPr>
              <w:jc w:val="center"/>
              <w:rPr>
                <w:rFonts w:eastAsia="宋体"/>
                <w:bCs/>
                <w:sz w:val="21"/>
                <w:szCs w:val="21"/>
                <w:lang w:eastAsia="zh-CN"/>
              </w:rPr>
            </w:pPr>
            <w:r>
              <w:rPr>
                <w:rFonts w:eastAsia="宋体"/>
                <w:bCs/>
                <w:sz w:val="21"/>
                <w:szCs w:val="21"/>
                <w:lang w:eastAsia="zh-CN"/>
              </w:rPr>
              <w:t>0.24</w:t>
            </w:r>
          </w:p>
        </w:tc>
        <w:tc>
          <w:tcPr>
            <w:tcW w:w="582" w:type="pct"/>
            <w:vAlign w:val="center"/>
          </w:tcPr>
          <w:p>
            <w:pPr>
              <w:jc w:val="center"/>
              <w:rPr>
                <w:rFonts w:eastAsia="宋体"/>
                <w:bCs/>
                <w:sz w:val="21"/>
                <w:szCs w:val="21"/>
                <w:lang w:eastAsia="zh-CN"/>
              </w:rPr>
            </w:pPr>
            <w:r>
              <w:rPr>
                <w:rFonts w:eastAsia="宋体"/>
                <w:bCs/>
                <w:sz w:val="21"/>
                <w:szCs w:val="21"/>
                <w:lang w:eastAsia="zh-CN"/>
              </w:rPr>
              <w:t>0.54</w:t>
            </w:r>
          </w:p>
        </w:tc>
        <w:tc>
          <w:tcPr>
            <w:tcW w:w="501" w:type="pct"/>
            <w:vAlign w:val="center"/>
          </w:tcPr>
          <w:p>
            <w:pPr>
              <w:jc w:val="center"/>
              <w:rPr>
                <w:rFonts w:eastAsia="宋体"/>
                <w:bCs/>
                <w:sz w:val="21"/>
                <w:szCs w:val="21"/>
                <w:lang w:eastAsia="zh-CN"/>
              </w:rPr>
            </w:pPr>
            <w:r>
              <w:rPr>
                <w:rFonts w:eastAsia="宋体"/>
                <w:bCs/>
                <w:sz w:val="21"/>
                <w:szCs w:val="21"/>
                <w:lang w:eastAsia="zh-CN"/>
              </w:rPr>
              <w:t>2.40</w:t>
            </w:r>
          </w:p>
        </w:tc>
        <w:tc>
          <w:tcPr>
            <w:tcW w:w="503" w:type="pct"/>
            <w:vAlign w:val="center"/>
          </w:tcPr>
          <w:p>
            <w:pPr>
              <w:jc w:val="center"/>
              <w:rPr>
                <w:rFonts w:eastAsia="宋体"/>
                <w:bCs/>
                <w:sz w:val="21"/>
                <w:szCs w:val="21"/>
                <w:lang w:eastAsia="zh-CN"/>
              </w:rPr>
            </w:pPr>
            <w:r>
              <w:rPr>
                <w:rFonts w:eastAsia="宋体"/>
                <w:bCs/>
                <w:sz w:val="21"/>
                <w:szCs w:val="21"/>
                <w:lang w:eastAsia="zh-CN"/>
              </w:rPr>
              <w:t>0.25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0.05</w:t>
            </w:r>
          </w:p>
        </w:tc>
        <w:tc>
          <w:tcPr>
            <w:tcW w:w="501" w:type="pct"/>
            <w:vAlign w:val="center"/>
          </w:tcPr>
          <w:p>
            <w:pPr>
              <w:jc w:val="center"/>
              <w:rPr>
                <w:rFonts w:eastAsia="宋体"/>
                <w:bCs/>
                <w:sz w:val="21"/>
                <w:szCs w:val="21"/>
                <w:lang w:eastAsia="zh-CN"/>
              </w:rPr>
            </w:pPr>
            <w:r>
              <w:rPr>
                <w:rFonts w:eastAsia="宋体"/>
                <w:bCs/>
                <w:sz w:val="21"/>
                <w:szCs w:val="21"/>
                <w:lang w:eastAsia="zh-CN"/>
              </w:rPr>
              <w:t>1.54</w:t>
            </w:r>
          </w:p>
        </w:tc>
        <w:tc>
          <w:tcPr>
            <w:tcW w:w="585" w:type="pct"/>
            <w:vAlign w:val="center"/>
          </w:tcPr>
          <w:p>
            <w:pPr>
              <w:jc w:val="center"/>
              <w:rPr>
                <w:rFonts w:eastAsia="宋体"/>
                <w:bCs/>
                <w:sz w:val="21"/>
                <w:szCs w:val="21"/>
                <w:lang w:eastAsia="zh-CN"/>
              </w:rPr>
            </w:pPr>
            <w:r>
              <w:rPr>
                <w:rFonts w:eastAsia="宋体"/>
                <w:bCs/>
                <w:sz w:val="21"/>
                <w:szCs w:val="21"/>
                <w:lang w:eastAsia="zh-CN"/>
              </w:rPr>
              <w:t>0.23</w:t>
            </w:r>
          </w:p>
        </w:tc>
        <w:tc>
          <w:tcPr>
            <w:tcW w:w="582" w:type="pct"/>
            <w:vAlign w:val="center"/>
          </w:tcPr>
          <w:p>
            <w:pPr>
              <w:jc w:val="center"/>
              <w:rPr>
                <w:rFonts w:eastAsia="宋体"/>
                <w:bCs/>
                <w:sz w:val="21"/>
                <w:szCs w:val="21"/>
                <w:lang w:eastAsia="zh-CN"/>
              </w:rPr>
            </w:pPr>
            <w:r>
              <w:rPr>
                <w:rFonts w:eastAsia="宋体"/>
                <w:bCs/>
                <w:sz w:val="21"/>
                <w:szCs w:val="21"/>
                <w:lang w:eastAsia="zh-CN"/>
              </w:rPr>
              <w:t>0.05</w:t>
            </w:r>
          </w:p>
        </w:tc>
        <w:tc>
          <w:tcPr>
            <w:tcW w:w="501" w:type="pct"/>
            <w:vAlign w:val="center"/>
          </w:tcPr>
          <w:p>
            <w:pPr>
              <w:jc w:val="center"/>
              <w:rPr>
                <w:rFonts w:eastAsia="宋体"/>
                <w:bCs/>
                <w:sz w:val="21"/>
                <w:szCs w:val="21"/>
                <w:lang w:eastAsia="zh-CN"/>
              </w:rPr>
            </w:pPr>
            <w:r>
              <w:rPr>
                <w:rFonts w:eastAsia="宋体"/>
                <w:bCs/>
                <w:sz w:val="21"/>
                <w:szCs w:val="21"/>
                <w:lang w:eastAsia="zh-CN"/>
              </w:rPr>
              <w:t>4.00</w:t>
            </w:r>
          </w:p>
        </w:tc>
        <w:tc>
          <w:tcPr>
            <w:tcW w:w="503" w:type="pct"/>
            <w:vAlign w:val="center"/>
          </w:tcPr>
          <w:p>
            <w:pPr>
              <w:jc w:val="center"/>
              <w:rPr>
                <w:rFonts w:eastAsia="宋体"/>
                <w:bCs/>
                <w:sz w:val="21"/>
                <w:szCs w:val="21"/>
                <w:lang w:eastAsia="zh-CN"/>
              </w:rPr>
            </w:pPr>
            <w:r>
              <w:rPr>
                <w:rFonts w:eastAsia="宋体"/>
                <w:bCs/>
                <w:sz w:val="21"/>
                <w:szCs w:val="21"/>
                <w:lang w:eastAsia="zh-CN"/>
              </w:rPr>
              <w:t>0.40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0.08</w:t>
            </w:r>
          </w:p>
        </w:tc>
        <w:tc>
          <w:tcPr>
            <w:tcW w:w="501" w:type="pct"/>
            <w:vAlign w:val="center"/>
          </w:tcPr>
          <w:p>
            <w:pPr>
              <w:jc w:val="center"/>
              <w:rPr>
                <w:rFonts w:eastAsia="宋体"/>
                <w:bCs/>
                <w:sz w:val="21"/>
                <w:szCs w:val="21"/>
                <w:lang w:eastAsia="zh-CN"/>
              </w:rPr>
            </w:pPr>
            <w:r>
              <w:rPr>
                <w:rFonts w:eastAsia="宋体"/>
                <w:bCs/>
                <w:sz w:val="21"/>
                <w:szCs w:val="21"/>
                <w:lang w:eastAsia="zh-CN"/>
              </w:rPr>
              <w:t>1.54</w:t>
            </w:r>
          </w:p>
        </w:tc>
        <w:tc>
          <w:tcPr>
            <w:tcW w:w="585" w:type="pct"/>
            <w:vAlign w:val="center"/>
          </w:tcPr>
          <w:p>
            <w:pPr>
              <w:jc w:val="center"/>
              <w:rPr>
                <w:rFonts w:eastAsia="宋体"/>
                <w:bCs/>
                <w:sz w:val="21"/>
                <w:szCs w:val="21"/>
                <w:lang w:eastAsia="zh-CN"/>
              </w:rPr>
            </w:pPr>
            <w:r>
              <w:rPr>
                <w:rFonts w:eastAsia="宋体"/>
                <w:bCs/>
                <w:sz w:val="21"/>
                <w:szCs w:val="21"/>
                <w:lang w:eastAsia="zh-CN"/>
              </w:rPr>
              <w:t>0.23</w:t>
            </w:r>
          </w:p>
        </w:tc>
        <w:tc>
          <w:tcPr>
            <w:tcW w:w="582" w:type="pct"/>
            <w:vAlign w:val="center"/>
          </w:tcPr>
          <w:p>
            <w:pPr>
              <w:jc w:val="center"/>
              <w:rPr>
                <w:rFonts w:eastAsia="宋体"/>
                <w:bCs/>
                <w:sz w:val="21"/>
                <w:szCs w:val="21"/>
                <w:lang w:eastAsia="zh-CN"/>
              </w:rPr>
            </w:pPr>
            <w:r>
              <w:rPr>
                <w:rFonts w:eastAsia="宋体"/>
                <w:bCs/>
                <w:sz w:val="21"/>
                <w:szCs w:val="21"/>
                <w:lang w:eastAsia="zh-CN"/>
              </w:rPr>
              <w:t>0.08</w:t>
            </w:r>
          </w:p>
        </w:tc>
        <w:tc>
          <w:tcPr>
            <w:tcW w:w="501" w:type="pct"/>
            <w:vAlign w:val="center"/>
          </w:tcPr>
          <w:p>
            <w:pPr>
              <w:jc w:val="center"/>
              <w:rPr>
                <w:rFonts w:eastAsia="宋体"/>
                <w:bCs/>
                <w:sz w:val="21"/>
                <w:szCs w:val="21"/>
                <w:lang w:eastAsia="zh-CN"/>
              </w:rPr>
            </w:pPr>
            <w:r>
              <w:rPr>
                <w:rFonts w:eastAsia="宋体"/>
                <w:bCs/>
                <w:sz w:val="21"/>
                <w:szCs w:val="21"/>
                <w:lang w:eastAsia="zh-CN"/>
              </w:rPr>
              <w:t>4.00</w:t>
            </w:r>
          </w:p>
        </w:tc>
        <w:tc>
          <w:tcPr>
            <w:tcW w:w="503" w:type="pct"/>
            <w:vAlign w:val="center"/>
          </w:tcPr>
          <w:p>
            <w:pPr>
              <w:jc w:val="center"/>
              <w:rPr>
                <w:rFonts w:eastAsia="宋体"/>
                <w:bCs/>
                <w:sz w:val="21"/>
                <w:szCs w:val="21"/>
                <w:lang w:eastAsia="zh-CN"/>
              </w:rPr>
            </w:pPr>
            <w:r>
              <w:rPr>
                <w:rFonts w:eastAsia="宋体"/>
                <w:bCs/>
                <w:sz w:val="21"/>
                <w:szCs w:val="21"/>
                <w:lang w:eastAsia="zh-CN"/>
              </w:rPr>
              <w:t>0.40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pPr>
        <w:widowControl w:val="0"/>
        <w:jc w:val="both"/>
        <w:rPr>
          <w:color w:val="000000"/>
        </w:rPr>
      </w:pPr>
      <w:r>
        <w:rPr>
          <w:color w:val="000000"/>
        </w:rPr>
        <w:t>备注：</w:t>
      </w:r>
    </w:p>
    <w:p>
      <w:pPr>
        <w:widowControl w:val="0"/>
        <w:jc w:val="both"/>
        <w:rPr>
          <w:color w:val="000000"/>
        </w:rPr>
      </w:pPr>
      <w:r>
        <w:rPr>
          <w:color w:val="000000"/>
        </w:rPr>
        <w:t>1. 传热系数的单位W/(m2.k)，其他参数无量纲.</w:t>
      </w:r>
    </w:p>
    <w:p>
      <w:pPr>
        <w:widowControl w:val="0"/>
        <w:jc w:val="both"/>
        <w:rPr>
          <w:color w:val="000000"/>
        </w:rPr>
      </w:pPr>
      <w:r>
        <w:rPr>
          <w:color w:val="000000"/>
        </w:rPr>
        <w:t>2. 屋顶和外墙的传热系数K和热情性指标D指平均值.</w:t>
      </w:r>
    </w:p>
    <w:p>
      <w:pPr>
        <w:widowControl w:val="0"/>
        <w:jc w:val="both"/>
        <w:rPr>
          <w:color w:val="000000"/>
        </w:rPr>
      </w:pPr>
      <w:r>
        <w:rPr>
          <w:color w:val="000000"/>
        </w:rPr>
        <w:t>3. 设计建筑：“—”代表本工程无对应项.</w:t>
      </w:r>
    </w:p>
    <w:p>
      <w:pPr>
        <w:widowControl w:val="0"/>
        <w:jc w:val="both"/>
        <w:rPr>
          <w:color w:val="000000"/>
        </w:rPr>
      </w:pPr>
    </w:p>
    <w:p>
      <w:pPr>
        <w:pStyle w:val="2"/>
        <w:widowControl w:val="0"/>
        <w:jc w:val="both"/>
        <w:rPr>
          <w:color w:val="000000"/>
        </w:rPr>
      </w:pPr>
      <w:bookmarkStart w:id="63" w:name="_Toc22541"/>
      <w:r>
        <w:rPr>
          <w:color w:val="000000"/>
        </w:rPr>
        <w:t>设计建筑</w:t>
      </w:r>
      <w:bookmarkEnd w:id="63"/>
    </w:p>
    <w:p>
      <w:pPr>
        <w:pStyle w:val="4"/>
        <w:widowControl w:val="0"/>
        <w:jc w:val="both"/>
        <w:rPr>
          <w:color w:val="000000"/>
        </w:rPr>
      </w:pPr>
      <w:bookmarkStart w:id="64" w:name="_Toc21330"/>
      <w:r>
        <w:rPr>
          <w:color w:val="000000"/>
        </w:rPr>
        <w:t>房间类型</w:t>
      </w:r>
      <w:bookmarkEnd w:id="64"/>
    </w:p>
    <w:p>
      <w:pPr>
        <w:pStyle w:val="5"/>
        <w:widowControl w:val="0"/>
        <w:jc w:val="both"/>
        <w:rPr>
          <w:color w:val="000000"/>
        </w:rPr>
      </w:pPr>
      <w:r>
        <w:rPr>
          <w:color w:val="000000"/>
        </w:rPr>
        <w:t>房间参数表</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p>
        </w:tc>
        <w:tc>
          <w:tcPr>
            <w:shd w:val="clear" w:color="auto" w:fill="E6E6E6"/>
            <w:vAlign w:val="center"/>
          </w:tcPr>
          <w:p>
            <w:pPr>
              <w:jc w:val="center"/>
            </w:pPr>
            <w:r>
              <w:t>插座设备</w:t>
            </w:r>
            <w:r>
              <w:br w:type="textWrapping"/>
            </w:r>
            <w:r>
              <w:t>功率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会议室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卫生间</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4(W/㎡)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厨房</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大厅</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2(W/㎡)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电子信息机房</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设备间</w:t>
            </w:r>
          </w:p>
        </w:tc>
        <w:tc>
          <w:tcPr>
            <w:vAlign w:val="center"/>
          </w:tcPr>
          <w:p>
            <w:pPr>
              <w:jc w:val="center"/>
            </w:pPr>
            <w:r>
              <w:t>－</w:t>
            </w:r>
          </w:p>
        </w:tc>
        <w:tc>
          <w:tcPr>
            <w:vAlign w:val="center"/>
          </w:tcPr>
          <w:p>
            <w:pPr>
              <w:jc w:val="center"/>
            </w:pPr>
            <w:r>
              <w:t>－</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3.5(W/㎡)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走廊</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3(W/㎡)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餐厅</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高档办公室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8(W/㎡)</w:t>
            </w:r>
          </w:p>
        </w:tc>
        <w:tc>
          <w:tcPr>
            <w:vAlign w:val="center"/>
          </w:tcPr>
          <w:p>
            <w:pPr>
              <w:jc w:val="center"/>
            </w:pPr>
            <w:r>
              <w:t>15(W/㎡)</w:t>
            </w:r>
          </w:p>
        </w:tc>
      </w:tr>
    </w:tbl>
    <w:p>
      <w:pPr>
        <w:pStyle w:val="5"/>
        <w:widowControl w:val="0"/>
        <w:jc w:val="both"/>
        <w:rPr>
          <w:color w:val="000000"/>
        </w:rPr>
      </w:pPr>
      <w:r>
        <w:rPr>
          <w:color w:val="000000"/>
        </w:rPr>
        <w:t>作息时间表</w:t>
      </w:r>
    </w:p>
    <w:p>
      <w:pPr>
        <w:widowControl w:val="0"/>
        <w:jc w:val="both"/>
        <w:rPr>
          <w:color w:val="000000"/>
        </w:rPr>
      </w:pPr>
      <w:r>
        <w:rPr>
          <w:color w:val="000000"/>
        </w:rPr>
        <w:t>详见附录</w:t>
      </w:r>
    </w:p>
    <w:p>
      <w:pPr>
        <w:pStyle w:val="4"/>
        <w:widowControl w:val="0"/>
        <w:jc w:val="both"/>
        <w:rPr>
          <w:color w:val="000000"/>
        </w:rPr>
      </w:pPr>
      <w:bookmarkStart w:id="65" w:name="_Toc5205"/>
      <w:r>
        <w:rPr>
          <w:color w:val="000000"/>
        </w:rPr>
        <w:t>系统类型</w:t>
      </w:r>
      <w:bookmarkEnd w:id="65"/>
    </w:p>
    <w:p>
      <w:pPr>
        <w:pStyle w:val="5"/>
        <w:widowControl w:val="0"/>
        <w:jc w:val="both"/>
        <w:rPr>
          <w:color w:val="000000"/>
        </w:rPr>
      </w:pPr>
      <w:r>
        <w:rPr>
          <w:color w:val="000000"/>
        </w:rPr>
        <w:t>系统分区</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中央空调-全空气变风量(VAV)系统</w:t>
            </w:r>
          </w:p>
        </w:tc>
        <w:tc>
          <w:tcPr>
            <w:vAlign w:val="center"/>
          </w:tcPr>
          <w:p>
            <w:r>
              <w:t>1467.44</w:t>
            </w:r>
          </w:p>
        </w:tc>
        <w:tc>
          <w:tcPr>
            <w:vAlign w:val="center"/>
          </w:tcPr>
          <w:p>
            <w:r>
              <w:t>所有房间</w:t>
            </w:r>
          </w:p>
        </w:tc>
      </w:tr>
    </w:tbl>
    <w:p>
      <w:pPr>
        <w:pStyle w:val="5"/>
        <w:widowControl w:val="0"/>
        <w:jc w:val="both"/>
        <w:rPr>
          <w:color w:val="000000"/>
        </w:rPr>
      </w:pPr>
      <w:r>
        <w:rPr>
          <w:color w:val="000000"/>
        </w:rPr>
        <w:t>热回收参数</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系统编号</w:t>
            </w:r>
          </w:p>
        </w:tc>
        <w:tc>
          <w:tcPr>
            <w:vMerge w:val="restart"/>
            <w:shd w:val="clear" w:color="auto" w:fill="E6E6E6"/>
            <w:vAlign w:val="center"/>
          </w:tcPr>
          <w:p>
            <w:pPr>
              <w:jc w:val="center"/>
            </w:pPr>
            <w:r>
              <w:t>热回收</w:t>
            </w:r>
          </w:p>
        </w:tc>
        <w:tc>
          <w:tcPr>
            <w:gridSpan w:val="2"/>
            <w:shd w:val="clear" w:color="auto" w:fill="E6E6E6"/>
            <w:vAlign w:val="center"/>
          </w:tcPr>
          <w:p>
            <w:pPr>
              <w:jc w:val="center"/>
            </w:pPr>
            <w:r>
              <w:t>供冷</w:t>
            </w:r>
          </w:p>
        </w:tc>
        <w:tc>
          <w:tcPr>
            <w:gridSpan w:val="2"/>
            <w:shd w:val="clear" w:color="auto" w:fill="E6E6E6"/>
            <w:vAlign w:val="center"/>
          </w:tcPr>
          <w:p>
            <w:pPr>
              <w:jc w:val="center"/>
            </w:pPr>
            <w:r>
              <w:t>供暖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回收效率(%)</w:t>
            </w:r>
          </w:p>
        </w:tc>
        <w:tc>
          <w:tcPr>
            <w:vAlign w:val="center"/>
          </w:tcPr>
          <w:p>
            <w:r>
              <w:t>启动温(焓)差</w:t>
            </w:r>
          </w:p>
        </w:tc>
        <w:tc>
          <w:tcPr>
            <w:vAlign w:val="center"/>
          </w:tcPr>
          <w:p>
            <w:r>
              <w:t>回收效率(%)</w:t>
            </w:r>
          </w:p>
        </w:tc>
        <w:tc>
          <w:tcPr>
            <w:vAlign w:val="center"/>
          </w:tcPr>
          <w:p>
            <w:r>
              <w:t>启动温(焓)差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显热回收</w:t>
            </w:r>
          </w:p>
        </w:tc>
        <w:tc>
          <w:tcPr>
            <w:vAlign w:val="center"/>
          </w:tcPr>
          <w:p>
            <w:r>
              <w:t>60</w:t>
            </w:r>
          </w:p>
        </w:tc>
        <w:tc>
          <w:tcPr>
            <w:vAlign w:val="center"/>
          </w:tcPr>
          <w:p>
            <w:r>
              <w:t>5℃</w:t>
            </w:r>
          </w:p>
        </w:tc>
        <w:tc>
          <w:tcPr>
            <w:vAlign w:val="center"/>
          </w:tcPr>
          <w:p>
            <w:r>
              <w:t>65</w:t>
            </w:r>
          </w:p>
        </w:tc>
        <w:tc>
          <w:tcPr>
            <w:vAlign w:val="center"/>
          </w:tcPr>
          <w:p>
            <w:r>
              <w:t>5(℃)</w:t>
            </w:r>
          </w:p>
        </w:tc>
      </w:tr>
    </w:tbl>
    <w:p>
      <w:pPr>
        <w:pStyle w:val="4"/>
        <w:widowControl w:val="0"/>
        <w:jc w:val="both"/>
        <w:rPr>
          <w:color w:val="000000"/>
        </w:rPr>
      </w:pPr>
      <w:bookmarkStart w:id="66" w:name="_Toc23621"/>
      <w:r>
        <w:rPr>
          <w:color w:val="000000"/>
        </w:rPr>
        <w:t>制冷系统</w:t>
      </w:r>
      <w:bookmarkEnd w:id="66"/>
    </w:p>
    <w:p>
      <w:pPr>
        <w:pStyle w:val="5"/>
        <w:widowControl w:val="0"/>
        <w:jc w:val="both"/>
        <w:rPr>
          <w:color w:val="000000"/>
        </w:rPr>
      </w:pPr>
      <w:r>
        <w:rPr>
          <w:color w:val="000000"/>
        </w:rPr>
        <w:t>默认冷源</w:t>
      </w:r>
    </w:p>
    <w:p>
      <w:pPr>
        <w:pStyle w:val="6"/>
        <w:widowControl w:val="0"/>
        <w:jc w:val="both"/>
        <w:rPr>
          <w:color w:val="000000"/>
        </w:rPr>
      </w:pPr>
      <w:r>
        <w:rPr>
          <w:color w:val="000000"/>
        </w:rP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FFFFFF"/>
            <w:vAlign w:val="center"/>
          </w:tcPr>
          <w:p>
            <w:r>
              <w:t>自动</w:t>
            </w:r>
          </w:p>
        </w:tc>
      </w:tr>
    </w:tbl>
    <w:p>
      <w:pPr>
        <w:pStyle w:val="6"/>
        <w:widowControl w:val="0"/>
        <w:jc w:val="both"/>
        <w:rPr>
          <w:color w:val="000000"/>
        </w:rPr>
      </w:pPr>
      <w:r>
        <w:rPr>
          <w:color w:val="000000"/>
        </w:rPr>
        <w:t>冷水机组</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名称</w:t>
            </w:r>
          </w:p>
        </w:tc>
        <w:tc>
          <w:tcPr>
            <w:shd w:val="clear" w:color="auto" w:fill="E6E6E6"/>
            <w:vAlign w:val="center"/>
          </w:tcPr>
          <w:p>
            <w:pPr>
              <w:jc w:val="center"/>
            </w:pPr>
            <w:r>
              <w:t>类型</w:t>
            </w:r>
          </w:p>
        </w:tc>
        <w:tc>
          <w:tcPr>
            <w:shd w:val="clear" w:color="auto" w:fill="E6E6E6"/>
            <w:vAlign w:val="center"/>
          </w:tcPr>
          <w:p>
            <w:pPr>
              <w:jc w:val="center"/>
            </w:pPr>
            <w:r>
              <w:t>额定耗电量</w:t>
            </w:r>
            <w:r>
              <w:br w:type="textWrapping"/>
            </w:r>
            <w:r>
              <w:t>(kW)</w:t>
            </w:r>
          </w:p>
        </w:tc>
        <w:tc>
          <w:tcPr>
            <w:shd w:val="clear" w:color="auto" w:fill="E6E6E6"/>
            <w:vAlign w:val="center"/>
          </w:tcPr>
          <w:p>
            <w:pPr>
              <w:jc w:val="center"/>
            </w:pPr>
            <w:r>
              <w:t>额定制冷量</w:t>
            </w:r>
            <w:r>
              <w:br w:type="textWrapping"/>
            </w:r>
            <w:r>
              <w:t>(kW)</w:t>
            </w:r>
          </w:p>
        </w:tc>
        <w:tc>
          <w:tcPr>
            <w:shd w:val="clear" w:color="auto" w:fill="E6E6E6"/>
            <w:vAlign w:val="center"/>
          </w:tcPr>
          <w:p>
            <w:pPr>
              <w:jc w:val="center"/>
            </w:pPr>
            <w:r>
              <w:t>额定性能系数</w:t>
            </w:r>
            <w:r>
              <w:br w:type="textWrapping"/>
            </w:r>
            <w:r>
              <w:t>(COP)</w:t>
            </w:r>
          </w:p>
        </w:tc>
        <w:tc>
          <w:tcPr>
            <w:shd w:val="clear" w:color="auto" w:fill="E6E6E6"/>
            <w:vAlign w:val="center"/>
          </w:tcPr>
          <w:p>
            <w:pPr>
              <w:jc w:val="center"/>
            </w:pPr>
            <w:r>
              <w:t>台数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机组1</w:t>
            </w:r>
          </w:p>
        </w:tc>
        <w:tc>
          <w:tcPr>
            <w:vAlign w:val="center"/>
          </w:tcPr>
          <w:p>
            <w:r>
              <w:t>水冷-螺杆式冷水机组</w:t>
            </w:r>
          </w:p>
        </w:tc>
        <w:tc>
          <w:tcPr>
            <w:vAlign w:val="center"/>
          </w:tcPr>
          <w:p>
            <w:r>
              <w:t>100</w:t>
            </w:r>
          </w:p>
        </w:tc>
        <w:tc>
          <w:tcPr>
            <w:vAlign w:val="center"/>
          </w:tcPr>
          <w:p>
            <w:r>
              <w:t>500</w:t>
            </w:r>
          </w:p>
        </w:tc>
        <w:tc>
          <w:tcPr>
            <w:vAlign w:val="center"/>
          </w:tcPr>
          <w:p>
            <w:r>
              <w:t>5.00</w:t>
            </w:r>
          </w:p>
        </w:tc>
        <w:tc>
          <w:tcPr>
            <w:vAlign w:val="center"/>
          </w:tcPr>
          <w:p>
            <w:r>
              <w:t>1</w:t>
            </w:r>
          </w:p>
        </w:tc>
      </w:tr>
    </w:tbl>
    <w:p>
      <w:pPr>
        <w:pStyle w:val="6"/>
        <w:widowControl w:val="0"/>
        <w:jc w:val="both"/>
        <w:rPr>
          <w:color w:val="000000"/>
        </w:rPr>
      </w:pPr>
      <w:r>
        <w:rPr>
          <w:color w:val="000000"/>
        </w:rPr>
        <w:t>水泵系统</w:t>
      </w:r>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机组名称</w:t>
            </w:r>
          </w:p>
        </w:tc>
        <w:tc>
          <w:tcPr>
            <w:shd w:val="clear" w:color="auto" w:fill="E6E6E6"/>
            <w:vAlign w:val="center"/>
          </w:tcPr>
          <w:p>
            <w:pPr>
              <w:jc w:val="center"/>
            </w:pPr>
            <w:r>
              <w:t>类型</w:t>
            </w:r>
          </w:p>
        </w:tc>
        <w:tc>
          <w:tcPr>
            <w:shd w:val="clear" w:color="auto" w:fill="E6E6E6"/>
            <w:vAlign w:val="center"/>
          </w:tcPr>
          <w:p>
            <w:pPr>
              <w:jc w:val="center"/>
            </w:pPr>
            <w:r>
              <w:t>调节</w:t>
            </w:r>
          </w:p>
        </w:tc>
        <w:tc>
          <w:tcPr>
            <w:shd w:val="clear" w:color="auto" w:fill="E6E6E6"/>
            <w:vAlign w:val="center"/>
          </w:tcPr>
          <w:p>
            <w:pPr>
              <w:jc w:val="center"/>
            </w:pPr>
            <w:r>
              <w:t>流量</w:t>
            </w:r>
            <w:r>
              <w:br w:type="textWrapping"/>
            </w:r>
            <w:r>
              <w:t>(m3/h)</w:t>
            </w:r>
          </w:p>
        </w:tc>
        <w:tc>
          <w:tcPr>
            <w:shd w:val="clear" w:color="auto" w:fill="E6E6E6"/>
            <w:vAlign w:val="center"/>
          </w:tcPr>
          <w:p>
            <w:pPr>
              <w:jc w:val="center"/>
            </w:pPr>
            <w:r>
              <w:t>扬程</w:t>
            </w:r>
            <w:r>
              <w:br w:type="textWrapping"/>
            </w:r>
            <w:r>
              <w:t>(m)</w:t>
            </w:r>
          </w:p>
        </w:tc>
        <w:tc>
          <w:tcPr>
            <w:shd w:val="clear" w:color="auto" w:fill="E6E6E6"/>
            <w:vAlign w:val="center"/>
          </w:tcPr>
          <w:p>
            <w:pPr>
              <w:jc w:val="center"/>
            </w:pPr>
            <w:r>
              <w:t>设计工作效率(%)</w:t>
            </w:r>
          </w:p>
        </w:tc>
        <w:tc>
          <w:tcPr>
            <w:shd w:val="clear" w:color="auto" w:fill="E6E6E6"/>
            <w:vAlign w:val="center"/>
          </w:tcPr>
          <w:p>
            <w:pPr>
              <w:jc w:val="center"/>
            </w:pPr>
            <w:r>
              <w:t>输入功率</w:t>
            </w:r>
            <w:r>
              <w:br w:type="textWrapping"/>
            </w:r>
            <w:r>
              <w:t>(kW)</w:t>
            </w:r>
          </w:p>
        </w:tc>
        <w:tc>
          <w:tcPr>
            <w:shd w:val="clear" w:color="auto" w:fill="E6E6E6"/>
            <w:vAlign w:val="center"/>
          </w:tcPr>
          <w:p>
            <w:pPr>
              <w:jc w:val="center"/>
            </w:pPr>
            <w:r>
              <w:t>冷却塔耗电比(kWh/m3)</w:t>
            </w:r>
          </w:p>
        </w:tc>
        <w:tc>
          <w:tcPr>
            <w:shd w:val="clear" w:color="auto" w:fill="E6E6E6"/>
            <w:vAlign w:val="center"/>
          </w:tcPr>
          <w:p>
            <w:pPr>
              <w:jc w:val="center"/>
            </w:pPr>
            <w:r>
              <w:t>台数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机组1</w:t>
            </w:r>
          </w:p>
        </w:tc>
        <w:tc>
          <w:tcPr>
            <w:vAlign w:val="center"/>
          </w:tcPr>
          <w:p>
            <w:r>
              <w:t>冷冻水泵</w:t>
            </w:r>
          </w:p>
        </w:tc>
        <w:tc>
          <w:tcPr>
            <w:vAlign w:val="center"/>
          </w:tcPr>
          <w:p>
            <w:r>
              <w:t>单速</w:t>
            </w:r>
          </w:p>
        </w:tc>
        <w:tc>
          <w:tcPr>
            <w:vAlign w:val="center"/>
          </w:tcPr>
          <w:p>
            <w:r>
              <w:t>103</w:t>
            </w:r>
          </w:p>
        </w:tc>
        <w:tc>
          <w:tcPr>
            <w:vAlign w:val="center"/>
          </w:tcPr>
          <w:p>
            <w:r>
              <w:t>30</w:t>
            </w:r>
          </w:p>
        </w:tc>
        <w:tc>
          <w:tcPr>
            <w:vAlign w:val="center"/>
          </w:tcPr>
          <w:p>
            <w:r>
              <w:t>80</w:t>
            </w:r>
          </w:p>
        </w:tc>
        <w:tc>
          <w:tcPr>
            <w:vAlign w:val="center"/>
          </w:tcPr>
          <w:p>
            <w:r>
              <w:t>12.1</w:t>
            </w:r>
          </w:p>
        </w:tc>
        <w:tc>
          <w:tcPr>
            <w:vAlign w:val="center"/>
          </w:tcPr>
          <w:p>
            <w:r>
              <w:t>－</w:t>
            </w:r>
          </w:p>
        </w:tc>
        <w:tc>
          <w:tcPr>
            <w:vAlign w:val="center"/>
          </w:tcPr>
          <w:p>
            <w: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冷却水泵</w:t>
            </w:r>
          </w:p>
        </w:tc>
        <w:tc>
          <w:tcPr>
            <w:vAlign w:val="center"/>
          </w:tcPr>
          <w:p>
            <w:r>
              <w:t>单速</w:t>
            </w:r>
          </w:p>
        </w:tc>
        <w:tc>
          <w:tcPr>
            <w:vAlign w:val="center"/>
          </w:tcPr>
          <w:p>
            <w:r>
              <w:t>124</w:t>
            </w:r>
          </w:p>
        </w:tc>
        <w:tc>
          <w:tcPr>
            <w:vAlign w:val="center"/>
          </w:tcPr>
          <w:p>
            <w:r>
              <w:t>30</w:t>
            </w:r>
          </w:p>
        </w:tc>
        <w:tc>
          <w:tcPr>
            <w:vAlign w:val="center"/>
          </w:tcPr>
          <w:p>
            <w:r>
              <w:t>80</w:t>
            </w:r>
          </w:p>
        </w:tc>
        <w:tc>
          <w:tcPr>
            <w:vAlign w:val="center"/>
          </w:tcPr>
          <w:p>
            <w:r>
              <w:t>14.6</w:t>
            </w:r>
          </w:p>
        </w:tc>
        <w:tc>
          <w:tcPr>
            <w:vAlign w:val="center"/>
          </w:tcPr>
          <w:p>
            <w:r>
              <w:t>0.03</w:t>
            </w:r>
          </w:p>
        </w:tc>
        <w:tc>
          <w:tcPr>
            <w:vAlign w:val="center"/>
          </w:tcPr>
          <w:p>
            <w:r>
              <w:t>1</w:t>
            </w:r>
          </w:p>
        </w:tc>
      </w:tr>
    </w:tbl>
    <w:p>
      <w:pPr>
        <w:pStyle w:val="6"/>
        <w:widowControl w:val="0"/>
        <w:jc w:val="both"/>
        <w:rPr>
          <w:color w:val="000000"/>
        </w:rPr>
      </w:pPr>
      <w:r>
        <w:rPr>
          <w:color w:val="000000"/>
        </w:rPr>
        <w:t>运行工况</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负载率</w:t>
            </w:r>
            <w:r>
              <w:br w:type="textWrapping"/>
            </w:r>
            <w:r>
              <w:t>(%)</w:t>
            </w:r>
          </w:p>
        </w:tc>
        <w:tc>
          <w:tcPr>
            <w:shd w:val="clear" w:color="auto" w:fill="E6E6E6"/>
            <w:vAlign w:val="center"/>
          </w:tcPr>
          <w:p>
            <w:pPr>
              <w:jc w:val="center"/>
            </w:pPr>
            <w:r>
              <w:t>机组制冷量</w:t>
            </w:r>
            <w:r>
              <w:br w:type="textWrapping"/>
            </w:r>
            <w:r>
              <w:t>(kW)</w:t>
            </w:r>
          </w:p>
        </w:tc>
        <w:tc>
          <w:tcPr>
            <w:shd w:val="clear" w:color="auto" w:fill="E6E6E6"/>
            <w:vAlign w:val="center"/>
          </w:tcPr>
          <w:p>
            <w:pPr>
              <w:jc w:val="center"/>
            </w:pPr>
            <w:r>
              <w:t>机组功率</w:t>
            </w:r>
            <w:r>
              <w:br w:type="textWrapping"/>
            </w:r>
            <w:r>
              <w:t>(kW)</w:t>
            </w:r>
          </w:p>
        </w:tc>
        <w:tc>
          <w:tcPr>
            <w:shd w:val="clear" w:color="auto" w:fill="E6E6E6"/>
            <w:vAlign w:val="center"/>
          </w:tcPr>
          <w:p>
            <w:pPr>
              <w:jc w:val="center"/>
            </w:pPr>
            <w:r>
              <w:t>性能系数</w:t>
            </w:r>
            <w:r>
              <w:br w:type="textWrapping"/>
            </w:r>
            <w:r>
              <w:t>(COP)</w:t>
            </w:r>
          </w:p>
        </w:tc>
        <w:tc>
          <w:tcPr>
            <w:shd w:val="clear" w:color="auto" w:fill="E6E6E6"/>
            <w:vAlign w:val="center"/>
          </w:tcPr>
          <w:p>
            <w:pPr>
              <w:jc w:val="center"/>
            </w:pPr>
            <w:r>
              <w:t>冷却水泵功率</w:t>
            </w:r>
            <w:r>
              <w:br w:type="textWrapping"/>
            </w:r>
            <w:r>
              <w:t>(kW)</w:t>
            </w:r>
          </w:p>
        </w:tc>
        <w:tc>
          <w:tcPr>
            <w:shd w:val="clear" w:color="auto" w:fill="E6E6E6"/>
            <w:vAlign w:val="center"/>
          </w:tcPr>
          <w:p>
            <w:pPr>
              <w:jc w:val="center"/>
            </w:pPr>
            <w:r>
              <w:t>冷冻水泵功率</w:t>
            </w:r>
            <w:r>
              <w:br w:type="textWrapping"/>
            </w:r>
            <w:r>
              <w:t>(kW)</w:t>
            </w:r>
          </w:p>
        </w:tc>
        <w:tc>
          <w:tcPr>
            <w:shd w:val="clear" w:color="auto" w:fill="E6E6E6"/>
            <w:vAlign w:val="center"/>
          </w:tcPr>
          <w:p>
            <w:pPr>
              <w:jc w:val="center"/>
            </w:pPr>
            <w:r>
              <w:t>冷却塔功率</w:t>
            </w:r>
            <w:r>
              <w:br w:type="textWrapping"/>
            </w:r>
            <w:r>
              <w:t>(kW)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20</w:t>
            </w:r>
          </w:p>
        </w:tc>
        <w:tc>
          <w:tcPr>
            <w:vAlign w:val="center"/>
          </w:tcPr>
          <w:p>
            <w:r>
              <w:t>100</w:t>
            </w:r>
          </w:p>
        </w:tc>
        <w:tc>
          <w:tcPr>
            <w:vAlign w:val="center"/>
          </w:tcPr>
          <w:p>
            <w:r>
              <w:t>25</w:t>
            </w:r>
          </w:p>
        </w:tc>
        <w:tc>
          <w:tcPr>
            <w:vAlign w:val="center"/>
          </w:tcPr>
          <w:p>
            <w:r>
              <w:t>4.00</w:t>
            </w:r>
          </w:p>
        </w:tc>
        <w:tc>
          <w:tcPr>
            <w:vAlign w:val="center"/>
          </w:tcPr>
          <w:p>
            <w:r>
              <w:t>9.8</w:t>
            </w:r>
          </w:p>
        </w:tc>
        <w:tc>
          <w:tcPr>
            <w:vAlign w:val="center"/>
          </w:tcPr>
          <w:p>
            <w:r>
              <w:t>11.7</w:t>
            </w:r>
          </w:p>
        </w:tc>
        <w:tc>
          <w:tcPr>
            <w:vAlign w:val="center"/>
          </w:tcPr>
          <w:p>
            <w: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40</w:t>
            </w:r>
          </w:p>
        </w:tc>
        <w:tc>
          <w:tcPr>
            <w:vAlign w:val="center"/>
          </w:tcPr>
          <w:p>
            <w:r>
              <w:t>200</w:t>
            </w:r>
          </w:p>
        </w:tc>
        <w:tc>
          <w:tcPr>
            <w:vAlign w:val="center"/>
          </w:tcPr>
          <w:p>
            <w:r>
              <w:t>48</w:t>
            </w:r>
          </w:p>
        </w:tc>
        <w:tc>
          <w:tcPr>
            <w:vAlign w:val="center"/>
          </w:tcPr>
          <w:p>
            <w:r>
              <w:t>4.17</w:t>
            </w:r>
          </w:p>
        </w:tc>
        <w:tc>
          <w:tcPr>
            <w:vAlign w:val="center"/>
          </w:tcPr>
          <w:p>
            <w:r>
              <w:t>9.8</w:t>
            </w:r>
          </w:p>
        </w:tc>
        <w:tc>
          <w:tcPr>
            <w:vAlign w:val="center"/>
          </w:tcPr>
          <w:p>
            <w:r>
              <w:t>11.7</w:t>
            </w:r>
          </w:p>
        </w:tc>
        <w:tc>
          <w:tcPr>
            <w:vAlign w:val="center"/>
          </w:tcPr>
          <w:p>
            <w: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60</w:t>
            </w:r>
          </w:p>
        </w:tc>
        <w:tc>
          <w:tcPr>
            <w:vAlign w:val="center"/>
          </w:tcPr>
          <w:p>
            <w:r>
              <w:t>300</w:t>
            </w:r>
          </w:p>
        </w:tc>
        <w:tc>
          <w:tcPr>
            <w:vAlign w:val="center"/>
          </w:tcPr>
          <w:p>
            <w:r>
              <w:t>68</w:t>
            </w:r>
          </w:p>
        </w:tc>
        <w:tc>
          <w:tcPr>
            <w:vAlign w:val="center"/>
          </w:tcPr>
          <w:p>
            <w:r>
              <w:t>4.41</w:t>
            </w:r>
          </w:p>
        </w:tc>
        <w:tc>
          <w:tcPr>
            <w:vAlign w:val="center"/>
          </w:tcPr>
          <w:p>
            <w:r>
              <w:t>9.8</w:t>
            </w:r>
          </w:p>
        </w:tc>
        <w:tc>
          <w:tcPr>
            <w:vAlign w:val="center"/>
          </w:tcPr>
          <w:p>
            <w:r>
              <w:t>11.7</w:t>
            </w:r>
          </w:p>
        </w:tc>
        <w:tc>
          <w:tcPr>
            <w:vAlign w:val="center"/>
          </w:tcPr>
          <w:p>
            <w: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80</w:t>
            </w:r>
          </w:p>
        </w:tc>
        <w:tc>
          <w:tcPr>
            <w:vAlign w:val="center"/>
          </w:tcPr>
          <w:p>
            <w:r>
              <w:t>400</w:t>
            </w:r>
          </w:p>
        </w:tc>
        <w:tc>
          <w:tcPr>
            <w:vAlign w:val="center"/>
          </w:tcPr>
          <w:p>
            <w:r>
              <w:t>80</w:t>
            </w:r>
          </w:p>
        </w:tc>
        <w:tc>
          <w:tcPr>
            <w:vAlign w:val="center"/>
          </w:tcPr>
          <w:p>
            <w:r>
              <w:t>5.00</w:t>
            </w:r>
          </w:p>
        </w:tc>
        <w:tc>
          <w:tcPr>
            <w:vAlign w:val="center"/>
          </w:tcPr>
          <w:p>
            <w:r>
              <w:t>9.8</w:t>
            </w:r>
          </w:p>
        </w:tc>
        <w:tc>
          <w:tcPr>
            <w:vAlign w:val="center"/>
          </w:tcPr>
          <w:p>
            <w:r>
              <w:t>11.7</w:t>
            </w:r>
          </w:p>
        </w:tc>
        <w:tc>
          <w:tcPr>
            <w:vAlign w:val="center"/>
          </w:tcPr>
          <w:p>
            <w: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100</w:t>
            </w:r>
          </w:p>
        </w:tc>
        <w:tc>
          <w:tcPr>
            <w:vAlign w:val="center"/>
          </w:tcPr>
          <w:p>
            <w:r>
              <w:t>500</w:t>
            </w:r>
          </w:p>
        </w:tc>
        <w:tc>
          <w:tcPr>
            <w:vAlign w:val="center"/>
          </w:tcPr>
          <w:p>
            <w:r>
              <w:t>100</w:t>
            </w:r>
          </w:p>
        </w:tc>
        <w:tc>
          <w:tcPr>
            <w:vAlign w:val="center"/>
          </w:tcPr>
          <w:p>
            <w:r>
              <w:t>5.00</w:t>
            </w:r>
          </w:p>
        </w:tc>
        <w:tc>
          <w:tcPr>
            <w:vAlign w:val="center"/>
          </w:tcPr>
          <w:p>
            <w:r>
              <w:t>9.8</w:t>
            </w:r>
          </w:p>
        </w:tc>
        <w:tc>
          <w:tcPr>
            <w:vAlign w:val="center"/>
          </w:tcPr>
          <w:p>
            <w:r>
              <w:t>11.7</w:t>
            </w:r>
          </w:p>
        </w:tc>
        <w:tc>
          <w:tcPr>
            <w:vAlign w:val="center"/>
          </w:tcPr>
          <w:p>
            <w:r>
              <w:t>3</w:t>
            </w:r>
          </w:p>
        </w:tc>
      </w:tr>
    </w:tbl>
    <w:p>
      <w:pPr>
        <w:pStyle w:val="6"/>
        <w:widowControl w:val="0"/>
        <w:jc w:val="both"/>
        <w:rPr>
          <w:color w:val="000000"/>
        </w:rPr>
      </w:pPr>
      <w:r>
        <w:rPr>
          <w:color w:val="000000"/>
        </w:rPr>
        <w:t>制冷能耗</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负荷区间</w:t>
            </w:r>
            <w:r>
              <w:br w:type="textWrapping"/>
            </w:r>
            <w:r>
              <w:t>(%)</w:t>
            </w:r>
          </w:p>
        </w:tc>
        <w:tc>
          <w:tcPr>
            <w:shd w:val="clear" w:color="auto" w:fill="E6E6E6"/>
            <w:vAlign w:val="center"/>
          </w:tcPr>
          <w:p>
            <w:pPr>
              <w:jc w:val="center"/>
            </w:pPr>
            <w:r>
              <w:t>区间负荷</w:t>
            </w:r>
            <w:r>
              <w:br w:type="textWrapping"/>
            </w:r>
            <w:r>
              <w:t>(kWh)</w:t>
            </w:r>
          </w:p>
        </w:tc>
        <w:tc>
          <w:tcPr>
            <w:shd w:val="clear" w:color="auto" w:fill="E6E6E6"/>
            <w:vAlign w:val="center"/>
          </w:tcPr>
          <w:p>
            <w:pPr>
              <w:jc w:val="center"/>
            </w:pPr>
            <w:r>
              <w:t>运行时长(h)</w:t>
            </w:r>
          </w:p>
        </w:tc>
        <w:tc>
          <w:tcPr>
            <w:shd w:val="clear" w:color="auto" w:fill="E6E6E6"/>
            <w:vAlign w:val="center"/>
          </w:tcPr>
          <w:p>
            <w:pPr>
              <w:jc w:val="center"/>
            </w:pPr>
            <w:r>
              <w:t>制冷机组</w:t>
            </w:r>
            <w:r>
              <w:br w:type="textWrapping"/>
            </w:r>
            <w:r>
              <w:t>(kWh)</w:t>
            </w:r>
          </w:p>
        </w:tc>
        <w:tc>
          <w:tcPr>
            <w:shd w:val="clear" w:color="auto" w:fill="E6E6E6"/>
            <w:vAlign w:val="center"/>
          </w:tcPr>
          <w:p>
            <w:pPr>
              <w:jc w:val="center"/>
            </w:pPr>
            <w:r>
              <w:t>平均性能系数(COP)</w:t>
            </w:r>
          </w:p>
        </w:tc>
        <w:tc>
          <w:tcPr>
            <w:shd w:val="clear" w:color="auto" w:fill="E6E6E6"/>
            <w:vAlign w:val="center"/>
          </w:tcPr>
          <w:p>
            <w:pPr>
              <w:jc w:val="center"/>
            </w:pPr>
            <w:r>
              <w:t>冷却水泵</w:t>
            </w:r>
            <w:r>
              <w:br w:type="textWrapping"/>
            </w:r>
            <w:r>
              <w:t>(kWh)</w:t>
            </w:r>
          </w:p>
        </w:tc>
        <w:tc>
          <w:tcPr>
            <w:shd w:val="clear" w:color="auto" w:fill="E6E6E6"/>
            <w:vAlign w:val="center"/>
          </w:tcPr>
          <w:p>
            <w:pPr>
              <w:jc w:val="center"/>
            </w:pPr>
            <w:r>
              <w:t>冷冻水泵</w:t>
            </w:r>
            <w:r>
              <w:br w:type="textWrapping"/>
            </w:r>
            <w:r>
              <w:t>(kWh)</w:t>
            </w:r>
          </w:p>
        </w:tc>
        <w:tc>
          <w:tcPr>
            <w:shd w:val="clear" w:color="auto" w:fill="E6E6E6"/>
            <w:vAlign w:val="center"/>
          </w:tcPr>
          <w:p>
            <w:pPr>
              <w:jc w:val="center"/>
            </w:pPr>
            <w:r>
              <w:t>冷却塔</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0~20</w:t>
            </w:r>
          </w:p>
        </w:tc>
        <w:tc>
          <w:tcPr>
            <w:vAlign w:val="center"/>
          </w:tcPr>
          <w:p>
            <w:r>
              <w:t>29291</w:t>
            </w:r>
          </w:p>
        </w:tc>
        <w:tc>
          <w:tcPr>
            <w:vAlign w:val="center"/>
          </w:tcPr>
          <w:p>
            <w:r>
              <w:t>435</w:t>
            </w:r>
          </w:p>
        </w:tc>
        <w:tc>
          <w:tcPr>
            <w:vAlign w:val="center"/>
          </w:tcPr>
          <w:p>
            <w:r>
              <w:t>7323</w:t>
            </w:r>
          </w:p>
        </w:tc>
        <w:tc>
          <w:tcPr>
            <w:vAlign w:val="center"/>
          </w:tcPr>
          <w:p>
            <w:r>
              <w:t>4.00</w:t>
            </w:r>
          </w:p>
        </w:tc>
        <w:tc>
          <w:tcPr>
            <w:vAlign w:val="center"/>
          </w:tcPr>
          <w:p>
            <w:r>
              <w:t>4263</w:t>
            </w:r>
          </w:p>
        </w:tc>
        <w:tc>
          <w:tcPr>
            <w:vAlign w:val="center"/>
          </w:tcPr>
          <w:p>
            <w:r>
              <w:t>5090</w:t>
            </w:r>
          </w:p>
        </w:tc>
        <w:tc>
          <w:tcPr>
            <w:vAlign w:val="center"/>
          </w:tcPr>
          <w:p>
            <w:r>
              <w:t>1305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20~40</w:t>
            </w:r>
          </w:p>
        </w:tc>
        <w:tc>
          <w:tcPr>
            <w:vAlign w:val="center"/>
          </w:tcPr>
          <w:p>
            <w:r>
              <w:t>79415</w:t>
            </w:r>
          </w:p>
        </w:tc>
        <w:tc>
          <w:tcPr>
            <w:vAlign w:val="center"/>
          </w:tcPr>
          <w:p>
            <w:r>
              <w:t>684</w:t>
            </w:r>
          </w:p>
        </w:tc>
        <w:tc>
          <w:tcPr>
            <w:vAlign w:val="center"/>
          </w:tcPr>
          <w:p>
            <w:r>
              <w:t>19715</w:t>
            </w:r>
          </w:p>
        </w:tc>
        <w:tc>
          <w:tcPr>
            <w:vAlign w:val="center"/>
          </w:tcPr>
          <w:p>
            <w:r>
              <w:t>4.03</w:t>
            </w:r>
          </w:p>
        </w:tc>
        <w:tc>
          <w:tcPr>
            <w:vAlign w:val="center"/>
          </w:tcPr>
          <w:p>
            <w:r>
              <w:t>6703</w:t>
            </w:r>
          </w:p>
        </w:tc>
        <w:tc>
          <w:tcPr>
            <w:vAlign w:val="center"/>
          </w:tcPr>
          <w:p>
            <w:r>
              <w:t>8003</w:t>
            </w:r>
          </w:p>
        </w:tc>
        <w:tc>
          <w:tcPr>
            <w:vAlign w:val="center"/>
          </w:tcPr>
          <w:p>
            <w:r>
              <w:t>2052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40~60</w:t>
            </w:r>
          </w:p>
        </w:tc>
        <w:tc>
          <w:tcPr>
            <w:vAlign w:val="center"/>
          </w:tcPr>
          <w:p>
            <w:r>
              <w:t>0</w:t>
            </w:r>
          </w:p>
        </w:tc>
        <w:tc>
          <w:tcPr>
            <w:vAlign w:val="center"/>
          </w:tcPr>
          <w:p>
            <w:r>
              <w:t>0</w:t>
            </w:r>
          </w:p>
        </w:tc>
        <w:tc>
          <w:tcPr>
            <w:vAlign w:val="center"/>
          </w:tcPr>
          <w:p>
            <w:r>
              <w:t>0</w:t>
            </w:r>
          </w:p>
        </w:tc>
        <w:tc>
          <w:tcPr>
            <w:vAlign w:val="center"/>
          </w:tcPr>
          <w:p>
            <w:r>
              <w:t>0.00</w:t>
            </w:r>
          </w:p>
        </w:tc>
        <w:tc>
          <w:tcPr>
            <w:vAlign w:val="center"/>
          </w:tcPr>
          <w:p>
            <w:r>
              <w:t>0</w:t>
            </w:r>
          </w:p>
        </w:tc>
        <w:tc>
          <w:tcPr>
            <w:vAlign w:val="center"/>
          </w:tcPr>
          <w:p>
            <w:r>
              <w:t>0</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60~80</w:t>
            </w:r>
          </w:p>
        </w:tc>
        <w:tc>
          <w:tcPr>
            <w:vAlign w:val="center"/>
          </w:tcPr>
          <w:p>
            <w:r>
              <w:t>0</w:t>
            </w:r>
          </w:p>
        </w:tc>
        <w:tc>
          <w:tcPr>
            <w:vAlign w:val="center"/>
          </w:tcPr>
          <w:p>
            <w:r>
              <w:t>0</w:t>
            </w:r>
          </w:p>
        </w:tc>
        <w:tc>
          <w:tcPr>
            <w:vAlign w:val="center"/>
          </w:tcPr>
          <w:p>
            <w:r>
              <w:t>0</w:t>
            </w:r>
          </w:p>
        </w:tc>
        <w:tc>
          <w:tcPr>
            <w:vAlign w:val="center"/>
          </w:tcPr>
          <w:p>
            <w:r>
              <w:t>0.00</w:t>
            </w:r>
          </w:p>
        </w:tc>
        <w:tc>
          <w:tcPr>
            <w:vAlign w:val="center"/>
          </w:tcPr>
          <w:p>
            <w:r>
              <w:t>0</w:t>
            </w:r>
          </w:p>
        </w:tc>
        <w:tc>
          <w:tcPr>
            <w:vAlign w:val="center"/>
          </w:tcPr>
          <w:p>
            <w:r>
              <w:t>0</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80~100</w:t>
            </w:r>
          </w:p>
        </w:tc>
        <w:tc>
          <w:tcPr>
            <w:vAlign w:val="center"/>
          </w:tcPr>
          <w:p>
            <w:r>
              <w:t>0</w:t>
            </w:r>
          </w:p>
        </w:tc>
        <w:tc>
          <w:tcPr>
            <w:vAlign w:val="center"/>
          </w:tcPr>
          <w:p>
            <w:r>
              <w:t>0</w:t>
            </w:r>
          </w:p>
        </w:tc>
        <w:tc>
          <w:tcPr>
            <w:vAlign w:val="center"/>
          </w:tcPr>
          <w:p>
            <w:r>
              <w:t>0</w:t>
            </w:r>
          </w:p>
        </w:tc>
        <w:tc>
          <w:tcPr>
            <w:vAlign w:val="center"/>
          </w:tcPr>
          <w:p>
            <w:r>
              <w:t>0.00</w:t>
            </w:r>
          </w:p>
        </w:tc>
        <w:tc>
          <w:tcPr>
            <w:vAlign w:val="center"/>
          </w:tcPr>
          <w:p>
            <w:r>
              <w:t>0</w:t>
            </w:r>
          </w:p>
        </w:tc>
        <w:tc>
          <w:tcPr>
            <w:vAlign w:val="center"/>
          </w:tcPr>
          <w:p>
            <w:r>
              <w:t>0</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&gt;100</w:t>
            </w:r>
          </w:p>
        </w:tc>
        <w:tc>
          <w:tcPr>
            <w:vAlign w:val="center"/>
          </w:tcPr>
          <w:p>
            <w:r>
              <w:t>0</w:t>
            </w:r>
          </w:p>
        </w:tc>
        <w:tc>
          <w:tcPr>
            <w:vAlign w:val="center"/>
          </w:tcPr>
          <w:p>
            <w:r>
              <w:t>0</w:t>
            </w:r>
          </w:p>
        </w:tc>
        <w:tc>
          <w:tcPr>
            <w:vAlign w:val="center"/>
          </w:tcPr>
          <w:p>
            <w:r>
              <w:t>0</w:t>
            </w:r>
          </w:p>
        </w:tc>
        <w:tc>
          <w:tcPr>
            <w:vAlign w:val="center"/>
          </w:tcPr>
          <w:p>
            <w:r>
              <w:t>－</w:t>
            </w:r>
          </w:p>
        </w:tc>
        <w:tc>
          <w:tcPr>
            <w:vAlign w:val="center"/>
          </w:tcPr>
          <w:p>
            <w:r>
              <w:t>0</w:t>
            </w:r>
          </w:p>
        </w:tc>
        <w:tc>
          <w:tcPr>
            <w:vAlign w:val="center"/>
          </w:tcPr>
          <w:p>
            <w:r>
              <w:t>0</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合计</w:t>
            </w:r>
          </w:p>
        </w:tc>
        <w:tc>
          <w:tcPr>
            <w:vAlign w:val="center"/>
          </w:tcPr>
          <w:p>
            <w:r>
              <w:t>108706</w:t>
            </w:r>
          </w:p>
        </w:tc>
        <w:tc>
          <w:tcPr>
            <w:vAlign w:val="center"/>
          </w:tcPr>
          <w:p>
            <w:r>
              <w:t>1119</w:t>
            </w:r>
          </w:p>
        </w:tc>
        <w:tc>
          <w:tcPr>
            <w:vAlign w:val="center"/>
          </w:tcPr>
          <w:p>
            <w:r>
              <w:t>27038</w:t>
            </w:r>
          </w:p>
        </w:tc>
        <w:tc>
          <w:tcPr>
            <w:vAlign w:val="center"/>
          </w:tcPr>
          <w:p/>
        </w:tc>
        <w:tc>
          <w:tcPr>
            <w:vAlign w:val="center"/>
          </w:tcPr>
          <w:p>
            <w:r>
              <w:t>10966</w:t>
            </w:r>
          </w:p>
        </w:tc>
        <w:tc>
          <w:tcPr>
            <w:vAlign w:val="center"/>
          </w:tcPr>
          <w:p>
            <w:r>
              <w:t>13092</w:t>
            </w:r>
          </w:p>
        </w:tc>
        <w:tc>
          <w:tcPr>
            <w:vAlign w:val="center"/>
          </w:tcPr>
          <w:p>
            <w:r>
              <w:t>3357</w:t>
            </w:r>
          </w:p>
        </w:tc>
      </w:tr>
    </w:tbl>
    <w:p>
      <w:pPr>
        <w:pStyle w:val="4"/>
        <w:widowControl w:val="0"/>
        <w:jc w:val="both"/>
        <w:rPr>
          <w:color w:val="000000"/>
        </w:rPr>
      </w:pPr>
      <w:bookmarkStart w:id="67" w:name="_Toc14648"/>
      <w:r>
        <w:rPr>
          <w:color w:val="000000"/>
        </w:rPr>
        <w:t>空调风机</w:t>
      </w:r>
      <w:bookmarkEnd w:id="67"/>
    </w:p>
    <w:p>
      <w:pPr>
        <w:pStyle w:val="5"/>
        <w:widowControl w:val="0"/>
        <w:jc w:val="both"/>
        <w:rPr>
          <w:color w:val="000000"/>
        </w:rPr>
      </w:pPr>
      <w:r>
        <w:rPr>
          <w:color w:val="000000"/>
        </w:rPr>
        <w:t>全空气机组</w:t>
      </w:r>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01"/>
        <w:gridCol w:w="882"/>
        <w:gridCol w:w="882"/>
        <w:gridCol w:w="860"/>
        <w:gridCol w:w="1131"/>
        <w:gridCol w:w="990"/>
        <w:gridCol w:w="837"/>
        <w:gridCol w:w="1047"/>
        <w:gridCol w:w="1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风机</w:t>
            </w:r>
          </w:p>
        </w:tc>
        <w:tc>
          <w:tcPr>
            <w:shd w:val="clear" w:color="auto" w:fill="E6E6E6"/>
            <w:vAlign w:val="center"/>
          </w:tcPr>
          <w:p>
            <w:pPr>
              <w:jc w:val="center"/>
            </w:pPr>
            <w:r>
              <w:t>风量</w:t>
            </w:r>
            <w:r>
              <w:br w:type="textWrapping"/>
            </w:r>
            <w:r>
              <w:t>(m</w:t>
            </w:r>
            <w:r>
              <w:rPr>
                <w:vertAlign w:val="superscript"/>
              </w:rPr>
              <w:t>3</w:t>
            </w:r>
            <w:r>
              <w:t>/h)</w:t>
            </w:r>
          </w:p>
        </w:tc>
        <w:tc>
          <w:tcPr>
            <w:shd w:val="clear" w:color="auto" w:fill="E6E6E6"/>
            <w:vAlign w:val="center"/>
          </w:tcPr>
          <w:p>
            <w:pPr>
              <w:jc w:val="center"/>
            </w:pPr>
            <w:r>
              <w:t>最小</w:t>
            </w:r>
            <w:r>
              <w:br w:type="textWrapping"/>
            </w:r>
            <w:r>
              <w:t>送风比</w:t>
            </w:r>
          </w:p>
        </w:tc>
        <w:tc>
          <w:tcPr>
            <w:shd w:val="clear" w:color="auto" w:fill="E6E6E6"/>
            <w:vAlign w:val="center"/>
          </w:tcPr>
          <w:p>
            <w:pPr>
              <w:jc w:val="center"/>
            </w:pPr>
            <w:r>
              <w:t>单位风量</w:t>
            </w:r>
            <w:r>
              <w:br w:type="textWrapping"/>
            </w:r>
            <w:r>
              <w:t>耗功率</w:t>
            </w:r>
            <w:r>
              <w:br w:type="textWrapping"/>
            </w:r>
            <w:r>
              <w:t>W/(m</w:t>
            </w:r>
            <w:r>
              <w:rPr>
                <w:vertAlign w:val="superscript"/>
              </w:rPr>
              <w:t>3</w:t>
            </w:r>
            <w:r>
              <w:t>/h)</w:t>
            </w:r>
          </w:p>
        </w:tc>
        <w:tc>
          <w:tcPr>
            <w:shd w:val="clear" w:color="auto" w:fill="E6E6E6"/>
            <w:vAlign w:val="center"/>
          </w:tcPr>
          <w:p>
            <w:pPr>
              <w:jc w:val="center"/>
            </w:pPr>
            <w:r>
              <w:t>风机</w:t>
            </w:r>
            <w:r>
              <w:br w:type="textWrapping"/>
            </w:r>
            <w:r>
              <w:t>功率</w:t>
            </w:r>
            <w:r>
              <w:br w:type="textWrapping"/>
            </w:r>
            <w:r>
              <w:t>(W)</w:t>
            </w:r>
          </w:p>
        </w:tc>
        <w:tc>
          <w:tcPr>
            <w:shd w:val="clear" w:color="auto" w:fill="E6E6E6"/>
            <w:vAlign w:val="center"/>
          </w:tcPr>
          <w:p>
            <w:pPr>
              <w:jc w:val="center"/>
            </w:pPr>
            <w:r>
              <w:t>运行</w:t>
            </w:r>
            <w:r>
              <w:br w:type="textWrapping"/>
            </w:r>
            <w:r>
              <w:t>时长</w:t>
            </w:r>
            <w:r>
              <w:br w:type="textWrapping"/>
            </w:r>
            <w:r>
              <w:t>(h)</w:t>
            </w:r>
          </w:p>
        </w:tc>
        <w:tc>
          <w:tcPr>
            <w:shd w:val="clear" w:color="auto" w:fill="E6E6E6"/>
            <w:vAlign w:val="center"/>
          </w:tcPr>
          <w:p>
            <w:pPr>
              <w:jc w:val="center"/>
            </w:pPr>
            <w:r>
              <w:t>风机</w:t>
            </w:r>
            <w:r>
              <w:br w:type="textWrapping"/>
            </w:r>
            <w:r>
              <w:t>电耗</w:t>
            </w:r>
            <w:r>
              <w:br w:type="textWrapping"/>
            </w:r>
            <w:r>
              <w:t>(kWh)</w:t>
            </w:r>
          </w:p>
        </w:tc>
        <w:tc>
          <w:tcPr>
            <w:shd w:val="clear" w:color="auto" w:fill="E6E6E6"/>
            <w:vAlign w:val="center"/>
          </w:tcPr>
          <w:p>
            <w:pPr>
              <w:jc w:val="center"/>
            </w:pPr>
            <w:r>
              <w:t>热回收</w:t>
            </w:r>
            <w:r>
              <w:br w:type="textWrapping"/>
            </w:r>
            <w:r>
              <w:t>设备电耗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自动</w:t>
            </w:r>
          </w:p>
        </w:tc>
        <w:tc>
          <w:tcPr>
            <w:vAlign w:val="center"/>
          </w:tcPr>
          <w:p>
            <w:r>
              <w:t>送风</w:t>
            </w:r>
          </w:p>
        </w:tc>
        <w:tc>
          <w:tcPr>
            <w:vAlign w:val="center"/>
          </w:tcPr>
          <w:p>
            <w:r>
              <w:t>－</w:t>
            </w:r>
          </w:p>
        </w:tc>
        <w:tc>
          <w:tcPr>
            <w:vMerge w:val="restart"/>
            <w:vAlign w:val="center"/>
          </w:tcPr>
          <w:p>
            <w:r>
              <w:t>0.3</w:t>
            </w:r>
          </w:p>
        </w:tc>
        <w:tc>
          <w:tcPr>
            <w:vAlign w:val="center"/>
          </w:tcPr>
          <w:p>
            <w:r>
              <w:t>－</w:t>
            </w:r>
          </w:p>
        </w:tc>
        <w:tc>
          <w:tcPr>
            <w:vAlign w:val="center"/>
          </w:tcPr>
          <w:p>
            <w:r>
              <w:t>500</w:t>
            </w:r>
          </w:p>
        </w:tc>
        <w:tc>
          <w:tcPr>
            <w:vAlign w:val="center"/>
          </w:tcPr>
          <w:p>
            <w:r>
              <w:t>1119</w:t>
            </w:r>
          </w:p>
        </w:tc>
        <w:tc>
          <w:tcPr>
            <w:vAlign w:val="center"/>
          </w:tcPr>
          <w:p>
            <w:r>
              <w:t>277</w:t>
            </w:r>
          </w:p>
        </w:tc>
        <w:tc>
          <w:tcPr>
            <w:vMerge w:val="restart"/>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排风</w:t>
            </w:r>
          </w:p>
        </w:tc>
        <w:tc>
          <w:tcPr>
            <w:vAlign w:val="center"/>
          </w:tcPr>
          <w:p>
            <w:r>
              <w:t>－</w:t>
            </w:r>
          </w:p>
        </w:tc>
        <w:tc>
          <w:tcPr>
            <w:vMerge w:val="continue"/>
            <w:vAlign w:val="center"/>
          </w:tcPr>
          <w:p/>
        </w:tc>
        <w:tc>
          <w:tcPr>
            <w:vAlign w:val="center"/>
          </w:tcPr>
          <w:p>
            <w:r>
              <w:t>－</w:t>
            </w:r>
          </w:p>
        </w:tc>
        <w:tc>
          <w:tcPr>
            <w:vAlign w:val="center"/>
          </w:tcPr>
          <w:p>
            <w:r>
              <w:t>500</w:t>
            </w:r>
          </w:p>
        </w:tc>
        <w:tc>
          <w:tcPr>
            <w:vAlign w:val="center"/>
          </w:tcPr>
          <w:p>
            <w:r>
              <w:t>1119</w:t>
            </w:r>
          </w:p>
        </w:tc>
        <w:tc>
          <w:tcPr>
            <w:vAlign w:val="center"/>
          </w:tcPr>
          <w:p>
            <w:r>
              <w:t>277</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合计</w:t>
            </w:r>
          </w:p>
        </w:tc>
        <w:tc>
          <w:tcPr>
            <w:vAlign w:val="center"/>
          </w:tcPr>
          <w:p/>
        </w:tc>
        <w:tc>
          <w:tcPr>
            <w:vAlign w:val="center"/>
          </w:tcPr>
          <w:p>
            <w:r>
              <w:t>553</w:t>
            </w:r>
          </w:p>
        </w:tc>
        <w:tc>
          <w:tcPr>
            <w:vAlign w:val="center"/>
          </w:tcPr>
          <w:p>
            <w:r>
              <w:t>0</w:t>
            </w:r>
          </w:p>
        </w:tc>
      </w:tr>
    </w:tbl>
    <w:p>
      <w:pPr>
        <w:pStyle w:val="4"/>
        <w:widowControl w:val="0"/>
        <w:jc w:val="both"/>
        <w:rPr>
          <w:color w:val="000000"/>
        </w:rPr>
      </w:pPr>
      <w:bookmarkStart w:id="68" w:name="_Toc17158"/>
      <w:r>
        <w:rPr>
          <w:color w:val="000000"/>
        </w:rPr>
        <w:t>照明</w:t>
      </w:r>
      <w:bookmarkEnd w:id="68"/>
    </w:p>
    <w:tbl>
      <w:tblPr>
        <w:tblStyle w:val="19"/>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w:t>
            </w:r>
          </w:p>
        </w:tc>
        <w:tc>
          <w:tcPr>
            <w:shd w:val="clear" w:color="auto" w:fill="E6E6E6"/>
            <w:vAlign w:val="center"/>
          </w:tcPr>
          <w:p>
            <w:pPr>
              <w:jc w:val="center"/>
            </w:pPr>
            <w:r>
              <w:t>房间数量</w:t>
            </w:r>
          </w:p>
        </w:tc>
        <w:tc>
          <w:tcPr>
            <w:shd w:val="clear" w:color="auto" w:fill="E6E6E6"/>
            <w:vAlign w:val="center"/>
          </w:tcPr>
          <w:p>
            <w:pPr>
              <w:jc w:val="center"/>
            </w:pPr>
            <w:r>
              <w:t>房间合计面积</w:t>
            </w:r>
            <w:r>
              <w:br w:type="textWrapping"/>
            </w:r>
            <w:r>
              <w:t>(㎡)</w:t>
            </w:r>
          </w:p>
        </w:tc>
        <w:tc>
          <w:tcPr>
            <w:shd w:val="clear" w:color="auto" w:fill="E6E6E6"/>
            <w:vAlign w:val="center"/>
          </w:tcPr>
          <w:p>
            <w:pPr>
              <w:jc w:val="center"/>
            </w:pPr>
            <w:r>
              <w:t>合计电耗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办公-会议室</w:t>
            </w:r>
          </w:p>
        </w:tc>
        <w:tc>
          <w:tcPr>
            <w:vAlign w:val="center"/>
          </w:tcPr>
          <w:p>
            <w:r>
              <w:t>18.90</w:t>
            </w:r>
          </w:p>
        </w:tc>
        <w:tc>
          <w:tcPr>
            <w:vAlign w:val="center"/>
          </w:tcPr>
          <w:p>
            <w:r>
              <w:t>1</w:t>
            </w:r>
          </w:p>
        </w:tc>
        <w:tc>
          <w:tcPr>
            <w:vAlign w:val="center"/>
          </w:tcPr>
          <w:p>
            <w:r>
              <w:t>30</w:t>
            </w:r>
          </w:p>
        </w:tc>
        <w:tc>
          <w:tcPr>
            <w:vAlign w:val="center"/>
          </w:tcPr>
          <w:p>
            <w:r>
              <w:t>576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办公-卫生间</w:t>
            </w:r>
          </w:p>
        </w:tc>
        <w:tc>
          <w:tcPr>
            <w:vAlign w:val="center"/>
          </w:tcPr>
          <w:p>
            <w:r>
              <w:t>9.45</w:t>
            </w:r>
          </w:p>
        </w:tc>
        <w:tc>
          <w:tcPr>
            <w:vAlign w:val="center"/>
          </w:tcPr>
          <w:p>
            <w:r>
              <w:t>32</w:t>
            </w:r>
          </w:p>
        </w:tc>
        <w:tc>
          <w:tcPr>
            <w:vAlign w:val="center"/>
          </w:tcPr>
          <w:p>
            <w:r>
              <w:t>168</w:t>
            </w:r>
          </w:p>
        </w:tc>
        <w:tc>
          <w:tcPr>
            <w:vAlign w:val="center"/>
          </w:tcPr>
          <w:p>
            <w:r>
              <w:t>1589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办公-厨房</w:t>
            </w:r>
          </w:p>
        </w:tc>
        <w:tc>
          <w:tcPr>
            <w:vAlign w:val="center"/>
          </w:tcPr>
          <w:p>
            <w:r>
              <w:t>18.90</w:t>
            </w:r>
          </w:p>
        </w:tc>
        <w:tc>
          <w:tcPr>
            <w:vAlign w:val="center"/>
          </w:tcPr>
          <w:p>
            <w:r>
              <w:t>1</w:t>
            </w:r>
          </w:p>
        </w:tc>
        <w:tc>
          <w:tcPr>
            <w:vAlign w:val="center"/>
          </w:tcPr>
          <w:p>
            <w:r>
              <w:t>62</w:t>
            </w:r>
          </w:p>
        </w:tc>
        <w:tc>
          <w:tcPr>
            <w:vAlign w:val="center"/>
          </w:tcPr>
          <w:p>
            <w:r>
              <w:t>1178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办公-大厅</w:t>
            </w:r>
          </w:p>
        </w:tc>
        <w:tc>
          <w:tcPr>
            <w:vAlign w:val="center"/>
          </w:tcPr>
          <w:p>
            <w:r>
              <w:t>18.90</w:t>
            </w:r>
          </w:p>
        </w:tc>
        <w:tc>
          <w:tcPr>
            <w:vAlign w:val="center"/>
          </w:tcPr>
          <w:p>
            <w:r>
              <w:t>1</w:t>
            </w:r>
          </w:p>
        </w:tc>
        <w:tc>
          <w:tcPr>
            <w:vAlign w:val="center"/>
          </w:tcPr>
          <w:p>
            <w:r>
              <w:t>51</w:t>
            </w:r>
          </w:p>
        </w:tc>
        <w:tc>
          <w:tcPr>
            <w:vAlign w:val="center"/>
          </w:tcPr>
          <w:p>
            <w:r>
              <w:t>958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办公-普通办公室</w:t>
            </w:r>
          </w:p>
        </w:tc>
        <w:tc>
          <w:tcPr>
            <w:vAlign w:val="center"/>
          </w:tcPr>
          <w:p>
            <w:r>
              <w:t>18.90</w:t>
            </w:r>
          </w:p>
        </w:tc>
        <w:tc>
          <w:tcPr>
            <w:vAlign w:val="center"/>
          </w:tcPr>
          <w:p>
            <w:r>
              <w:t>32</w:t>
            </w:r>
          </w:p>
        </w:tc>
        <w:tc>
          <w:tcPr>
            <w:vAlign w:val="center"/>
          </w:tcPr>
          <w:p>
            <w:r>
              <w:t>751</w:t>
            </w:r>
          </w:p>
        </w:tc>
        <w:tc>
          <w:tcPr>
            <w:vAlign w:val="center"/>
          </w:tcPr>
          <w:p>
            <w:r>
              <w:t>14203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办公-楼梯间</w:t>
            </w:r>
          </w:p>
        </w:tc>
        <w:tc>
          <w:tcPr>
            <w:vAlign w:val="center"/>
          </w:tcPr>
          <w:p>
            <w:r>
              <w:t>4.73</w:t>
            </w:r>
          </w:p>
        </w:tc>
        <w:tc>
          <w:tcPr>
            <w:vAlign w:val="center"/>
          </w:tcPr>
          <w:p>
            <w:r>
              <w:t>17</w:t>
            </w:r>
          </w:p>
        </w:tc>
        <w:tc>
          <w:tcPr>
            <w:vAlign w:val="center"/>
          </w:tcPr>
          <w:p>
            <w:r>
              <w:t>231</w:t>
            </w:r>
          </w:p>
        </w:tc>
        <w:tc>
          <w:tcPr>
            <w:vAlign w:val="center"/>
          </w:tcPr>
          <w:p>
            <w:r>
              <w:t>1092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办公-电子信息机房</w:t>
            </w:r>
          </w:p>
        </w:tc>
        <w:tc>
          <w:tcPr>
            <w:vAlign w:val="center"/>
          </w:tcPr>
          <w:p>
            <w:r>
              <w:t>18.90</w:t>
            </w:r>
          </w:p>
        </w:tc>
        <w:tc>
          <w:tcPr>
            <w:vAlign w:val="center"/>
          </w:tcPr>
          <w:p>
            <w:r>
              <w:t>1</w:t>
            </w:r>
          </w:p>
        </w:tc>
        <w:tc>
          <w:tcPr>
            <w:vAlign w:val="center"/>
          </w:tcPr>
          <w:p>
            <w:r>
              <w:t>6</w:t>
            </w:r>
          </w:p>
        </w:tc>
        <w:tc>
          <w:tcPr>
            <w:vAlign w:val="center"/>
          </w:tcPr>
          <w:p>
            <w:r>
              <w:t>104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办公-空房间</w:t>
            </w:r>
          </w:p>
        </w:tc>
        <w:tc>
          <w:tcPr>
            <w:vAlign w:val="center"/>
          </w:tcPr>
          <w:p>
            <w:r>
              <w:t>0.00</w:t>
            </w:r>
          </w:p>
        </w:tc>
        <w:tc>
          <w:tcPr>
            <w:vAlign w:val="center"/>
          </w:tcPr>
          <w:p>
            <w:r>
              <w:t>36</w:t>
            </w:r>
          </w:p>
        </w:tc>
        <w:tc>
          <w:tcPr>
            <w:vAlign w:val="center"/>
          </w:tcPr>
          <w:p>
            <w:r>
              <w:t>151</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办公-设备间</w:t>
            </w:r>
          </w:p>
        </w:tc>
        <w:tc>
          <w:tcPr>
            <w:vAlign w:val="center"/>
          </w:tcPr>
          <w:p>
            <w:r>
              <w:t>8.27</w:t>
            </w:r>
          </w:p>
        </w:tc>
        <w:tc>
          <w:tcPr>
            <w:vAlign w:val="center"/>
          </w:tcPr>
          <w:p>
            <w:r>
              <w:t>27</w:t>
            </w:r>
          </w:p>
        </w:tc>
        <w:tc>
          <w:tcPr>
            <w:vAlign w:val="center"/>
          </w:tcPr>
          <w:p>
            <w:r>
              <w:t>350</w:t>
            </w:r>
          </w:p>
        </w:tc>
        <w:tc>
          <w:tcPr>
            <w:vAlign w:val="center"/>
          </w:tcPr>
          <w:p>
            <w:r>
              <w:t>2894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办公-走廊</w:t>
            </w:r>
          </w:p>
        </w:tc>
        <w:tc>
          <w:tcPr>
            <w:vAlign w:val="center"/>
          </w:tcPr>
          <w:p>
            <w:r>
              <w:t>7.09</w:t>
            </w:r>
          </w:p>
        </w:tc>
        <w:tc>
          <w:tcPr>
            <w:vAlign w:val="center"/>
          </w:tcPr>
          <w:p>
            <w:r>
              <w:t>6</w:t>
            </w:r>
          </w:p>
        </w:tc>
        <w:tc>
          <w:tcPr>
            <w:vAlign w:val="center"/>
          </w:tcPr>
          <w:p>
            <w:r>
              <w:t>340</w:t>
            </w:r>
          </w:p>
        </w:tc>
        <w:tc>
          <w:tcPr>
            <w:vAlign w:val="center"/>
          </w:tcPr>
          <w:p>
            <w:r>
              <w:t>2412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办公-餐厅</w:t>
            </w:r>
          </w:p>
        </w:tc>
        <w:tc>
          <w:tcPr>
            <w:vAlign w:val="center"/>
          </w:tcPr>
          <w:p>
            <w:r>
              <w:t>18.90</w:t>
            </w:r>
          </w:p>
        </w:tc>
        <w:tc>
          <w:tcPr>
            <w:vAlign w:val="center"/>
          </w:tcPr>
          <w:p>
            <w:r>
              <w:t>1</w:t>
            </w:r>
          </w:p>
        </w:tc>
        <w:tc>
          <w:tcPr>
            <w:vAlign w:val="center"/>
          </w:tcPr>
          <w:p>
            <w:r>
              <w:t>128</w:t>
            </w:r>
          </w:p>
        </w:tc>
        <w:tc>
          <w:tcPr>
            <w:vAlign w:val="center"/>
          </w:tcPr>
          <w:p>
            <w:r>
              <w:t>2420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办公-高档办公室</w:t>
            </w:r>
          </w:p>
        </w:tc>
        <w:tc>
          <w:tcPr>
            <w:vAlign w:val="center"/>
          </w:tcPr>
          <w:p>
            <w:r>
              <w:t>18.90</w:t>
            </w:r>
          </w:p>
        </w:tc>
        <w:tc>
          <w:tcPr>
            <w:vAlign w:val="center"/>
          </w:tcPr>
          <w:p>
            <w:r>
              <w:t>4</w:t>
            </w:r>
          </w:p>
        </w:tc>
        <w:tc>
          <w:tcPr>
            <w:vAlign w:val="center"/>
          </w:tcPr>
          <w:p>
            <w:r>
              <w:t>74</w:t>
            </w:r>
          </w:p>
        </w:tc>
        <w:tc>
          <w:tcPr>
            <w:vAlign w:val="center"/>
          </w:tcPr>
          <w:p>
            <w:r>
              <w:t>1407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r>
              <w:t>总计</w:t>
            </w:r>
          </w:p>
        </w:tc>
        <w:tc>
          <w:tcPr>
            <w:vAlign w:val="center"/>
          </w:tcPr>
          <w:p>
            <w:r>
              <w:t>28833</w:t>
            </w:r>
          </w:p>
        </w:tc>
      </w:tr>
    </w:tbl>
    <w:p>
      <w:pPr>
        <w:pStyle w:val="4"/>
        <w:widowControl w:val="0"/>
        <w:jc w:val="both"/>
        <w:rPr>
          <w:color w:val="000000"/>
        </w:rPr>
      </w:pPr>
      <w:bookmarkStart w:id="69" w:name="_Toc18135"/>
      <w:r>
        <w:rPr>
          <w:color w:val="000000"/>
        </w:rPr>
        <w:t>负荷分项统计</w:t>
      </w:r>
      <w:bookmarkEnd w:id="69"/>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不利</w:t>
            </w:r>
            <w:r>
              <w:br w:type="textWrapping"/>
            </w:r>
            <w:r>
              <w:t>新风/渗透</w:t>
            </w:r>
          </w:p>
        </w:tc>
        <w:tc>
          <w:tcPr>
            <w:shd w:val="clear" w:color="auto" w:fill="E6E6E6"/>
            <w:vAlign w:val="center"/>
          </w:tcPr>
          <w:p>
            <w:pPr>
              <w:jc w:val="center"/>
            </w:pPr>
            <w:r>
              <w:t>有利</w:t>
            </w:r>
            <w:r>
              <w:br w:type="textWrapping"/>
            </w: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供暖(kWh/㎡)</w:t>
            </w:r>
          </w:p>
        </w:tc>
        <w:tc>
          <w:tcPr>
            <w:vAlign w:val="center"/>
          </w:tcPr>
          <w:p>
            <w:pPr>
              <w:jc w:val="center"/>
            </w:pPr>
            <w:r>
              <w:t>0.00</w:t>
            </w:r>
          </w:p>
        </w:tc>
        <w:tc>
          <w:tcPr>
            <w:vAlign w:val="center"/>
          </w:tcPr>
          <w:p>
            <w:pPr>
              <w:jc w:val="center"/>
            </w:pPr>
            <w:r>
              <w:t>0.00</w:t>
            </w:r>
          </w:p>
        </w:tc>
        <w:tc>
          <w:tcPr>
            <w:vAlign w:val="center"/>
          </w:tcPr>
          <w:p>
            <w:pPr>
              <w:jc w:val="center"/>
            </w:pPr>
            <w:r>
              <w:t>0.00</w:t>
            </w:r>
          </w:p>
        </w:tc>
        <w:tc>
          <w:tcPr>
            <w:vAlign w:val="center"/>
          </w:tcPr>
          <w:p>
            <w:pPr>
              <w:jc w:val="center"/>
            </w:pPr>
            <w:r>
              <w:t>0.00</w:t>
            </w:r>
          </w:p>
        </w:tc>
        <w:tc>
          <w:tcPr>
            <w:vAlign w:val="center"/>
          </w:tcPr>
          <w:p>
            <w:pPr>
              <w:jc w:val="center"/>
            </w:pPr>
            <w:r>
              <w:t>—</w:t>
            </w:r>
          </w:p>
        </w:tc>
        <w:tc>
          <w:tcPr>
            <w:vAlign w:val="center"/>
          </w:tcPr>
          <w:p>
            <w:pPr>
              <w:jc w:val="center"/>
            </w:pPr>
            <w:r>
              <w:t>0.00</w:t>
            </w:r>
          </w:p>
        </w:tc>
        <w:tc>
          <w:tcPr>
            <w:vAlign w:val="center"/>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供冷(kWh/㎡)</w:t>
            </w:r>
          </w:p>
        </w:tc>
        <w:tc>
          <w:tcPr>
            <w:vAlign w:val="center"/>
          </w:tcPr>
          <w:p>
            <w:pPr>
              <w:jc w:val="center"/>
            </w:pPr>
            <w:r>
              <w:t>10.29</w:t>
            </w:r>
          </w:p>
        </w:tc>
        <w:tc>
          <w:tcPr>
            <w:vAlign w:val="center"/>
          </w:tcPr>
          <w:p>
            <w:pPr>
              <w:jc w:val="center"/>
            </w:pPr>
            <w:r>
              <w:t>19.23</w:t>
            </w:r>
          </w:p>
        </w:tc>
        <w:tc>
          <w:tcPr>
            <w:vAlign w:val="center"/>
          </w:tcPr>
          <w:p>
            <w:pPr>
              <w:jc w:val="center"/>
            </w:pPr>
            <w:r>
              <w:t>3.35</w:t>
            </w:r>
          </w:p>
        </w:tc>
        <w:tc>
          <w:tcPr>
            <w:vAlign w:val="center"/>
          </w:tcPr>
          <w:p>
            <w:pPr>
              <w:jc w:val="center"/>
            </w:pPr>
            <w:r>
              <w:t>20.08</w:t>
            </w:r>
          </w:p>
        </w:tc>
        <w:tc>
          <w:tcPr>
            <w:vAlign w:val="center"/>
          </w:tcPr>
          <w:p>
            <w:pPr>
              <w:jc w:val="center"/>
            </w:pPr>
            <w:r>
              <w:t>-0.00</w:t>
            </w:r>
          </w:p>
        </w:tc>
        <w:tc>
          <w:tcPr>
            <w:vAlign w:val="center"/>
          </w:tcPr>
          <w:p>
            <w:pPr>
              <w:jc w:val="center"/>
            </w:pPr>
            <w:r>
              <w:t>-1.30</w:t>
            </w:r>
          </w:p>
        </w:tc>
        <w:tc>
          <w:tcPr>
            <w:vAlign w:val="center"/>
          </w:tcPr>
          <w:p>
            <w:r>
              <w:t>51.65</w:t>
            </w:r>
          </w:p>
        </w:tc>
      </w:tr>
    </w:tbl>
    <w:p>
      <w:pPr>
        <w:jc w:val="center"/>
      </w:pPr>
      <w:r>
        <w:drawing>
          <wp:inline distT="0" distB="0" distL="0" distR="0">
            <wp:extent cx="5667375" cy="28003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2"/>
                    <a:stretch>
                      <a:fillRect/>
                    </a:stretch>
                  </pic:blipFill>
                  <pic:spPr>
                    <a:xfrm>
                      <a:off x="0" y="0"/>
                      <a:ext cx="5667375" cy="2800350"/>
                    </a:xfrm>
                    <a:prstGeom prst="rect">
                      <a:avLst/>
                    </a:prstGeom>
                  </pic:spPr>
                </pic:pic>
              </a:graphicData>
            </a:graphic>
          </wp:inline>
        </w:drawing>
      </w:r>
    </w:p>
    <w:p>
      <w:pPr>
        <w:jc w:val="center"/>
      </w:pPr>
      <w:r>
        <w:drawing>
          <wp:inline distT="0" distB="0" distL="0" distR="0">
            <wp:extent cx="5667375" cy="27717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3"/>
                    <a:stretch>
                      <a:fillRect/>
                    </a:stretch>
                  </pic:blipFill>
                  <pic:spPr>
                    <a:xfrm>
                      <a:off x="0" y="0"/>
                      <a:ext cx="5667375" cy="2771775"/>
                    </a:xfrm>
                    <a:prstGeom prst="rect">
                      <a:avLst/>
                    </a:prstGeom>
                  </pic:spPr>
                </pic:pic>
              </a:graphicData>
            </a:graphic>
          </wp:inline>
        </w:drawing>
      </w:r>
    </w:p>
    <w:p>
      <w:pPr>
        <w:pStyle w:val="4"/>
      </w:pPr>
      <w:bookmarkStart w:id="70" w:name="_Toc3620"/>
      <w:r>
        <w:t>逐月负荷表</w:t>
      </w:r>
      <w:bookmarkEnd w:id="70"/>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月份</w:t>
            </w:r>
          </w:p>
        </w:tc>
        <w:tc>
          <w:tcPr>
            <w:shd w:val="clear" w:color="auto" w:fill="E6E6E6"/>
            <w:vAlign w:val="center"/>
          </w:tcPr>
          <w:p>
            <w:pPr>
              <w:jc w:val="right"/>
            </w:pPr>
            <w:r>
              <w:t>供暖(kWh)</w:t>
            </w:r>
          </w:p>
        </w:tc>
        <w:tc>
          <w:tcPr>
            <w:shd w:val="clear" w:color="auto" w:fill="E6E6E6"/>
            <w:vAlign w:val="center"/>
          </w:tcPr>
          <w:p>
            <w:pPr>
              <w:jc w:val="right"/>
            </w:pPr>
            <w:r>
              <w:t>供冷(kWh)</w:t>
            </w:r>
          </w:p>
        </w:tc>
        <w:tc>
          <w:tcPr>
            <w:shd w:val="clear" w:color="auto" w:fill="E6E6E6"/>
            <w:vAlign w:val="center"/>
          </w:tcPr>
          <w:p>
            <w:pPr>
              <w:jc w:val="right"/>
            </w:pPr>
            <w:r>
              <w:t>热负荷</w:t>
            </w:r>
            <w:r>
              <w:br w:type="textWrapping"/>
            </w:r>
            <w:r>
              <w:t>峰值(kW)</w:t>
            </w:r>
          </w:p>
        </w:tc>
        <w:tc>
          <w:tcPr>
            <w:shd w:val="clear" w:color="auto" w:fill="E6E6E6"/>
            <w:vAlign w:val="center"/>
          </w:tcPr>
          <w:p>
            <w:pPr>
              <w:jc w:val="center"/>
            </w:pPr>
            <w:r>
              <w:t>热负荷</w:t>
            </w:r>
            <w:r>
              <w:br w:type="textWrapping"/>
            </w:r>
            <w:r>
              <w:t>峰值时刻</w:t>
            </w:r>
          </w:p>
        </w:tc>
        <w:tc>
          <w:tcPr>
            <w:shd w:val="clear" w:color="auto" w:fill="E6E6E6"/>
            <w:vAlign w:val="center"/>
          </w:tcPr>
          <w:p>
            <w:pPr>
              <w:jc w:val="right"/>
            </w:pPr>
            <w:r>
              <w:t>冷负荷</w:t>
            </w:r>
            <w:r>
              <w:br w:type="textWrapping"/>
            </w:r>
            <w:r>
              <w:t>峰值(kW)</w:t>
            </w:r>
          </w:p>
        </w:tc>
        <w:tc>
          <w:tcPr>
            <w:shd w:val="clear" w:color="auto" w:fill="E6E6E6"/>
            <w:vAlign w:val="center"/>
          </w:tcPr>
          <w:p>
            <w:pPr>
              <w:jc w:val="center"/>
            </w:pPr>
            <w:r>
              <w:t>冷负荷</w:t>
            </w:r>
            <w:r>
              <w:br w:type="textWrapping"/>
            </w:r>
            <w:r>
              <w:t>峰值时刻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3月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5月</w:t>
            </w:r>
          </w:p>
        </w:tc>
        <w:tc>
          <w:tcPr>
            <w:vAlign w:val="center"/>
          </w:tcPr>
          <w:p>
            <w:pPr>
              <w:jc w:val="right"/>
            </w:pPr>
            <w:r>
              <w:t>0</w:t>
            </w:r>
          </w:p>
        </w:tc>
        <w:tc>
          <w:tcPr>
            <w:vAlign w:val="center"/>
          </w:tcPr>
          <w:p>
            <w:pPr>
              <w:jc w:val="right"/>
            </w:pPr>
            <w:r>
              <w:t>9102</w:t>
            </w:r>
          </w:p>
        </w:tc>
        <w:tc>
          <w:tcPr>
            <w:vAlign w:val="center"/>
          </w:tcPr>
          <w:p>
            <w:pPr>
              <w:jc w:val="right"/>
            </w:pPr>
            <w:r>
              <w:t>0.000</w:t>
            </w:r>
          </w:p>
        </w:tc>
        <w:tc>
          <w:tcPr>
            <w:vAlign w:val="center"/>
          </w:tcPr>
          <w:p>
            <w:r>
              <w:t>--</w:t>
            </w:r>
          </w:p>
        </w:tc>
        <w:tc>
          <w:tcPr>
            <w:vAlign w:val="center"/>
          </w:tcPr>
          <w:p>
            <w:pPr>
              <w:jc w:val="right"/>
            </w:pPr>
            <w:r>
              <w:t>106.042</w:t>
            </w:r>
          </w:p>
        </w:tc>
        <w:tc>
          <w:tcPr>
            <w:vAlign w:val="center"/>
          </w:tcPr>
          <w:p>
            <w:r>
              <w:t>5月28日16时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6月</w:t>
            </w:r>
          </w:p>
        </w:tc>
        <w:tc>
          <w:tcPr>
            <w:vAlign w:val="center"/>
          </w:tcPr>
          <w:p>
            <w:pPr>
              <w:jc w:val="right"/>
            </w:pPr>
            <w:r>
              <w:t>0</w:t>
            </w:r>
          </w:p>
        </w:tc>
        <w:tc>
          <w:tcPr>
            <w:vAlign w:val="center"/>
          </w:tcPr>
          <w:p>
            <w:pPr>
              <w:jc w:val="right"/>
            </w:pPr>
            <w:r>
              <w:t>18945</w:t>
            </w:r>
          </w:p>
        </w:tc>
        <w:tc>
          <w:tcPr>
            <w:vAlign w:val="center"/>
          </w:tcPr>
          <w:p>
            <w:pPr>
              <w:jc w:val="right"/>
            </w:pPr>
            <w:r>
              <w:t>0.000</w:t>
            </w:r>
          </w:p>
        </w:tc>
        <w:tc>
          <w:tcPr>
            <w:vAlign w:val="center"/>
          </w:tcPr>
          <w:p>
            <w:r>
              <w:t>--</w:t>
            </w:r>
          </w:p>
        </w:tc>
        <w:tc>
          <w:tcPr>
            <w:vAlign w:val="center"/>
          </w:tcPr>
          <w:p>
            <w:pPr>
              <w:jc w:val="right"/>
            </w:pPr>
            <w:r>
              <w:t>134.378</w:t>
            </w:r>
          </w:p>
        </w:tc>
        <w:tc>
          <w:tcPr>
            <w:vAlign w:val="center"/>
          </w:tcPr>
          <w:p>
            <w:r>
              <w:t>6月17日8时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7月</w:t>
            </w:r>
          </w:p>
        </w:tc>
        <w:tc>
          <w:tcPr>
            <w:vAlign w:val="center"/>
          </w:tcPr>
          <w:p>
            <w:pPr>
              <w:jc w:val="right"/>
            </w:pPr>
            <w:r>
              <w:t>0</w:t>
            </w:r>
          </w:p>
        </w:tc>
        <w:tc>
          <w:tcPr>
            <w:vAlign w:val="center"/>
          </w:tcPr>
          <w:p>
            <w:pPr>
              <w:jc w:val="right"/>
            </w:pPr>
            <w:r>
              <w:t>30693</w:t>
            </w:r>
          </w:p>
        </w:tc>
        <w:tc>
          <w:tcPr>
            <w:vAlign w:val="center"/>
          </w:tcPr>
          <w:p>
            <w:pPr>
              <w:jc w:val="right"/>
            </w:pPr>
            <w:r>
              <w:t>0.000</w:t>
            </w:r>
          </w:p>
        </w:tc>
        <w:tc>
          <w:tcPr>
            <w:vAlign w:val="center"/>
          </w:tcPr>
          <w:p>
            <w:r>
              <w:t>--</w:t>
            </w:r>
          </w:p>
        </w:tc>
        <w:tc>
          <w:tcPr>
            <w:vAlign w:val="center"/>
          </w:tcPr>
          <w:p>
            <w:pPr>
              <w:jc w:val="right"/>
            </w:pPr>
            <w:r>
              <w:rPr>
                <w:color w:val="0000FF"/>
              </w:rPr>
              <w:t>151.835</w:t>
            </w:r>
          </w:p>
        </w:tc>
        <w:tc>
          <w:tcPr>
            <w:vAlign w:val="center"/>
          </w:tcPr>
          <w:p>
            <w:r>
              <w:rPr>
                <w:color w:val="0000FF"/>
              </w:rPr>
              <w:t>7月15日8时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8月</w:t>
            </w:r>
          </w:p>
        </w:tc>
        <w:tc>
          <w:tcPr>
            <w:vAlign w:val="center"/>
          </w:tcPr>
          <w:p>
            <w:pPr>
              <w:jc w:val="right"/>
            </w:pPr>
            <w:r>
              <w:t>0</w:t>
            </w:r>
          </w:p>
        </w:tc>
        <w:tc>
          <w:tcPr>
            <w:vAlign w:val="center"/>
          </w:tcPr>
          <w:p>
            <w:pPr>
              <w:jc w:val="right"/>
            </w:pPr>
            <w:r>
              <w:t>28319</w:t>
            </w:r>
          </w:p>
        </w:tc>
        <w:tc>
          <w:tcPr>
            <w:vAlign w:val="center"/>
          </w:tcPr>
          <w:p>
            <w:pPr>
              <w:jc w:val="right"/>
            </w:pPr>
            <w:r>
              <w:t>0.000</w:t>
            </w:r>
          </w:p>
        </w:tc>
        <w:tc>
          <w:tcPr>
            <w:vAlign w:val="center"/>
          </w:tcPr>
          <w:p>
            <w:r>
              <w:t>--</w:t>
            </w:r>
          </w:p>
        </w:tc>
        <w:tc>
          <w:tcPr>
            <w:vAlign w:val="center"/>
          </w:tcPr>
          <w:p>
            <w:pPr>
              <w:jc w:val="right"/>
            </w:pPr>
            <w:r>
              <w:t>148.803</w:t>
            </w:r>
          </w:p>
        </w:tc>
        <w:tc>
          <w:tcPr>
            <w:vAlign w:val="center"/>
          </w:tcPr>
          <w:p>
            <w:r>
              <w:t>8月12日8时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9月</w:t>
            </w:r>
          </w:p>
        </w:tc>
        <w:tc>
          <w:tcPr>
            <w:vAlign w:val="center"/>
          </w:tcPr>
          <w:p>
            <w:pPr>
              <w:jc w:val="right"/>
            </w:pPr>
            <w:r>
              <w:t>0</w:t>
            </w:r>
          </w:p>
        </w:tc>
        <w:tc>
          <w:tcPr>
            <w:vAlign w:val="center"/>
          </w:tcPr>
          <w:p>
            <w:pPr>
              <w:jc w:val="right"/>
            </w:pPr>
            <w:r>
              <w:t>21649</w:t>
            </w:r>
          </w:p>
        </w:tc>
        <w:tc>
          <w:tcPr>
            <w:vAlign w:val="center"/>
          </w:tcPr>
          <w:p>
            <w:pPr>
              <w:jc w:val="right"/>
            </w:pPr>
            <w:r>
              <w:t>0.000</w:t>
            </w:r>
          </w:p>
        </w:tc>
        <w:tc>
          <w:tcPr>
            <w:vAlign w:val="center"/>
          </w:tcPr>
          <w:p>
            <w:r>
              <w:t>--</w:t>
            </w:r>
          </w:p>
        </w:tc>
        <w:tc>
          <w:tcPr>
            <w:vAlign w:val="center"/>
          </w:tcPr>
          <w:p>
            <w:pPr>
              <w:jc w:val="right"/>
            </w:pPr>
            <w:r>
              <w:t>133.276</w:t>
            </w:r>
          </w:p>
        </w:tc>
        <w:tc>
          <w:tcPr>
            <w:vAlign w:val="center"/>
          </w:tcPr>
          <w:p>
            <w:r>
              <w:t>9月9日8时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10月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11月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12月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bl>
    <w:p>
      <w:pPr>
        <w:jc w:val="center"/>
      </w:pPr>
      <w:r>
        <w:drawing>
          <wp:inline distT="0" distB="0" distL="0" distR="0">
            <wp:extent cx="5667375" cy="25050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4"/>
                    <a:stretch>
                      <a:fillRect/>
                    </a:stretch>
                  </pic:blipFill>
                  <pic:spPr>
                    <a:xfrm>
                      <a:off x="0" y="0"/>
                      <a:ext cx="5667375" cy="2505075"/>
                    </a:xfrm>
                    <a:prstGeom prst="rect">
                      <a:avLst/>
                    </a:prstGeom>
                  </pic:spPr>
                </pic:pic>
              </a:graphicData>
            </a:graphic>
          </wp:inline>
        </w:drawing>
      </w:r>
    </w:p>
    <w:p>
      <w:pPr>
        <w:jc w:val="center"/>
      </w:pPr>
      <w:r>
        <w:drawing>
          <wp:inline distT="0" distB="0" distL="0" distR="0">
            <wp:extent cx="5667375" cy="25050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5"/>
                    <a:stretch>
                      <a:fillRect/>
                    </a:stretch>
                  </pic:blipFill>
                  <pic:spPr>
                    <a:xfrm>
                      <a:off x="0" y="0"/>
                      <a:ext cx="5667375" cy="2505075"/>
                    </a:xfrm>
                    <a:prstGeom prst="rect">
                      <a:avLst/>
                    </a:prstGeom>
                  </pic:spPr>
                </pic:pic>
              </a:graphicData>
            </a:graphic>
          </wp:inline>
        </w:drawing>
      </w:r>
    </w:p>
    <w:p>
      <w:pPr>
        <w:pStyle w:val="4"/>
      </w:pPr>
      <w:bookmarkStart w:id="71" w:name="_Toc23728"/>
      <w:r>
        <w:t>逐月电耗</w:t>
      </w:r>
      <w:bookmarkEnd w:id="71"/>
    </w:p>
    <w:p>
      <w:pPr>
        <w:widowControl w:val="0"/>
        <w:jc w:val="both"/>
        <w:rPr>
          <w:color w:val="000000"/>
        </w:rPr>
      </w:pPr>
      <w:r>
        <w:rPr>
          <w:color w:val="000000"/>
        </w:rP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月</w:t>
            </w:r>
          </w:p>
        </w:tc>
        <w:tc>
          <w:tcPr>
            <w:shd w:val="clear" w:color="auto" w:fill="E6E6E6"/>
            <w:vAlign w:val="center"/>
          </w:tcPr>
          <w:p>
            <w:pPr>
              <w:jc w:val="center"/>
            </w:pPr>
            <w:r>
              <w:t>供冷</w:t>
            </w:r>
          </w:p>
        </w:tc>
        <w:tc>
          <w:tcPr>
            <w:shd w:val="clear" w:color="auto" w:fill="E6E6E6"/>
            <w:vAlign w:val="center"/>
          </w:tcPr>
          <w:p>
            <w:pPr>
              <w:jc w:val="center"/>
            </w:pPr>
            <w:r>
              <w:t>供暖</w:t>
            </w:r>
          </w:p>
        </w:tc>
        <w:tc>
          <w:tcPr>
            <w:shd w:val="clear" w:color="auto" w:fill="E6E6E6"/>
            <w:vAlign w:val="center"/>
          </w:tcPr>
          <w:p>
            <w:pPr>
              <w:jc w:val="center"/>
            </w:pPr>
            <w:r>
              <w:t>空调风机</w:t>
            </w:r>
          </w:p>
        </w:tc>
        <w:tc>
          <w:tcPr>
            <w:shd w:val="clear" w:color="auto" w:fill="E6E6E6"/>
            <w:vAlign w:val="center"/>
          </w:tcPr>
          <w:p>
            <w:pPr>
              <w:jc w:val="center"/>
            </w:pPr>
            <w:r>
              <w:t>照明</w:t>
            </w:r>
          </w:p>
        </w:tc>
        <w:tc>
          <w:tcPr>
            <w:shd w:val="clear" w:color="auto" w:fill="E6E6E6"/>
            <w:vAlign w:val="center"/>
          </w:tcPr>
          <w:p>
            <w:pPr>
              <w:jc w:val="center"/>
            </w:pPr>
            <w:r>
              <w:t>插座设备</w:t>
            </w:r>
          </w:p>
        </w:tc>
        <w:tc>
          <w:tcPr>
            <w:shd w:val="clear" w:color="auto" w:fill="E6E6E6"/>
            <w:vAlign w:val="center"/>
          </w:tcPr>
          <w:p>
            <w:pPr>
              <w:jc w:val="center"/>
            </w:pPr>
            <w:r>
              <w:t>排风机</w:t>
            </w:r>
          </w:p>
        </w:tc>
        <w:tc>
          <w:tcPr>
            <w:shd w:val="clear" w:color="auto" w:fill="E6E6E6"/>
            <w:vAlign w:val="center"/>
          </w:tcPr>
          <w:p>
            <w:pPr>
              <w:jc w:val="center"/>
            </w:pPr>
            <w:r>
              <w:t>电梯</w:t>
            </w:r>
          </w:p>
        </w:tc>
        <w:tc>
          <w:tcPr>
            <w:shd w:val="clear" w:color="auto" w:fill="E6E6E6"/>
            <w:vAlign w:val="center"/>
          </w:tcPr>
          <w:p>
            <w:pPr>
              <w:jc w:val="center"/>
            </w:pPr>
            <w:r>
              <w:t>热水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1.21</w:t>
            </w:r>
          </w:p>
        </w:tc>
        <w:tc>
          <w:tcPr>
            <w:vAlign w:val="center"/>
          </w:tcPr>
          <w:p>
            <w:pPr>
              <w:jc w:val="right"/>
            </w:pPr>
            <w:r>
              <w:t>－</w:t>
            </w:r>
          </w:p>
        </w:tc>
        <w:tc>
          <w:tcPr>
            <w:vMerge w:val="restart"/>
            <w:vAlign w:val="center"/>
          </w:tcPr>
          <w:p>
            <w:pPr>
              <w:jc w:val="right"/>
            </w:pPr>
            <w:r>
              <w:t>－</w:t>
            </w:r>
          </w:p>
        </w:tc>
        <w:tc>
          <w:tcPr>
            <w:vMerge w:val="restart"/>
            <w:vAlign w:val="center"/>
          </w:tcPr>
          <w:p>
            <w:pPr>
              <w:jc w:val="right"/>
            </w:pPr>
            <w:r>
              <w:t>－</w:t>
            </w:r>
          </w:p>
        </w:tc>
        <w:tc>
          <w:tcPr>
            <w:vMerge w:val="restart"/>
            <w:vAlign w:val="center"/>
          </w:tcPr>
          <w:p>
            <w:pPr>
              <w:jc w:val="right"/>
            </w:pP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0.93</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1.15</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1.15</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5</w:t>
            </w:r>
          </w:p>
        </w:tc>
        <w:tc>
          <w:tcPr>
            <w:vAlign w:val="center"/>
          </w:tcPr>
          <w:p>
            <w:pPr>
              <w:jc w:val="right"/>
            </w:pPr>
            <w:r>
              <w:t>2.84</w:t>
            </w:r>
          </w:p>
        </w:tc>
        <w:tc>
          <w:tcPr>
            <w:vAlign w:val="center"/>
          </w:tcPr>
          <w:p>
            <w:pPr>
              <w:jc w:val="right"/>
            </w:pPr>
            <w:r>
              <w:t>0.00</w:t>
            </w:r>
          </w:p>
        </w:tc>
        <w:tc>
          <w:tcPr>
            <w:vAlign w:val="center"/>
          </w:tcPr>
          <w:p>
            <w:pPr>
              <w:jc w:val="right"/>
            </w:pPr>
            <w:r>
              <w:t>0.02</w:t>
            </w:r>
          </w:p>
        </w:tc>
        <w:tc>
          <w:tcPr>
            <w:vAlign w:val="center"/>
          </w:tcPr>
          <w:p>
            <w:pPr>
              <w:jc w:val="right"/>
            </w:pPr>
            <w:r>
              <w:t>1.21</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6</w:t>
            </w:r>
          </w:p>
        </w:tc>
        <w:tc>
          <w:tcPr>
            <w:vAlign w:val="center"/>
          </w:tcPr>
          <w:p>
            <w:pPr>
              <w:jc w:val="right"/>
            </w:pPr>
            <w:r>
              <w:t>4.74</w:t>
            </w:r>
          </w:p>
        </w:tc>
        <w:tc>
          <w:tcPr>
            <w:vAlign w:val="center"/>
          </w:tcPr>
          <w:p>
            <w:pPr>
              <w:jc w:val="right"/>
            </w:pPr>
            <w:r>
              <w:t>0.00</w:t>
            </w:r>
          </w:p>
        </w:tc>
        <w:tc>
          <w:tcPr>
            <w:vAlign w:val="center"/>
          </w:tcPr>
          <w:p>
            <w:pPr>
              <w:jc w:val="right"/>
            </w:pPr>
            <w:r>
              <w:t>0.04</w:t>
            </w:r>
          </w:p>
        </w:tc>
        <w:tc>
          <w:tcPr>
            <w:vAlign w:val="center"/>
          </w:tcPr>
          <w:p>
            <w:pPr>
              <w:jc w:val="right"/>
            </w:pPr>
            <w:r>
              <w:t>1.04</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7</w:t>
            </w:r>
          </w:p>
        </w:tc>
        <w:tc>
          <w:tcPr>
            <w:vAlign w:val="center"/>
          </w:tcPr>
          <w:p>
            <w:pPr>
              <w:jc w:val="right"/>
            </w:pPr>
            <w:r>
              <w:t>6.83</w:t>
            </w:r>
          </w:p>
        </w:tc>
        <w:tc>
          <w:tcPr>
            <w:vAlign w:val="center"/>
          </w:tcPr>
          <w:p>
            <w:pPr>
              <w:jc w:val="right"/>
            </w:pPr>
            <w:r>
              <w:t>0.00</w:t>
            </w:r>
          </w:p>
        </w:tc>
        <w:tc>
          <w:tcPr>
            <w:vAlign w:val="center"/>
          </w:tcPr>
          <w:p>
            <w:pPr>
              <w:jc w:val="right"/>
            </w:pPr>
            <w:r>
              <w:t>0.08</w:t>
            </w:r>
          </w:p>
        </w:tc>
        <w:tc>
          <w:tcPr>
            <w:vAlign w:val="center"/>
          </w:tcPr>
          <w:p>
            <w:pPr>
              <w:jc w:val="right"/>
            </w:pPr>
            <w:r>
              <w:t>1.26</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8</w:t>
            </w:r>
          </w:p>
        </w:tc>
        <w:tc>
          <w:tcPr>
            <w:vAlign w:val="center"/>
          </w:tcPr>
          <w:p>
            <w:pPr>
              <w:jc w:val="right"/>
            </w:pPr>
            <w:r>
              <w:t>6.38</w:t>
            </w:r>
          </w:p>
        </w:tc>
        <w:tc>
          <w:tcPr>
            <w:vAlign w:val="center"/>
          </w:tcPr>
          <w:p>
            <w:pPr>
              <w:jc w:val="right"/>
            </w:pPr>
            <w:r>
              <w:t>0.00</w:t>
            </w:r>
          </w:p>
        </w:tc>
        <w:tc>
          <w:tcPr>
            <w:vAlign w:val="center"/>
          </w:tcPr>
          <w:p>
            <w:pPr>
              <w:jc w:val="right"/>
            </w:pPr>
            <w:r>
              <w:t>0.07</w:t>
            </w:r>
          </w:p>
        </w:tc>
        <w:tc>
          <w:tcPr>
            <w:vAlign w:val="center"/>
          </w:tcPr>
          <w:p>
            <w:pPr>
              <w:jc w:val="right"/>
            </w:pPr>
            <w:r>
              <w:t>1.21</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9</w:t>
            </w:r>
          </w:p>
        </w:tc>
        <w:tc>
          <w:tcPr>
            <w:vAlign w:val="center"/>
          </w:tcPr>
          <w:p>
            <w:pPr>
              <w:jc w:val="right"/>
            </w:pPr>
            <w:r>
              <w:t>5.09</w:t>
            </w:r>
          </w:p>
        </w:tc>
        <w:tc>
          <w:tcPr>
            <w:vAlign w:val="center"/>
          </w:tcPr>
          <w:p>
            <w:pPr>
              <w:jc w:val="right"/>
            </w:pPr>
            <w:r>
              <w:t>0.00</w:t>
            </w:r>
          </w:p>
        </w:tc>
        <w:tc>
          <w:tcPr>
            <w:vAlign w:val="center"/>
          </w:tcPr>
          <w:p>
            <w:pPr>
              <w:jc w:val="right"/>
            </w:pPr>
            <w:r>
              <w:t>0.05</w:t>
            </w:r>
          </w:p>
        </w:tc>
        <w:tc>
          <w:tcPr>
            <w:vAlign w:val="center"/>
          </w:tcPr>
          <w:p>
            <w:pPr>
              <w:jc w:val="right"/>
            </w:pPr>
            <w:r>
              <w:t>1.10</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10</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1.10</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11</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1.15</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12</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1.21</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合计</w:t>
            </w:r>
          </w:p>
        </w:tc>
        <w:tc>
          <w:tcPr>
            <w:vAlign w:val="center"/>
          </w:tcPr>
          <w:p>
            <w:pPr>
              <w:jc w:val="right"/>
            </w:pPr>
            <w:r>
              <w:t>25.87</w:t>
            </w:r>
          </w:p>
        </w:tc>
        <w:tc>
          <w:tcPr>
            <w:vAlign w:val="center"/>
          </w:tcPr>
          <w:p>
            <w:pPr>
              <w:jc w:val="right"/>
            </w:pPr>
            <w:r>
              <w:t>0.00</w:t>
            </w:r>
          </w:p>
        </w:tc>
        <w:tc>
          <w:tcPr>
            <w:vAlign w:val="center"/>
          </w:tcPr>
          <w:p>
            <w:pPr>
              <w:jc w:val="right"/>
            </w:pPr>
            <w:r>
              <w:t>0.26</w:t>
            </w:r>
          </w:p>
        </w:tc>
        <w:tc>
          <w:tcPr>
            <w:vAlign w:val="center"/>
          </w:tcPr>
          <w:p>
            <w:pPr>
              <w:jc w:val="right"/>
            </w:pPr>
            <w:r>
              <w:t>13.70</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pStyle w:val="2"/>
        <w:widowControl w:val="0"/>
        <w:jc w:val="both"/>
        <w:rPr>
          <w:color w:val="000000"/>
        </w:rPr>
      </w:pPr>
      <w:bookmarkStart w:id="72" w:name="_Toc28071"/>
      <w:r>
        <w:rPr>
          <w:color w:val="000000"/>
        </w:rPr>
        <w:t>计算结果</w:t>
      </w:r>
      <w:bookmarkEnd w:id="72"/>
    </w:p>
    <w:tbl>
      <w:tblPr>
        <w:tblStyle w:val="19"/>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61"/>
        <w:gridCol w:w="1637"/>
        <w:gridCol w:w="1637"/>
        <w:gridCol w:w="179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pPr>
              <w:ind w:firstLine="0" w:firstLineChars="0"/>
              <w:jc w:val="center"/>
              <w:rPr>
                <w:lang w:val="en-US"/>
              </w:rPr>
            </w:pPr>
            <w:r>
              <w:rPr>
                <w:rFonts w:hint="eastAsia"/>
                <w:lang w:val="en-US"/>
              </w:rPr>
              <w:t>能耗分类</w:t>
            </w:r>
          </w:p>
        </w:tc>
        <w:tc>
          <w:tcPr>
            <w:tcW w:w="1479" w:type="pct"/>
            <w:shd w:val="clear" w:color="auto" w:fill="E0E0E0"/>
            <w:vAlign w:val="center"/>
          </w:tcPr>
          <w:p>
            <w:pPr>
              <w:ind w:firstLine="0" w:firstLineChars="0"/>
              <w:jc w:val="center"/>
              <w:rPr>
                <w:lang w:val="en-US"/>
              </w:rPr>
            </w:pPr>
            <w:r>
              <w:rPr>
                <w:rFonts w:hint="eastAsia"/>
                <w:lang w:val="en-US"/>
              </w:rPr>
              <w:t>能耗子类</w:t>
            </w:r>
          </w:p>
        </w:tc>
        <w:tc>
          <w:tcPr>
            <w:tcW w:w="877" w:type="pct"/>
            <w:shd w:val="clear" w:color="auto" w:fill="E0E0E0"/>
            <w:vAlign w:val="center"/>
          </w:tcPr>
          <w:p>
            <w:pPr>
              <w:ind w:firstLine="0" w:firstLineChars="0"/>
              <w:jc w:val="center"/>
              <w:rPr>
                <w:lang w:val="en-US"/>
              </w:rPr>
            </w:pPr>
            <w:r>
              <w:rPr>
                <w:rFonts w:hint="eastAsia"/>
                <w:lang w:val="en-US"/>
              </w:rPr>
              <w:t>设计建筑</w:t>
            </w:r>
          </w:p>
          <w:p>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pPr>
              <w:ind w:firstLine="0" w:firstLineChars="0"/>
              <w:jc w:val="center"/>
              <w:rPr>
                <w:lang w:val="en-US"/>
              </w:rPr>
            </w:pPr>
            <w:r>
              <w:rPr>
                <w:rFonts w:hint="eastAsia"/>
                <w:lang w:val="en-US"/>
              </w:rPr>
              <w:t>参照建筑</w:t>
            </w:r>
          </w:p>
          <w:p>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pPr>
              <w:ind w:firstLine="0" w:firstLineChars="0"/>
              <w:jc w:val="center"/>
              <w:rPr>
                <w:lang w:val="en-US"/>
              </w:rPr>
            </w:pPr>
            <w:r>
              <w:rPr>
                <w:rFonts w:hint="eastAsia"/>
                <w:lang w:val="en-US"/>
              </w:rPr>
              <w:t>节能率</w:t>
            </w:r>
          </w:p>
          <w:p>
            <w:pPr>
              <w:ind w:firstLine="0" w:firstLineChars="0"/>
              <w:jc w:val="center"/>
              <w:rPr>
                <w:lang w:val="en-US"/>
              </w:rPr>
            </w:pP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建筑负荷</w:t>
            </w:r>
          </w:p>
        </w:tc>
        <w:tc>
          <w:tcPr>
            <w:tcW w:w="1479" w:type="pct"/>
            <w:shd w:val="clear" w:color="auto" w:fill="E0E0E0"/>
            <w:vAlign w:val="center"/>
          </w:tcPr>
          <w:p>
            <w:pPr>
              <w:ind w:firstLine="0" w:firstLineChars="0"/>
              <w:jc w:val="center"/>
              <w:rPr>
                <w:lang w:val="en-US"/>
              </w:rPr>
            </w:pPr>
            <w:r>
              <w:rPr>
                <w:rFonts w:hint="eastAsia"/>
                <w:lang w:val="en-US"/>
              </w:rPr>
              <w:t>耗冷量</w:t>
            </w:r>
          </w:p>
        </w:tc>
        <w:tc>
          <w:tcPr>
            <w:tcW w:w="877" w:type="pct"/>
            <w:vAlign w:val="center"/>
          </w:tcPr>
          <w:p>
            <w:pPr>
              <w:ind w:firstLine="0" w:firstLineChars="0"/>
              <w:jc w:val="center"/>
              <w:rPr>
                <w:lang w:val="en-US"/>
              </w:rPr>
            </w:pPr>
            <w:r>
              <w:rPr>
                <w:rFonts w:hint="eastAsia"/>
                <w:lang w:val="en-US"/>
              </w:rPr>
              <w:t>51.65</w:t>
            </w:r>
            <w:bookmarkEnd w:id="2"/>
          </w:p>
          <w:bookmarkEnd w:id="3"/>
        </w:tc>
        <w:tc>
          <w:tcPr>
            <w:tcW w:w="877" w:type="pct"/>
            <w:vMerge w:val="restart"/>
            <w:vAlign w:val="center"/>
          </w:tcPr>
          <w:p>
            <w:pPr>
              <w:ind w:firstLine="0" w:firstLineChars="0"/>
              <w:jc w:val="center"/>
              <w:rPr>
                <w:lang w:val="en-US"/>
              </w:rPr>
            </w:pPr>
            <w:r>
              <w:rPr>
                <w:rFonts w:hint="eastAsia"/>
                <w:kern w:val="2"/>
                <w:szCs w:val="24"/>
                <w:lang w:val="en-US"/>
              </w:rPr>
              <w:t>－</w:t>
            </w:r>
          </w:p>
        </w:tc>
        <w:tc>
          <w:tcPr>
            <w:tcW w:w="960" w:type="pct"/>
            <w:vMerge w:val="restart"/>
            <w:vAlign w:val="center"/>
          </w:tcPr>
          <w:p>
            <w:pPr>
              <w:ind w:firstLine="0" w:firstLineChars="0"/>
              <w:jc w:val="center"/>
              <w:rPr>
                <w:lang w:val="en-US"/>
              </w:rPr>
            </w:pPr>
            <w:r>
              <w:rPr>
                <w:rFonts w:hint="eastAsia"/>
                <w:kern w:val="2"/>
                <w:szCs w:val="24"/>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E0E0E0"/>
            <w:vAlign w:val="center"/>
          </w:tcPr>
          <w:p>
            <w:pPr>
              <w:ind w:firstLine="0" w:firstLineChars="0"/>
              <w:jc w:val="center"/>
              <w:rPr>
                <w:lang w:val="en-US"/>
              </w:rPr>
            </w:pPr>
            <w:r>
              <w:rPr>
                <w:rFonts w:hint="eastAsia"/>
                <w:lang w:val="en-US"/>
              </w:rPr>
              <w:t>耗热量</w:t>
            </w:r>
          </w:p>
        </w:tc>
        <w:tc>
          <w:tcPr>
            <w:tcW w:w="877" w:type="pct"/>
            <w:vAlign w:val="center"/>
          </w:tcPr>
          <w:p>
            <w:pPr>
              <w:ind w:firstLine="0" w:firstLineChars="0"/>
              <w:jc w:val="center"/>
              <w:rPr>
                <w:lang w:val="en-US"/>
              </w:rPr>
            </w:pPr>
            <w:r>
              <w:rPr>
                <w:rFonts w:hint="eastAsia"/>
                <w:lang w:val="en-US"/>
              </w:rPr>
              <w:t>0.00</w:t>
            </w:r>
            <w:bookmarkEnd w:id="4"/>
          </w:p>
        </w:tc>
        <w:tc>
          <w:tcPr>
            <w:tcW w:w="877" w:type="pct"/>
            <w:vMerge w:val="continue"/>
            <w:vAlign w:val="center"/>
          </w:tcPr>
          <w:p>
            <w:pPr>
              <w:ind w:firstLine="0" w:firstLineChars="0"/>
              <w:jc w:val="center"/>
              <w:rPr>
                <w:lang w:val="en-US"/>
              </w:rPr>
            </w:pPr>
          </w:p>
        </w:tc>
        <w:tc>
          <w:tcPr>
            <w:tcW w:w="960" w:type="pct"/>
            <w:vMerge w:val="continue"/>
            <w:vAlign w:val="center"/>
          </w:tcPr>
          <w:p>
            <w:pPr>
              <w:ind w:firstLine="42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E0E0E0"/>
            <w:vAlign w:val="center"/>
          </w:tcPr>
          <w:p>
            <w:pPr>
              <w:ind w:firstLine="0" w:firstLineChars="0"/>
              <w:jc w:val="center"/>
              <w:rPr>
                <w:lang w:val="en-US"/>
              </w:rPr>
            </w:pPr>
            <w:r>
              <w:rPr>
                <w:rFonts w:hint="eastAsia"/>
                <w:lang w:val="en-US"/>
              </w:rPr>
              <w:t>冷热合计</w:t>
            </w:r>
          </w:p>
        </w:tc>
        <w:tc>
          <w:tcPr>
            <w:tcW w:w="877" w:type="pct"/>
            <w:vAlign w:val="center"/>
          </w:tcPr>
          <w:p>
            <w:pPr>
              <w:ind w:firstLine="0" w:firstLineChars="0"/>
              <w:jc w:val="center"/>
              <w:rPr>
                <w:lang w:val="en-US"/>
              </w:rPr>
            </w:pPr>
            <w:r>
              <w:rPr>
                <w:rFonts w:hint="eastAsia"/>
                <w:lang w:val="en-US"/>
              </w:rPr>
              <w:t>51.65</w:t>
            </w:r>
            <w:bookmarkEnd w:id="5"/>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热回收</w:t>
            </w:r>
            <w:r>
              <w:rPr>
                <w:lang w:val="en-US"/>
              </w:rPr>
              <w:t>负荷</w:t>
            </w:r>
          </w:p>
        </w:tc>
        <w:tc>
          <w:tcPr>
            <w:tcW w:w="1479" w:type="pct"/>
            <w:shd w:val="clear" w:color="auto" w:fill="FFFFFF"/>
            <w:vAlign w:val="center"/>
          </w:tcPr>
          <w:p>
            <w:pPr>
              <w:ind w:firstLine="0" w:firstLineChars="0"/>
              <w:jc w:val="center"/>
              <w:rPr>
                <w:lang w:val="en-US"/>
              </w:rPr>
            </w:pPr>
            <w:r>
              <w:rPr>
                <w:rFonts w:hint="eastAsia"/>
                <w:lang w:val="en-US"/>
              </w:rPr>
              <w:t>供冷</w:t>
            </w:r>
          </w:p>
        </w:tc>
        <w:tc>
          <w:tcPr>
            <w:tcW w:w="877" w:type="pct"/>
            <w:vAlign w:val="center"/>
          </w:tcPr>
          <w:p>
            <w:pPr>
              <w:ind w:firstLine="0" w:firstLineChars="0"/>
              <w:jc w:val="center"/>
              <w:rPr>
                <w:lang w:val="en-US"/>
              </w:rPr>
            </w:pPr>
            <w:r>
              <w:rPr>
                <w:rFonts w:hint="eastAsia"/>
                <w:lang w:val="en-US"/>
              </w:rPr>
              <w:t>1.30</w:t>
            </w:r>
            <w:bookmarkEnd w:id="6"/>
          </w:p>
        </w:tc>
        <w:tc>
          <w:tcPr>
            <w:tcW w:w="877" w:type="pct"/>
            <w:vMerge w:val="restart"/>
            <w:vAlign w:val="center"/>
          </w:tcPr>
          <w:p>
            <w:pPr>
              <w:ind w:firstLine="0" w:firstLineChars="0"/>
              <w:jc w:val="center"/>
              <w:rPr>
                <w:lang w:val="en-US"/>
              </w:rPr>
            </w:pPr>
            <w:r>
              <w:rPr>
                <w:rFonts w:hint="eastAsia"/>
                <w:kern w:val="2"/>
                <w:szCs w:val="24"/>
                <w:lang w:val="en-US"/>
              </w:rPr>
              <w:t>－</w:t>
            </w:r>
          </w:p>
        </w:tc>
        <w:tc>
          <w:tcPr>
            <w:tcW w:w="960" w:type="pct"/>
            <w:vMerge w:val="restart"/>
            <w:vAlign w:val="center"/>
          </w:tcPr>
          <w:p>
            <w:pPr>
              <w:ind w:firstLine="0" w:firstLineChars="0"/>
              <w:jc w:val="center"/>
              <w:rPr>
                <w:kern w:val="2"/>
                <w:szCs w:val="24"/>
                <w:lang w:val="en-US"/>
              </w:rPr>
            </w:pPr>
            <w:r>
              <w:rPr>
                <w:rFonts w:hint="eastAsia"/>
                <w:kern w:val="2"/>
                <w:szCs w:val="24"/>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FFFFFF"/>
            <w:vAlign w:val="center"/>
          </w:tcPr>
          <w:p>
            <w:pPr>
              <w:ind w:firstLine="0" w:firstLineChars="0"/>
              <w:jc w:val="center"/>
              <w:rPr>
                <w:lang w:val="en-US"/>
              </w:rPr>
            </w:pPr>
            <w:r>
              <w:rPr>
                <w:rFonts w:hint="eastAsia"/>
                <w:lang w:val="en-US"/>
              </w:rPr>
              <w:t>供暖</w:t>
            </w:r>
          </w:p>
        </w:tc>
        <w:tc>
          <w:tcPr>
            <w:tcW w:w="877" w:type="pct"/>
            <w:vAlign w:val="center"/>
          </w:tcPr>
          <w:p>
            <w:pPr>
              <w:ind w:firstLine="0" w:firstLineChars="0"/>
              <w:jc w:val="center"/>
              <w:rPr>
                <w:lang w:val="en-US"/>
              </w:rPr>
            </w:pPr>
            <w:r>
              <w:rPr>
                <w:rFonts w:hint="eastAsia"/>
                <w:lang w:val="en-US"/>
              </w:rPr>
              <w:t>0.00</w:t>
            </w:r>
            <w:bookmarkEnd w:id="7"/>
          </w:p>
        </w:tc>
        <w:tc>
          <w:tcPr>
            <w:tcW w:w="877" w:type="pct"/>
            <w:vMerge w:val="continue"/>
            <w:vAlign w:val="center"/>
          </w:tcPr>
          <w:p>
            <w:pPr>
              <w:ind w:firstLine="420"/>
              <w:jc w:val="center"/>
              <w:rPr>
                <w:lang w:val="en-US"/>
              </w:rPr>
            </w:pPr>
          </w:p>
        </w:tc>
        <w:tc>
          <w:tcPr>
            <w:tcW w:w="960" w:type="pct"/>
            <w:vMerge w:val="continue"/>
            <w:vAlign w:val="center"/>
          </w:tcPr>
          <w:p>
            <w:pPr>
              <w:ind w:firstLine="0" w:firstLineChars="0"/>
              <w:jc w:val="center"/>
              <w:rPr>
                <w:kern w:val="2"/>
                <w:szCs w:val="24"/>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E0E0E0"/>
            <w:vAlign w:val="center"/>
          </w:tcPr>
          <w:p>
            <w:pPr>
              <w:ind w:firstLine="0" w:firstLineChars="0"/>
              <w:jc w:val="center"/>
              <w:rPr>
                <w:lang w:val="en-US"/>
              </w:rPr>
            </w:pPr>
            <w:r>
              <w:rPr>
                <w:rFonts w:hint="eastAsia"/>
                <w:lang w:val="en-US"/>
              </w:rPr>
              <w:t>冷热合计</w:t>
            </w:r>
          </w:p>
        </w:tc>
        <w:tc>
          <w:tcPr>
            <w:tcW w:w="877" w:type="pct"/>
            <w:vAlign w:val="center"/>
          </w:tcPr>
          <w:p>
            <w:pPr>
              <w:ind w:firstLine="0" w:firstLineChars="0"/>
              <w:jc w:val="center"/>
              <w:rPr>
                <w:lang w:val="en-US"/>
              </w:rPr>
            </w:pPr>
            <w:r>
              <w:rPr>
                <w:rFonts w:hint="eastAsia"/>
                <w:lang w:val="en-US"/>
              </w:rPr>
              <w:t>1.30</w:t>
            </w:r>
            <w:bookmarkEnd w:id="8"/>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kern w:val="2"/>
                <w:szCs w:val="24"/>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供冷电耗</w:t>
            </w:r>
          </w:p>
        </w:tc>
        <w:tc>
          <w:tcPr>
            <w:tcW w:w="1479" w:type="pct"/>
            <w:vAlign w:val="center"/>
          </w:tcPr>
          <w:p>
            <w:pPr>
              <w:ind w:firstLine="0" w:firstLineChars="0"/>
              <w:jc w:val="center"/>
              <w:rPr>
                <w:lang w:val="en-US"/>
              </w:rPr>
            </w:pPr>
            <w:r>
              <w:rPr>
                <w:rFonts w:hint="eastAsia"/>
                <w:lang w:val="en-US"/>
              </w:rPr>
              <w:t>中央冷源</w:t>
            </w:r>
          </w:p>
        </w:tc>
        <w:tc>
          <w:tcPr>
            <w:tcW w:w="877" w:type="pct"/>
            <w:vAlign w:val="center"/>
          </w:tcPr>
          <w:p>
            <w:pPr>
              <w:ind w:firstLine="0" w:firstLineChars="0"/>
              <w:jc w:val="center"/>
              <w:rPr>
                <w:lang w:val="en-US"/>
              </w:rPr>
            </w:pPr>
            <w:r>
              <w:rPr>
                <w:lang w:val="en-US"/>
              </w:rPr>
              <w:t>12.85</w:t>
            </w:r>
            <w:bookmarkEnd w:id="9"/>
          </w:p>
        </w:tc>
        <w:tc>
          <w:tcPr>
            <w:tcW w:w="877" w:type="pct"/>
            <w:vMerge w:val="restart"/>
            <w:vAlign w:val="center"/>
          </w:tcPr>
          <w:p>
            <w:pPr>
              <w:ind w:firstLine="0" w:firstLineChars="0"/>
              <w:jc w:val="center"/>
              <w:rPr>
                <w:lang w:val="en-US"/>
              </w:rPr>
            </w:pPr>
            <w:r>
              <w:rPr>
                <w:rFonts w:hint="eastAsia"/>
                <w:kern w:val="2"/>
                <w:szCs w:val="24"/>
                <w:lang w:val="en-US"/>
              </w:rPr>
              <w:t>－</w:t>
            </w:r>
            <w:bookmarkEnd w:id="10"/>
          </w:p>
        </w:tc>
        <w:tc>
          <w:tcPr>
            <w:tcW w:w="960" w:type="pct"/>
            <w:vMerge w:val="restart"/>
            <w:vAlign w:val="center"/>
          </w:tcPr>
          <w:p>
            <w:pPr>
              <w:ind w:firstLine="0" w:firstLineChars="0"/>
              <w:jc w:val="center"/>
              <w:rPr>
                <w:lang w:val="en-US"/>
              </w:rPr>
            </w:pPr>
            <w:r>
              <w:rPr>
                <w:rFonts w:hint="eastAsia"/>
                <w:kern w:val="2"/>
                <w:szCs w:val="24"/>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冷却水泵</w:t>
            </w:r>
          </w:p>
        </w:tc>
        <w:tc>
          <w:tcPr>
            <w:tcW w:w="877" w:type="pct"/>
            <w:vAlign w:val="center"/>
          </w:tcPr>
          <w:p>
            <w:pPr>
              <w:ind w:firstLine="0" w:firstLineChars="0"/>
              <w:jc w:val="center"/>
              <w:rPr>
                <w:lang w:val="en-US"/>
              </w:rPr>
            </w:pPr>
            <w:r>
              <w:rPr>
                <w:lang w:val="en-US"/>
              </w:rPr>
              <w:t>5.21</w:t>
            </w:r>
            <w:bookmarkEnd w:id="11"/>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冷冻水泵</w:t>
            </w:r>
          </w:p>
        </w:tc>
        <w:tc>
          <w:tcPr>
            <w:tcW w:w="877" w:type="pct"/>
            <w:vAlign w:val="center"/>
          </w:tcPr>
          <w:p>
            <w:pPr>
              <w:ind w:firstLine="0" w:firstLineChars="0"/>
              <w:jc w:val="center"/>
              <w:rPr>
                <w:lang w:val="en-US"/>
              </w:rPr>
            </w:pPr>
            <w:r>
              <w:rPr>
                <w:lang w:val="en-US"/>
              </w:rPr>
              <w:t>6.22</w:t>
            </w:r>
            <w:bookmarkEnd w:id="12"/>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冷却</w:t>
            </w:r>
            <w:r>
              <w:rPr>
                <w:lang w:val="en-US"/>
              </w:rPr>
              <w:t>塔</w:t>
            </w:r>
          </w:p>
        </w:tc>
        <w:tc>
          <w:tcPr>
            <w:tcW w:w="877" w:type="pct"/>
            <w:vAlign w:val="center"/>
          </w:tcPr>
          <w:p>
            <w:pPr>
              <w:ind w:firstLine="0" w:firstLineChars="0"/>
              <w:jc w:val="center"/>
              <w:rPr>
                <w:lang w:val="en-US"/>
              </w:rPr>
            </w:pPr>
            <w:r>
              <w:rPr>
                <w:rFonts w:hint="eastAsia"/>
                <w:lang w:val="en-US"/>
              </w:rPr>
              <w:t>1.60</w:t>
            </w:r>
            <w:bookmarkEnd w:id="13"/>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多联机/单元式空调</w:t>
            </w:r>
          </w:p>
        </w:tc>
        <w:tc>
          <w:tcPr>
            <w:tcW w:w="877" w:type="pct"/>
            <w:vAlign w:val="center"/>
          </w:tcPr>
          <w:p>
            <w:pPr>
              <w:ind w:firstLine="0" w:firstLineChars="0"/>
              <w:jc w:val="center"/>
              <w:rPr>
                <w:lang w:val="en-US"/>
              </w:rPr>
            </w:pPr>
            <w:r>
              <w:rPr>
                <w:lang w:val="en-US"/>
              </w:rPr>
              <w:t>0.00</w:t>
            </w:r>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E0E0E0"/>
            <w:vAlign w:val="center"/>
          </w:tcPr>
          <w:p>
            <w:pPr>
              <w:ind w:firstLine="0" w:firstLineChars="0"/>
              <w:jc w:val="center"/>
              <w:rPr>
                <w:lang w:val="en-US"/>
              </w:rPr>
            </w:pPr>
            <w:r>
              <w:rPr>
                <w:rFonts w:hint="eastAsia"/>
                <w:lang w:val="en-US"/>
              </w:rPr>
              <w:t>供冷合计</w:t>
            </w:r>
          </w:p>
        </w:tc>
        <w:tc>
          <w:tcPr>
            <w:tcW w:w="877" w:type="pct"/>
            <w:vAlign w:val="center"/>
          </w:tcPr>
          <w:p>
            <w:pPr>
              <w:ind w:firstLine="0" w:firstLineChars="0"/>
              <w:jc w:val="center"/>
              <w:rPr>
                <w:lang w:val="en-US"/>
              </w:rPr>
            </w:pPr>
            <w:r>
              <w:rPr>
                <w:lang w:val="en-US"/>
              </w:rPr>
              <w:t>25.87</w:t>
            </w:r>
            <w:bookmarkEnd w:id="15"/>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供暖电耗</w:t>
            </w:r>
          </w:p>
        </w:tc>
        <w:tc>
          <w:tcPr>
            <w:tcW w:w="1479" w:type="pct"/>
            <w:shd w:val="clear" w:color="auto" w:fill="auto"/>
            <w:vAlign w:val="center"/>
          </w:tcPr>
          <w:p>
            <w:pPr>
              <w:ind w:firstLine="0" w:firstLineChars="0"/>
              <w:jc w:val="center"/>
              <w:rPr>
                <w:lang w:val="en-US"/>
              </w:rPr>
            </w:pPr>
            <w:r>
              <w:rPr>
                <w:rFonts w:hint="eastAsia"/>
                <w:lang w:val="en-US"/>
              </w:rPr>
              <w:t>中央热源</w:t>
            </w:r>
          </w:p>
        </w:tc>
        <w:tc>
          <w:tcPr>
            <w:tcW w:w="877" w:type="pct"/>
            <w:vAlign w:val="center"/>
          </w:tcPr>
          <w:p>
            <w:pPr>
              <w:ind w:firstLine="0" w:firstLineChars="0"/>
              <w:jc w:val="center"/>
              <w:rPr>
                <w:lang w:val="en-US"/>
              </w:rPr>
            </w:pPr>
            <w:r>
              <w:rPr>
                <w:lang w:val="en-US"/>
              </w:rPr>
              <w:t>0.00</w:t>
            </w:r>
            <w:bookmarkEnd w:id="16"/>
          </w:p>
        </w:tc>
        <w:tc>
          <w:tcPr>
            <w:tcW w:w="877" w:type="pct"/>
            <w:vMerge w:val="restart"/>
            <w:vAlign w:val="center"/>
          </w:tcPr>
          <w:p>
            <w:pPr>
              <w:ind w:firstLine="0" w:firstLineChars="0"/>
              <w:jc w:val="center"/>
              <w:rPr>
                <w:lang w:val="en-US"/>
              </w:rPr>
            </w:pPr>
            <w:r>
              <w:rPr>
                <w:rFonts w:hint="eastAsia"/>
                <w:kern w:val="2"/>
                <w:szCs w:val="24"/>
                <w:lang w:val="en-US"/>
              </w:rPr>
              <w:t>－</w:t>
            </w:r>
            <w:bookmarkEnd w:id="17"/>
          </w:p>
        </w:tc>
        <w:tc>
          <w:tcPr>
            <w:tcW w:w="960" w:type="pct"/>
            <w:vMerge w:val="restart"/>
            <w:vAlign w:val="center"/>
          </w:tcPr>
          <w:p>
            <w:pPr>
              <w:ind w:firstLine="0" w:firstLineChars="0"/>
              <w:jc w:val="center"/>
              <w:rPr>
                <w:lang w:val="en-US"/>
              </w:rPr>
            </w:pPr>
            <w:r>
              <w:rPr>
                <w:rFonts w:hint="eastAsia"/>
                <w:kern w:val="2"/>
                <w:szCs w:val="24"/>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auto"/>
            <w:vAlign w:val="center"/>
          </w:tcPr>
          <w:p>
            <w:pPr>
              <w:ind w:firstLine="0" w:firstLineChars="0"/>
              <w:jc w:val="center"/>
              <w:rPr>
                <w:lang w:val="en-US"/>
              </w:rPr>
            </w:pPr>
            <w:r>
              <w:rPr>
                <w:rFonts w:hint="eastAsia"/>
                <w:lang w:val="en-US"/>
              </w:rPr>
              <w:t>供暖水泵</w:t>
            </w:r>
          </w:p>
        </w:tc>
        <w:tc>
          <w:tcPr>
            <w:tcW w:w="877" w:type="pct"/>
            <w:vAlign w:val="center"/>
          </w:tcPr>
          <w:p>
            <w:pPr>
              <w:ind w:firstLine="0" w:firstLineChars="0"/>
              <w:jc w:val="center"/>
              <w:rPr>
                <w:lang w:val="en-US"/>
              </w:rPr>
            </w:pPr>
            <w:r>
              <w:rPr>
                <w:lang w:val="en-US"/>
              </w:rPr>
              <w:t>0.00</w:t>
            </w:r>
            <w:bookmarkEnd w:id="18"/>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auto"/>
            <w:vAlign w:val="center"/>
          </w:tcPr>
          <w:p>
            <w:pPr>
              <w:ind w:firstLine="0" w:firstLineChars="0"/>
              <w:jc w:val="center"/>
              <w:rPr>
                <w:lang w:val="en-US"/>
              </w:rPr>
            </w:pPr>
            <w:r>
              <w:rPr>
                <w:rFonts w:hint="eastAsia"/>
                <w:lang w:val="en-US"/>
              </w:rPr>
              <w:t>热源侧</w:t>
            </w:r>
            <w:r>
              <w:rPr>
                <w:lang w:val="en-US"/>
              </w:rPr>
              <w:t>水泵</w:t>
            </w:r>
          </w:p>
        </w:tc>
        <w:tc>
          <w:tcPr>
            <w:tcW w:w="877" w:type="pct"/>
            <w:vAlign w:val="center"/>
          </w:tcPr>
          <w:p>
            <w:pPr>
              <w:ind w:firstLine="0" w:firstLineChars="0"/>
              <w:jc w:val="center"/>
              <w:rPr>
                <w:lang w:val="en-US"/>
              </w:rPr>
            </w:pPr>
            <w:r>
              <w:rPr>
                <w:rFonts w:hint="eastAsia"/>
                <w:lang w:val="en-US"/>
              </w:rPr>
              <w:t>0.00</w:t>
            </w:r>
            <w:bookmarkEnd w:id="19"/>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auto"/>
            <w:vAlign w:val="center"/>
          </w:tcPr>
          <w:p>
            <w:pPr>
              <w:ind w:firstLine="0" w:firstLineChars="0"/>
              <w:jc w:val="center"/>
              <w:rPr>
                <w:lang w:val="en-US"/>
              </w:rPr>
            </w:pPr>
            <w:r>
              <w:rPr>
                <w:rFonts w:hint="eastAsia"/>
                <w:lang w:val="en-US"/>
              </w:rPr>
              <w:t>多联机/单元式热泵</w:t>
            </w:r>
            <w:r>
              <w:rPr>
                <w:lang w:val="en-US"/>
              </w:rPr>
              <w:t>/</w:t>
            </w:r>
            <w:r>
              <w:rPr>
                <w:rFonts w:hint="eastAsia"/>
                <w:lang w:val="en-US"/>
              </w:rPr>
              <w:t>壁挂炉</w:t>
            </w:r>
          </w:p>
        </w:tc>
        <w:tc>
          <w:tcPr>
            <w:tcW w:w="877" w:type="pct"/>
            <w:vAlign w:val="center"/>
          </w:tcPr>
          <w:p>
            <w:pPr>
              <w:ind w:firstLine="0" w:firstLineChars="0"/>
              <w:jc w:val="center"/>
              <w:rPr>
                <w:lang w:val="en-US"/>
              </w:rPr>
            </w:pPr>
            <w:r>
              <w:rPr>
                <w:lang w:val="en-US"/>
              </w:rPr>
              <w:t>0.00</w:t>
            </w:r>
            <w:bookmarkEnd w:id="20"/>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E0E0E0"/>
            <w:vAlign w:val="center"/>
          </w:tcPr>
          <w:p>
            <w:pPr>
              <w:ind w:firstLine="0" w:firstLineChars="0"/>
              <w:jc w:val="center"/>
              <w:rPr>
                <w:lang w:val="en-US"/>
              </w:rPr>
            </w:pPr>
            <w:r>
              <w:rPr>
                <w:rFonts w:hint="eastAsia"/>
                <w:lang w:val="en-US"/>
              </w:rPr>
              <w:t>供暖合计</w:t>
            </w:r>
          </w:p>
        </w:tc>
        <w:tc>
          <w:tcPr>
            <w:tcW w:w="877" w:type="pct"/>
            <w:vAlign w:val="center"/>
          </w:tcPr>
          <w:p>
            <w:pPr>
              <w:ind w:firstLine="0" w:firstLineChars="0"/>
              <w:jc w:val="center"/>
              <w:rPr>
                <w:lang w:val="en-US"/>
              </w:rPr>
            </w:pPr>
            <w:r>
              <w:rPr>
                <w:lang w:val="en-US"/>
              </w:rPr>
              <w:t>0.00</w:t>
            </w:r>
            <w:bookmarkEnd w:id="21"/>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空调风机</w:t>
            </w:r>
            <w:r>
              <w:rPr>
                <w:lang w:val="en-US"/>
              </w:rPr>
              <w:t>电耗</w:t>
            </w:r>
          </w:p>
        </w:tc>
        <w:tc>
          <w:tcPr>
            <w:tcW w:w="1479" w:type="pct"/>
            <w:shd w:val="clear" w:color="auto" w:fill="FFFFFF"/>
            <w:vAlign w:val="center"/>
          </w:tcPr>
          <w:p>
            <w:pPr>
              <w:ind w:firstLine="0" w:firstLineChars="0"/>
              <w:jc w:val="center"/>
              <w:rPr>
                <w:lang w:val="en-US"/>
              </w:rPr>
            </w:pPr>
            <w:r>
              <w:rPr>
                <w:rFonts w:hint="eastAsia"/>
                <w:lang w:val="en-US"/>
              </w:rPr>
              <w:t>独立新排风</w:t>
            </w:r>
          </w:p>
        </w:tc>
        <w:tc>
          <w:tcPr>
            <w:tcW w:w="877" w:type="pct"/>
            <w:vAlign w:val="center"/>
          </w:tcPr>
          <w:p>
            <w:pPr>
              <w:ind w:firstLine="0" w:firstLineChars="0"/>
              <w:jc w:val="center"/>
              <w:rPr>
                <w:lang w:val="en-US"/>
              </w:rPr>
            </w:pPr>
            <w:r>
              <w:rPr>
                <w:rFonts w:hint="eastAsia"/>
                <w:lang w:val="en-US"/>
              </w:rPr>
              <w:t>0.00</w:t>
            </w:r>
            <w:bookmarkEnd w:id="22"/>
          </w:p>
        </w:tc>
        <w:tc>
          <w:tcPr>
            <w:tcW w:w="877" w:type="pct"/>
            <w:vMerge w:val="restart"/>
            <w:vAlign w:val="center"/>
          </w:tcPr>
          <w:p>
            <w:pPr>
              <w:ind w:firstLine="0" w:firstLineChars="0"/>
              <w:jc w:val="center"/>
              <w:rPr>
                <w:lang w:val="en-US"/>
              </w:rPr>
            </w:pPr>
            <w:r>
              <w:rPr>
                <w:rFonts w:hint="eastAsia"/>
                <w:kern w:val="2"/>
                <w:szCs w:val="24"/>
                <w:lang w:val="en-US"/>
              </w:rPr>
              <w:t>－</w:t>
            </w:r>
          </w:p>
        </w:tc>
        <w:tc>
          <w:tcPr>
            <w:tcW w:w="960" w:type="pct"/>
            <w:vMerge w:val="restart"/>
            <w:vAlign w:val="center"/>
          </w:tcPr>
          <w:p>
            <w:pPr>
              <w:ind w:firstLine="0" w:firstLineChars="0"/>
              <w:jc w:val="center"/>
              <w:rPr>
                <w:lang w:val="en-US"/>
              </w:rPr>
            </w:pPr>
            <w:r>
              <w:rPr>
                <w:rFonts w:hint="eastAsia"/>
                <w:kern w:val="2"/>
                <w:szCs w:val="24"/>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FFFFFF"/>
            <w:vAlign w:val="center"/>
          </w:tcPr>
          <w:p>
            <w:pPr>
              <w:ind w:firstLine="0" w:firstLineChars="0"/>
              <w:jc w:val="center"/>
              <w:rPr>
                <w:lang w:val="en-US"/>
              </w:rPr>
            </w:pPr>
            <w:r>
              <w:rPr>
                <w:rFonts w:hint="eastAsia"/>
                <w:lang w:val="en-US"/>
              </w:rPr>
              <w:t>风机</w:t>
            </w:r>
            <w:r>
              <w:rPr>
                <w:lang w:val="en-US"/>
              </w:rPr>
              <w:t>盘管</w:t>
            </w:r>
          </w:p>
        </w:tc>
        <w:tc>
          <w:tcPr>
            <w:tcW w:w="877" w:type="pct"/>
            <w:vAlign w:val="center"/>
          </w:tcPr>
          <w:p>
            <w:pPr>
              <w:ind w:firstLine="0" w:firstLineChars="0"/>
              <w:jc w:val="center"/>
              <w:rPr>
                <w:lang w:val="en-US"/>
              </w:rPr>
            </w:pPr>
            <w:r>
              <w:rPr>
                <w:rFonts w:hint="eastAsia"/>
                <w:lang w:val="en-US"/>
              </w:rPr>
              <w:t>0.00</w:t>
            </w:r>
            <w:bookmarkEnd w:id="23"/>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FFFFFF"/>
            <w:vAlign w:val="center"/>
          </w:tcPr>
          <w:p>
            <w:pPr>
              <w:ind w:firstLine="0" w:firstLineChars="0"/>
              <w:jc w:val="center"/>
              <w:rPr>
                <w:lang w:val="en-US"/>
              </w:rPr>
            </w:pPr>
            <w:r>
              <w:rPr>
                <w:rFonts w:hint="eastAsia"/>
                <w:lang w:val="en-US"/>
              </w:rPr>
              <w:t>全空气系统</w:t>
            </w:r>
          </w:p>
        </w:tc>
        <w:tc>
          <w:tcPr>
            <w:tcW w:w="877" w:type="pct"/>
            <w:vAlign w:val="center"/>
          </w:tcPr>
          <w:p>
            <w:pPr>
              <w:ind w:firstLine="0" w:firstLineChars="0"/>
              <w:jc w:val="center"/>
              <w:rPr>
                <w:lang w:val="en-US"/>
              </w:rPr>
            </w:pPr>
            <w:r>
              <w:rPr>
                <w:rFonts w:hint="eastAsia"/>
                <w:lang w:val="en-US"/>
              </w:rPr>
              <w:t>0.26</w:t>
            </w:r>
            <w:bookmarkEnd w:id="24"/>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E0E0E0"/>
            <w:vAlign w:val="center"/>
          </w:tcPr>
          <w:p>
            <w:pPr>
              <w:ind w:firstLine="0" w:firstLineChars="0"/>
              <w:jc w:val="center"/>
              <w:rPr>
                <w:lang w:val="en-US"/>
              </w:rPr>
            </w:pPr>
            <w:r>
              <w:rPr>
                <w:rFonts w:hint="eastAsia"/>
                <w:lang w:val="en-US"/>
              </w:rPr>
              <w:t>风机</w:t>
            </w:r>
            <w:r>
              <w:rPr>
                <w:lang w:val="en-US"/>
              </w:rPr>
              <w:t>合计</w:t>
            </w:r>
          </w:p>
        </w:tc>
        <w:tc>
          <w:tcPr>
            <w:tcW w:w="877" w:type="pct"/>
            <w:vAlign w:val="center"/>
          </w:tcPr>
          <w:p>
            <w:pPr>
              <w:ind w:firstLine="0" w:firstLineChars="0"/>
              <w:jc w:val="center"/>
              <w:rPr>
                <w:lang w:val="en-US"/>
              </w:rPr>
            </w:pPr>
            <w:r>
              <w:rPr>
                <w:rFonts w:hint="eastAsia"/>
                <w:lang w:val="en-US"/>
              </w:rPr>
              <w:t>0.26</w:t>
            </w:r>
            <w:bookmarkEnd w:id="25"/>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pPr>
              <w:ind w:firstLine="0" w:firstLineChars="0"/>
              <w:jc w:val="center"/>
              <w:rPr>
                <w:lang w:val="en-US"/>
              </w:rPr>
            </w:pPr>
            <w:r>
              <w:rPr>
                <w:rFonts w:hint="eastAsia"/>
                <w:lang w:val="en-US"/>
              </w:rPr>
              <w:t>采暖</w:t>
            </w:r>
            <w:r>
              <w:rPr>
                <w:lang w:val="en-US"/>
              </w:rPr>
              <w:t>空调电耗</w:t>
            </w:r>
          </w:p>
        </w:tc>
        <w:tc>
          <w:tcPr>
            <w:tcW w:w="877" w:type="pct"/>
            <w:vAlign w:val="center"/>
          </w:tcPr>
          <w:p>
            <w:pPr>
              <w:ind w:firstLine="0" w:firstLineChars="0"/>
              <w:jc w:val="center"/>
              <w:rPr>
                <w:lang w:val="en-US"/>
              </w:rPr>
            </w:pPr>
            <w:r>
              <w:rPr>
                <w:rFonts w:hint="eastAsia"/>
                <w:lang w:val="en-US"/>
              </w:rPr>
              <w:t>26.13</w:t>
            </w:r>
            <w:bookmarkEnd w:id="26"/>
          </w:p>
        </w:tc>
        <w:tc>
          <w:tcPr>
            <w:tcW w:w="877" w:type="pct"/>
            <w:vMerge w:val="restart"/>
            <w:vAlign w:val="center"/>
          </w:tcPr>
          <w:p>
            <w:pPr>
              <w:ind w:firstLine="0" w:firstLineChars="0"/>
              <w:jc w:val="center"/>
              <w:rPr>
                <w:lang w:val="en-US"/>
              </w:rPr>
            </w:pPr>
            <w:r>
              <w:rPr>
                <w:rFonts w:hint="eastAsia"/>
                <w:kern w:val="2"/>
                <w:szCs w:val="24"/>
                <w:lang w:val="en-US"/>
              </w:rPr>
              <w:t>－</w:t>
            </w:r>
          </w:p>
        </w:tc>
        <w:tc>
          <w:tcPr>
            <w:tcW w:w="960" w:type="pct"/>
            <w:vMerge w:val="restart"/>
            <w:vAlign w:val="center"/>
          </w:tcPr>
          <w:p>
            <w:pPr>
              <w:ind w:firstLine="0" w:firstLineChars="0"/>
              <w:jc w:val="center"/>
              <w:rPr>
                <w:lang w:val="en-US"/>
              </w:rPr>
            </w:pPr>
            <w:r>
              <w:rPr>
                <w:rFonts w:hint="eastAsia"/>
                <w:kern w:val="2"/>
                <w:szCs w:val="24"/>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pPr>
              <w:ind w:firstLine="0" w:firstLineChars="0"/>
              <w:jc w:val="center"/>
              <w:rPr>
                <w:lang w:val="en-US"/>
              </w:rPr>
            </w:pPr>
            <w:r>
              <w:rPr>
                <w:rFonts w:hint="eastAsia"/>
                <w:lang w:val="en-US"/>
              </w:rPr>
              <w:t>照明</w:t>
            </w:r>
            <w:r>
              <w:rPr>
                <w:lang w:val="en-US"/>
              </w:rPr>
              <w:t>电耗</w:t>
            </w:r>
          </w:p>
        </w:tc>
        <w:tc>
          <w:tcPr>
            <w:tcW w:w="877" w:type="pct"/>
            <w:vAlign w:val="center"/>
          </w:tcPr>
          <w:p>
            <w:pPr>
              <w:ind w:firstLine="0" w:firstLineChars="0"/>
              <w:jc w:val="center"/>
              <w:rPr>
                <w:lang w:val="en-US"/>
              </w:rPr>
            </w:pPr>
            <w:r>
              <w:rPr>
                <w:rFonts w:hint="eastAsia"/>
                <w:lang w:val="en-US"/>
              </w:rPr>
              <w:t>13.70</w:t>
            </w:r>
            <w:bookmarkEnd w:id="27"/>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pPr>
              <w:ind w:firstLine="0" w:firstLineChars="0"/>
              <w:jc w:val="center"/>
              <w:rPr>
                <w:lang w:val="en-US"/>
              </w:rPr>
            </w:pPr>
            <w:r>
              <w:rPr>
                <w:rFonts w:hint="eastAsia"/>
                <w:lang w:val="en-US"/>
              </w:rPr>
              <w:t>建筑综合电耗</w:t>
            </w:r>
          </w:p>
        </w:tc>
        <w:tc>
          <w:tcPr>
            <w:tcW w:w="877" w:type="pct"/>
            <w:vAlign w:val="center"/>
          </w:tcPr>
          <w:p>
            <w:pPr>
              <w:ind w:firstLine="0" w:firstLineChars="0"/>
              <w:jc w:val="center"/>
              <w:rPr>
                <w:lang w:val="en-US"/>
              </w:rPr>
            </w:pPr>
            <w:r>
              <w:rPr>
                <w:rFonts w:hint="eastAsia"/>
                <w:lang w:val="en-US"/>
              </w:rPr>
              <w:t>39.83</w:t>
            </w:r>
            <w:bookmarkEnd w:id="28"/>
          </w:p>
        </w:tc>
        <w:tc>
          <w:tcPr>
            <w:tcW w:w="877" w:type="pct"/>
            <w:vAlign w:val="center"/>
          </w:tcPr>
          <w:p>
            <w:pPr>
              <w:ind w:firstLine="0" w:firstLineChars="0"/>
              <w:jc w:val="center"/>
              <w:rPr>
                <w:lang w:val="en-US"/>
              </w:rPr>
            </w:pPr>
            <w:r>
              <w:rPr>
                <w:rFonts w:hint="eastAsia"/>
                <w:lang w:val="en-US"/>
              </w:rPr>
              <w:t>34.00</w:t>
            </w:r>
            <w:bookmarkEnd w:id="29"/>
          </w:p>
        </w:tc>
        <w:tc>
          <w:tcPr>
            <w:tcW w:w="960" w:type="pct"/>
            <w:vAlign w:val="center"/>
          </w:tcPr>
          <w:p>
            <w:pPr>
              <w:ind w:firstLine="0" w:firstLineChars="0"/>
              <w:jc w:val="center"/>
              <w:rPr>
                <w:lang w:val="en-US"/>
              </w:rPr>
            </w:pPr>
            <w:r>
              <w:rPr>
                <w:rFonts w:hint="eastAsia"/>
                <w:lang w:val="en-US"/>
              </w:rPr>
              <w:t>-17.16%</w:t>
            </w:r>
            <w:bookmarkEnd w:id="30"/>
          </w:p>
        </w:tc>
      </w:tr>
    </w:tbl>
    <w:p/>
    <w:p>
      <w:pPr>
        <w:widowControl w:val="0"/>
        <w:jc w:val="both"/>
        <w:rPr>
          <w:color w:val="000000"/>
        </w:rPr>
      </w:pPr>
    </w:p>
    <w:p>
      <w:pPr>
        <w:pStyle w:val="2"/>
        <w:widowControl w:val="0"/>
        <w:jc w:val="both"/>
        <w:rPr>
          <w:color w:val="000000"/>
        </w:rPr>
      </w:pPr>
      <w:bookmarkStart w:id="73" w:name="_Toc18209"/>
      <w:r>
        <w:rPr>
          <w:color w:val="000000"/>
        </w:rPr>
        <w:t>绿色建筑性能评估得分</w:t>
      </w:r>
      <w:bookmarkEnd w:id="73"/>
    </w:p>
    <w:tbl>
      <w:tblPr>
        <w:tblStyle w:val="19"/>
        <w:tblW w:w="93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5670"/>
        <w:gridCol w:w="992"/>
        <w:gridCol w:w="70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6E6E6"/>
            <w:vAlign w:val="center"/>
          </w:tcPr>
          <w:p>
            <w:pPr>
              <w:jc w:val="center"/>
            </w:pPr>
            <w:r>
              <w:rPr>
                <w:rFonts w:hint="eastAsia"/>
              </w:rPr>
              <w:t>标准</w:t>
            </w:r>
            <w:r>
              <w:t>条文</w:t>
            </w:r>
          </w:p>
        </w:tc>
        <w:tc>
          <w:tcPr>
            <w:tcW w:w="5670" w:type="dxa"/>
            <w:shd w:val="clear" w:color="auto" w:fill="E6E6E6"/>
            <w:vAlign w:val="center"/>
          </w:tcPr>
          <w:p>
            <w:pPr>
              <w:jc w:val="center"/>
            </w:pPr>
            <w:r>
              <w:rPr>
                <w:rFonts w:hint="eastAsia"/>
              </w:rPr>
              <w:t>得分</w:t>
            </w:r>
            <w:r>
              <w:t>评价</w:t>
            </w:r>
          </w:p>
        </w:tc>
        <w:tc>
          <w:tcPr>
            <w:tcW w:w="992" w:type="dxa"/>
            <w:shd w:val="clear" w:color="auto" w:fill="E6E6E6"/>
            <w:vAlign w:val="center"/>
          </w:tcPr>
          <w:p>
            <w:pPr>
              <w:jc w:val="center"/>
            </w:pPr>
            <w:r>
              <w:rPr>
                <w:rFonts w:hint="eastAsia"/>
              </w:rPr>
              <w:t>节能率</w:t>
            </w:r>
          </w:p>
        </w:tc>
        <w:tc>
          <w:tcPr>
            <w:tcW w:w="706" w:type="dxa"/>
            <w:shd w:val="clear" w:color="auto" w:fill="E6E6E6"/>
            <w:vAlign w:val="center"/>
          </w:tcPr>
          <w:p>
            <w:pPr>
              <w:jc w:val="center"/>
            </w:pPr>
            <w:r>
              <w:t>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vAlign w:val="center"/>
          </w:tcPr>
          <w:p>
            <w:r>
              <w:t xml:space="preserve">7.2.8 </w:t>
            </w:r>
            <w:r>
              <w:rPr>
                <w:rFonts w:hint="eastAsia"/>
              </w:rPr>
              <w:t>采取措施降低建筑能耗</w:t>
            </w:r>
          </w:p>
        </w:tc>
        <w:tc>
          <w:tcPr>
            <w:tcW w:w="5670" w:type="dxa"/>
            <w:vAlign w:val="center"/>
          </w:tcPr>
          <w:p>
            <w:r>
              <w:rPr>
                <w:rFonts w:hint="eastAsia"/>
                <w:sz w:val="23"/>
                <w:szCs w:val="23"/>
              </w:rPr>
              <w:t>建筑设计能耗相比现行强制性工程建设规范《建筑节能与可再生能源利用通用规范》</w:t>
            </w:r>
            <w:r>
              <w:rPr>
                <w:sz w:val="23"/>
                <w:szCs w:val="23"/>
              </w:rPr>
              <w:t>GB 55015</w:t>
            </w:r>
            <w:r>
              <w:rPr>
                <w:rFonts w:hint="eastAsia"/>
                <w:sz w:val="23"/>
                <w:szCs w:val="23"/>
              </w:rPr>
              <w:t>降低</w:t>
            </w:r>
            <w:r>
              <w:rPr>
                <w:sz w:val="23"/>
                <w:szCs w:val="23"/>
              </w:rPr>
              <w:t>5%</w:t>
            </w:r>
            <w:r>
              <w:rPr>
                <w:rFonts w:hint="eastAsia"/>
                <w:sz w:val="23"/>
                <w:szCs w:val="23"/>
              </w:rPr>
              <w:t>，得</w:t>
            </w:r>
            <w:r>
              <w:rPr>
                <w:sz w:val="23"/>
                <w:szCs w:val="23"/>
              </w:rPr>
              <w:t>6</w:t>
            </w:r>
            <w:r>
              <w:rPr>
                <w:rFonts w:hint="eastAsia"/>
                <w:sz w:val="23"/>
                <w:szCs w:val="23"/>
              </w:rPr>
              <w:t>分；降低</w:t>
            </w:r>
            <w:r>
              <w:rPr>
                <w:sz w:val="23"/>
                <w:szCs w:val="23"/>
              </w:rPr>
              <w:t>10%</w:t>
            </w:r>
            <w:r>
              <w:rPr>
                <w:rFonts w:hint="eastAsia"/>
                <w:sz w:val="23"/>
                <w:szCs w:val="23"/>
              </w:rPr>
              <w:t>，得</w:t>
            </w:r>
            <w:r>
              <w:rPr>
                <w:sz w:val="23"/>
                <w:szCs w:val="23"/>
              </w:rPr>
              <w:t>8</w:t>
            </w:r>
            <w:r>
              <w:rPr>
                <w:rFonts w:hint="eastAsia"/>
                <w:sz w:val="23"/>
                <w:szCs w:val="23"/>
              </w:rPr>
              <w:t>分；降低</w:t>
            </w:r>
            <w:r>
              <w:rPr>
                <w:sz w:val="23"/>
                <w:szCs w:val="23"/>
              </w:rPr>
              <w:t>15%</w:t>
            </w:r>
            <w:r>
              <w:rPr>
                <w:rFonts w:hint="eastAsia"/>
                <w:sz w:val="23"/>
                <w:szCs w:val="23"/>
              </w:rPr>
              <w:t>，得</w:t>
            </w:r>
            <w:r>
              <w:rPr>
                <w:sz w:val="23"/>
                <w:szCs w:val="23"/>
              </w:rPr>
              <w:t>10</w:t>
            </w:r>
            <w:r>
              <w:rPr>
                <w:rFonts w:hint="eastAsia"/>
                <w:sz w:val="23"/>
                <w:szCs w:val="23"/>
              </w:rPr>
              <w:t>分</w:t>
            </w:r>
            <w:r>
              <w:rPr>
                <w:rFonts w:hint="eastAsia"/>
              </w:rPr>
              <w:t>。</w:t>
            </w:r>
          </w:p>
        </w:tc>
        <w:tc>
          <w:tcPr>
            <w:tcW w:w="992" w:type="dxa"/>
            <w:vAlign w:val="center"/>
          </w:tcPr>
          <w:p>
            <w:r>
              <w:t>-17.16%</w:t>
            </w:r>
            <w:bookmarkEnd w:id="0"/>
          </w:p>
        </w:tc>
        <w:tc>
          <w:tcPr>
            <w:tcW w:w="706" w:type="dxa"/>
            <w:vAlign w:val="center"/>
          </w:tcPr>
          <w:p>
            <w:r>
              <w:t>0</w:t>
            </w:r>
            <w:bookmarkEnd w:id="6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r>
              <w:rPr>
                <w:rFonts w:hint="eastAsia"/>
              </w:rPr>
              <w:t>标准</w:t>
            </w:r>
            <w:r>
              <w:t>依据</w:t>
            </w:r>
          </w:p>
        </w:tc>
        <w:tc>
          <w:tcPr>
            <w:tcW w:w="7368" w:type="dxa"/>
            <w:gridSpan w:val="3"/>
            <w:vAlign w:val="center"/>
          </w:tcPr>
          <w:p>
            <w:r>
              <w:rPr>
                <w:rFonts w:hint="eastAsia"/>
              </w:rPr>
              <w:t>《绿色建筑评价标准》GB/T 50378-2019（2024年版）</w:t>
            </w:r>
            <w:bookmarkEnd w:id="1"/>
          </w:p>
        </w:tc>
      </w:tr>
    </w:tbl>
    <w:p/>
    <w:p>
      <w:pPr>
        <w:widowControl w:val="0"/>
        <w:jc w:val="both"/>
        <w:rPr>
          <w:color w:val="000000"/>
        </w:rPr>
      </w:pPr>
    </w:p>
    <w:p>
      <w:pPr>
        <w:widowControl w:val="0"/>
        <w:jc w:val="center"/>
        <w:rPr>
          <w:color w:val="000000"/>
        </w:rPr>
      </w:pPr>
      <w:r>
        <w:drawing>
          <wp:inline distT="0" distB="0" distL="0" distR="0">
            <wp:extent cx="5667375" cy="50387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6"/>
                    <a:stretch>
                      <a:fillRect/>
                    </a:stretch>
                  </pic:blipFill>
                  <pic:spPr>
                    <a:xfrm>
                      <a:off x="0" y="0"/>
                      <a:ext cx="5667375" cy="5038725"/>
                    </a:xfrm>
                    <a:prstGeom prst="rect">
                      <a:avLst/>
                    </a:prstGeom>
                  </pic:spPr>
                </pic:pic>
              </a:graphicData>
            </a:graphic>
          </wp:inline>
        </w:drawing>
      </w:r>
    </w:p>
    <w:p>
      <w:pPr>
        <w:sectPr>
          <w:pgSz w:w="11906" w:h="16838"/>
          <w:pgMar w:top="1440" w:right="1418" w:bottom="1440" w:left="1418" w:header="851" w:footer="992" w:gutter="0"/>
          <w:cols w:space="425" w:num="1"/>
          <w:docGrid w:type="lines" w:linePitch="312" w:charSpace="0"/>
        </w:sectPr>
      </w:pPr>
    </w:p>
    <w:p>
      <w:pPr>
        <w:pStyle w:val="2"/>
        <w:widowControl w:val="0"/>
        <w:jc w:val="both"/>
        <w:rPr>
          <w:color w:val="000000"/>
        </w:rPr>
      </w:pPr>
      <w:bookmarkStart w:id="74" w:name="_Toc20227"/>
      <w:r>
        <w:rPr>
          <w:color w:val="000000"/>
        </w:rPr>
        <w:t>附录</w:t>
      </w:r>
      <w:bookmarkEnd w:id="74"/>
    </w:p>
    <w:p>
      <w:pPr>
        <w:pStyle w:val="4"/>
        <w:widowControl w:val="0"/>
        <w:jc w:val="both"/>
        <w:rPr>
          <w:color w:val="000000"/>
        </w:rPr>
      </w:pPr>
      <w:bookmarkStart w:id="75" w:name="_Toc3612"/>
      <w:r>
        <w:rPr>
          <w:color w:val="000000"/>
        </w:rPr>
        <w:t>工作日/节假日人员逐时在室率(%)</w:t>
      </w:r>
      <w:bookmarkEnd w:id="75"/>
    </w:p>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办公-会议室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办公-卫生间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办公-厨房</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办公-大厅</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办公-普通办公室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办公-楼梯间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办公-电子信息机房</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办公-空房间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办公-设备间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办公-走廊</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办公-餐厅</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办公-高档办公室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bl>
    <w:p>
      <w:pPr>
        <w:widowControl w:val="0"/>
        <w:jc w:val="both"/>
        <w:rPr>
          <w:color w:val="000000"/>
        </w:rPr>
      </w:pPr>
    </w:p>
    <w:p>
      <w:r>
        <w:t>注：上行：工作日；下行：节假日</w:t>
      </w:r>
    </w:p>
    <w:p>
      <w:pPr>
        <w:pStyle w:val="4"/>
      </w:pPr>
      <w:bookmarkStart w:id="76" w:name="_Toc20875"/>
      <w:r>
        <w:t>工作日/节假日照明开关时间表(%)</w:t>
      </w:r>
      <w:bookmarkEnd w:id="76"/>
    </w:p>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办公-会议室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办公-卫生间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办公-厨房</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办公-大厅</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办公-普通办公室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办公-楼梯间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办公-电子信息机房</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办公-空房间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办公-设备间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办公-走廊</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办公-餐厅</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办公-高档办公室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77" w:name="_Toc13885"/>
      <w:r>
        <w:t>工作日/节假日设备逐时使用率(%)</w:t>
      </w:r>
      <w:bookmarkEnd w:id="77"/>
    </w:p>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办公-会议室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办公-卫生间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办公-厨房</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办公-大厅</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办公-普通办公室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办公-楼梯间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办公-电子信息机房</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办公-空房间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办公-设备间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办公-走廊</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办公-餐厅</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办公-高档办公室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78" w:name="_Toc10135"/>
      <w:r>
        <w:t>工作日/节假日空调系统运行时间表(1:开,0:关)</w:t>
      </w:r>
      <w:bookmarkEnd w:id="78"/>
    </w:p>
    <w:p>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自动</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bl>
    <w:p>
      <w:r>
        <w:t>供冷期：</w:t>
      </w:r>
    </w:p>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自动</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79" w:name="_Toc12266"/>
      <w:r>
        <w:t>工作日/节假日新风运行时间表(%)</w:t>
      </w:r>
      <w:bookmarkEnd w:id="79"/>
    </w:p>
    <w:p>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自动</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bl>
    <w:p>
      <w:r>
        <w:t>供冷期：</w:t>
      </w:r>
    </w:p>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自动</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w:t>
    </w:r>
    <w:r>
      <w:rPr>
        <w:rStyle w:val="22"/>
      </w:rP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lang w:val="en-US"/>
      </w:rPr>
      <w:drawing>
        <wp:inline distT="0" distB="0" distL="0" distR="0">
          <wp:extent cx="972185" cy="25146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C72283"/>
    <w:rsid w:val="00022598"/>
    <w:rsid w:val="00037A4C"/>
    <w:rsid w:val="000566D9"/>
    <w:rsid w:val="00091924"/>
    <w:rsid w:val="000B5101"/>
    <w:rsid w:val="000C4ED1"/>
    <w:rsid w:val="000D5BDD"/>
    <w:rsid w:val="000E3614"/>
    <w:rsid w:val="000E7AB6"/>
    <w:rsid w:val="000F7EF2"/>
    <w:rsid w:val="00122AE1"/>
    <w:rsid w:val="001369AE"/>
    <w:rsid w:val="0014776A"/>
    <w:rsid w:val="0015024C"/>
    <w:rsid w:val="0015635C"/>
    <w:rsid w:val="001974C3"/>
    <w:rsid w:val="001F3761"/>
    <w:rsid w:val="001F3F70"/>
    <w:rsid w:val="00203A7D"/>
    <w:rsid w:val="0021516D"/>
    <w:rsid w:val="002259A2"/>
    <w:rsid w:val="00253598"/>
    <w:rsid w:val="002555B8"/>
    <w:rsid w:val="00256F4D"/>
    <w:rsid w:val="002720BC"/>
    <w:rsid w:val="002773C0"/>
    <w:rsid w:val="00297DDF"/>
    <w:rsid w:val="002B09FA"/>
    <w:rsid w:val="002F0569"/>
    <w:rsid w:val="003031B3"/>
    <w:rsid w:val="0030437C"/>
    <w:rsid w:val="003121F7"/>
    <w:rsid w:val="0031222A"/>
    <w:rsid w:val="00314D29"/>
    <w:rsid w:val="003422D3"/>
    <w:rsid w:val="00351304"/>
    <w:rsid w:val="00353070"/>
    <w:rsid w:val="003A08C0"/>
    <w:rsid w:val="003B1303"/>
    <w:rsid w:val="003E0BD9"/>
    <w:rsid w:val="004016A3"/>
    <w:rsid w:val="0042043D"/>
    <w:rsid w:val="00435973"/>
    <w:rsid w:val="004A2E73"/>
    <w:rsid w:val="004B4FD9"/>
    <w:rsid w:val="004D230F"/>
    <w:rsid w:val="004D449D"/>
    <w:rsid w:val="00515AC7"/>
    <w:rsid w:val="00517BC7"/>
    <w:rsid w:val="005215FB"/>
    <w:rsid w:val="005220EE"/>
    <w:rsid w:val="00534262"/>
    <w:rsid w:val="005567C2"/>
    <w:rsid w:val="005755BA"/>
    <w:rsid w:val="00595E98"/>
    <w:rsid w:val="005A5ADF"/>
    <w:rsid w:val="005B3BE0"/>
    <w:rsid w:val="005E4E76"/>
    <w:rsid w:val="0061030C"/>
    <w:rsid w:val="00624DAB"/>
    <w:rsid w:val="0064338B"/>
    <w:rsid w:val="00645AF2"/>
    <w:rsid w:val="00671A74"/>
    <w:rsid w:val="00694FCA"/>
    <w:rsid w:val="006A391A"/>
    <w:rsid w:val="006D21D5"/>
    <w:rsid w:val="006E3B8E"/>
    <w:rsid w:val="007049BE"/>
    <w:rsid w:val="00736F0C"/>
    <w:rsid w:val="00764BAB"/>
    <w:rsid w:val="007A52FB"/>
    <w:rsid w:val="007B5DF6"/>
    <w:rsid w:val="007C301E"/>
    <w:rsid w:val="007D7FC4"/>
    <w:rsid w:val="007F56DC"/>
    <w:rsid w:val="008010DE"/>
    <w:rsid w:val="00847185"/>
    <w:rsid w:val="0087305B"/>
    <w:rsid w:val="00883D6C"/>
    <w:rsid w:val="008A48DA"/>
    <w:rsid w:val="008B5A4C"/>
    <w:rsid w:val="008F39AF"/>
    <w:rsid w:val="008F507F"/>
    <w:rsid w:val="00917CA8"/>
    <w:rsid w:val="00964FA6"/>
    <w:rsid w:val="009677EB"/>
    <w:rsid w:val="009702EF"/>
    <w:rsid w:val="00970988"/>
    <w:rsid w:val="00A24CCE"/>
    <w:rsid w:val="00A268CE"/>
    <w:rsid w:val="00A32590"/>
    <w:rsid w:val="00A355BD"/>
    <w:rsid w:val="00A471F7"/>
    <w:rsid w:val="00A52B5C"/>
    <w:rsid w:val="00A72F79"/>
    <w:rsid w:val="00A904CB"/>
    <w:rsid w:val="00AA47FE"/>
    <w:rsid w:val="00AA684C"/>
    <w:rsid w:val="00B056A3"/>
    <w:rsid w:val="00B16FBD"/>
    <w:rsid w:val="00B269B2"/>
    <w:rsid w:val="00B41640"/>
    <w:rsid w:val="00B55B22"/>
    <w:rsid w:val="00B60841"/>
    <w:rsid w:val="00BB4D0A"/>
    <w:rsid w:val="00BD2455"/>
    <w:rsid w:val="00BF3420"/>
    <w:rsid w:val="00C46A6B"/>
    <w:rsid w:val="00C46ED3"/>
    <w:rsid w:val="00C63237"/>
    <w:rsid w:val="00C64332"/>
    <w:rsid w:val="00C67778"/>
    <w:rsid w:val="00C771A6"/>
    <w:rsid w:val="00C951D3"/>
    <w:rsid w:val="00C97E25"/>
    <w:rsid w:val="00CA1A81"/>
    <w:rsid w:val="00CA563E"/>
    <w:rsid w:val="00CB5E85"/>
    <w:rsid w:val="00CC6A47"/>
    <w:rsid w:val="00CE28AA"/>
    <w:rsid w:val="00D047A1"/>
    <w:rsid w:val="00D04BAE"/>
    <w:rsid w:val="00D077EE"/>
    <w:rsid w:val="00D265C1"/>
    <w:rsid w:val="00D40158"/>
    <w:rsid w:val="00D43C46"/>
    <w:rsid w:val="00D62A9A"/>
    <w:rsid w:val="00D72450"/>
    <w:rsid w:val="00DA3C6A"/>
    <w:rsid w:val="00DB4CC2"/>
    <w:rsid w:val="00DC73AD"/>
    <w:rsid w:val="00DF470C"/>
    <w:rsid w:val="00E22F10"/>
    <w:rsid w:val="00E3135C"/>
    <w:rsid w:val="00E60582"/>
    <w:rsid w:val="00E624B4"/>
    <w:rsid w:val="00E81ACD"/>
    <w:rsid w:val="00E841D9"/>
    <w:rsid w:val="00EC01B8"/>
    <w:rsid w:val="00EE70BC"/>
    <w:rsid w:val="00EF1D87"/>
    <w:rsid w:val="00EF7476"/>
    <w:rsid w:val="00F13664"/>
    <w:rsid w:val="00F2150A"/>
    <w:rsid w:val="00F2304A"/>
    <w:rsid w:val="00F527BF"/>
    <w:rsid w:val="00F67DA6"/>
    <w:rsid w:val="00F75DD1"/>
    <w:rsid w:val="00F82291"/>
    <w:rsid w:val="00F82AF0"/>
    <w:rsid w:val="00F90461"/>
    <w:rsid w:val="00FA0DF6"/>
    <w:rsid w:val="00FA4B87"/>
    <w:rsid w:val="00FD0D94"/>
    <w:rsid w:val="00FD4F00"/>
    <w:rsid w:val="00FE02BC"/>
    <w:rsid w:val="00FE21FD"/>
    <w:rsid w:val="00FE41DB"/>
    <w:rsid w:val="00FE5B39"/>
    <w:rsid w:val="00FF054E"/>
    <w:rsid w:val="00FF2243"/>
    <w:rsid w:val="73C72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5"/>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uiPriority w:val="0"/>
    <w:rPr>
      <w:sz w:val="18"/>
      <w:szCs w:val="18"/>
    </w:rPr>
  </w:style>
  <w:style w:type="paragraph" w:styleId="15">
    <w:name w:val="footer"/>
    <w:basedOn w:val="1"/>
    <w:qFormat/>
    <w:uiPriority w:val="0"/>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semiHidden/>
    <w:uiPriority w:val="0"/>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uiPriority w:val="0"/>
  </w:style>
  <w:style w:type="character" w:styleId="23">
    <w:name w:val="Hyperlink"/>
    <w:uiPriority w:val="0"/>
    <w:rPr>
      <w:color w:val="0000FF"/>
      <w:u w:val="single"/>
    </w:rPr>
  </w:style>
  <w:style w:type="character" w:customStyle="1" w:styleId="24">
    <w:name w:val="批注框文本 Char"/>
    <w:basedOn w:val="21"/>
    <w:link w:val="14"/>
    <w:uiPriority w:val="0"/>
    <w:rPr>
      <w:sz w:val="18"/>
      <w:szCs w:val="18"/>
      <w:lang w:val="en-GB"/>
    </w:rPr>
  </w:style>
  <w:style w:type="character" w:customStyle="1" w:styleId="25">
    <w:name w:val="标题 1 Char"/>
    <w:basedOn w:val="21"/>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wf57\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tmp6.dotx</Template>
  <Pages>18</Pages>
  <Words>7222</Words>
  <Characters>10266</Characters>
  <Lines>47</Lines>
  <Paragraphs>13</Paragraphs>
  <TotalTime>0</TotalTime>
  <ScaleCrop>false</ScaleCrop>
  <LinksUpToDate>false</LinksUpToDate>
  <CharactersWithSpaces>10517</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2025-11-16T12:51:00Z</dcterms:created>
  <dc:creator>半江芦苇</dc:creator>
  <cp:lastModifiedBy>半江芦苇</cp:lastModifiedBy>
  <dcterms:modified xsi:type="dcterms:W3CDTF">2025-11-16T12:51:20Z</dcterms:modified>
  <dc:title>暖通及照明系统能耗模拟计算书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