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z w:val="72"/>
                <w:szCs w:val="72"/>
                <w:fitText w:val="7920" w:id="0"/>
              </w:rPr>
              <w:t>围护结构节能率分析报告</w:t>
            </w:r>
          </w:p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筑绿未来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2025-AA-BB</w:t>
            </w:r>
          </w:p>
          <w:p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ascii="微软雅黑" w:hAnsi="微软雅黑" w:eastAsia="微软雅黑"/>
          <w:szCs w:val="18"/>
        </w:rPr>
      </w:pPr>
    </w:p>
    <w:p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2025年12月4日</w:t>
            </w:r>
          </w:p>
        </w:tc>
      </w:tr>
    </w:tbl>
    <w:p>
      <w:pPr>
        <w:snapToGrid w:val="0"/>
        <w:rPr>
          <w:rFonts w:ascii="Calibri" w:hAnsi="Calibri"/>
          <w:kern w:val="2"/>
          <w:szCs w:val="22"/>
        </w:rPr>
      </w:pPr>
    </w:p>
    <w:p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T18060052160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_Toc4278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_Toc7954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_Toc7954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_Toc12995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_Toc12995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_Toc21329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_Toc21329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_Toc22263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_Toc22263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_Toc29574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_Toc29574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_Toc24835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_Toc24835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_Toc25092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_Toc25092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_Toc2505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_Toc15506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_Toc15506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_Toc26268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_Toc26268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_Toc7994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_Toc7994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_Toc5981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_Toc5981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_Toc13933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_Toc13933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_Toc14975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_Toc14975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_Toc25462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_Toc25462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_Toc32317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_Toc32317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_Toc3408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_Toc3408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_Toc8336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_Toc8336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_Toc18776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_Toc18776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_Toc31640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_Toc31640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_Toc8827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_Toc8827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_Toc27294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_Toc27294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_Toc15042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_Toc15042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_Toc29658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_Toc29658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_Toc8824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_Toc8824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_Toc17817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_Toc17817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_Toc22841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_Toc22841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_Toc18816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_Toc18816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_Toc20643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_Toc20643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_Toc26367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_Toc26367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_Toc17806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_Toc17806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4278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筑绿未来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福建-福州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26.00°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119.28°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11926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7          地下</w:t>
            </w:r>
            <w:bookmarkStart w:id="22" w:name="地下建筑层数"/>
            <w: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23.9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47754.11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16462.99</w:t>
            </w:r>
            <w:bookmarkEnd w:id="2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0.65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0.62</w:t>
            </w:r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31" w:name="控温期"/>
            <w:r>
              <w:t>供冷期:5.1-10.1</w:t>
            </w:r>
            <w:bookmarkEnd w:id="31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7954"/>
      <w:r>
        <w:rPr>
          <w:rFonts w:hint="eastAsia"/>
        </w:rPr>
        <w:t>计算依据</w:t>
      </w:r>
      <w:bookmarkEnd w:id="33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《绿色建筑评价标准》GB/T 50378-2019（2024年版）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5" w:name="_Toc13616"/>
      <w:bookmarkStart w:id="36" w:name="_Toc12995"/>
      <w:r>
        <w:rPr>
          <w:rFonts w:hint="eastAsia"/>
        </w:rPr>
        <w:t>计算要求</w:t>
      </w:r>
      <w:bookmarkEnd w:id="35"/>
      <w:bookmarkEnd w:id="36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7" w:name="_Toc22090"/>
      <w:bookmarkStart w:id="38" w:name="_Toc21329"/>
      <w:r>
        <w:rPr>
          <w:rFonts w:hint="eastAsia"/>
          <w:kern w:val="2"/>
          <w:sz w:val="21"/>
        </w:rPr>
        <w:t>计算目标</w:t>
      </w:r>
      <w:bookmarkEnd w:id="37"/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9" w:name="_Toc5419"/>
      <w:bookmarkStart w:id="40" w:name="_Toc22263"/>
      <w:r>
        <w:rPr>
          <w:rFonts w:hint="eastAsia"/>
          <w:kern w:val="2"/>
          <w:sz w:val="21"/>
        </w:rPr>
        <w:t>计算方法</w:t>
      </w:r>
      <w:bookmarkEnd w:id="39"/>
      <w:bookmarkEnd w:id="40"/>
    </w:p>
    <w:p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1" w:name="_Toc444763006"/>
    </w:p>
    <w:p>
      <w:pPr>
        <w:pStyle w:val="3"/>
        <w:ind w:firstLine="420"/>
        <w:rPr>
          <w:lang w:val="en-US"/>
        </w:rPr>
      </w:pPr>
      <w:bookmarkStart w:id="42" w:name="负荷边界说明"/>
      <w:r>
        <w:t>对于供暖空调负荷，包含围护结构（传热负荷、太阳辐射负荷），及室内人员、灯光、设备负荷和新风负荷。</w:t>
      </w:r>
      <w:bookmarkEnd w:id="42"/>
    </w:p>
    <w:p>
      <w:pPr>
        <w:pStyle w:val="2"/>
      </w:pPr>
      <w:bookmarkStart w:id="43" w:name="_Toc58336110"/>
      <w:bookmarkStart w:id="44" w:name="_Toc59787735"/>
      <w:bookmarkStart w:id="45" w:name="_Toc29574"/>
      <w:r>
        <w:rPr>
          <w:rFonts w:hint="eastAsia"/>
        </w:rPr>
        <w:t>软件介绍</w:t>
      </w:r>
      <w:bookmarkEnd w:id="43"/>
      <w:bookmarkEnd w:id="44"/>
      <w:bookmarkEnd w:id="45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6" w:name="软件全称＃2"/>
      <w:r>
        <w:rPr>
          <w:rFonts w:hint="eastAsia"/>
          <w:lang w:val="en-US"/>
        </w:rPr>
        <w:t>能耗计算BESI2025</w:t>
      </w:r>
      <w:bookmarkEnd w:id="46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1"/>
    <w:p>
      <w:pPr>
        <w:pStyle w:val="2"/>
      </w:pPr>
      <w:bookmarkStart w:id="47" w:name="_Toc24835"/>
      <w:r>
        <w:rPr>
          <w:rFonts w:hint="eastAsia"/>
        </w:rPr>
        <w:t>气象数据</w:t>
      </w:r>
      <w:bookmarkEnd w:id="47"/>
    </w:p>
    <w:p>
      <w:pPr>
        <w:pStyle w:val="4"/>
      </w:pPr>
      <w:bookmarkStart w:id="48" w:name="_Toc25092"/>
      <w:r>
        <w:rPr>
          <w:rFonts w:hint="eastAsia"/>
        </w:rPr>
        <w:t>气象地点</w:t>
      </w:r>
      <w:bookmarkEnd w:id="48"/>
    </w:p>
    <w:p>
      <w:pPr>
        <w:pStyle w:val="3"/>
        <w:ind w:firstLine="420"/>
        <w:rPr>
          <w:lang w:val="en-US"/>
        </w:rPr>
      </w:pPr>
      <w:bookmarkStart w:id="49" w:name="气象数据来源"/>
      <w:r>
        <w:t>福建-福州, 《建筑节能气象参数标准》</w:t>
      </w:r>
      <w:bookmarkEnd w:id="49"/>
    </w:p>
    <w:p>
      <w:pPr>
        <w:pStyle w:val="4"/>
      </w:pPr>
      <w:bookmarkStart w:id="50" w:name="_Toc2505"/>
      <w:r>
        <w:rPr>
          <w:rFonts w:hint="eastAsia"/>
        </w:rPr>
        <w:t>逐日干球温度表</w:t>
      </w:r>
      <w:bookmarkEnd w:id="50"/>
    </w:p>
    <w:p>
      <w:pPr>
        <w:pStyle w:val="3"/>
        <w:ind w:firstLine="0" w:firstLineChars="0"/>
        <w:rPr>
          <w:lang w:val="en-US"/>
        </w:rPr>
      </w:pPr>
      <w:bookmarkStart w:id="51" w:name="日均干球温度变化表"/>
      <w:bookmarkEnd w:id="51"/>
      <w:r>
        <w:drawing>
          <wp:inline distT="0" distB="0" distL="0" distR="0">
            <wp:extent cx="5667375" cy="26479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2" w:name="_Toc15506"/>
      <w:r>
        <w:rPr>
          <w:rFonts w:hint="eastAsia"/>
        </w:rPr>
        <w:t>逐月辐照量表</w:t>
      </w:r>
      <w:bookmarkEnd w:id="52"/>
    </w:p>
    <w:p>
      <w:pPr>
        <w:pStyle w:val="3"/>
        <w:ind w:firstLine="0" w:firstLineChars="0"/>
        <w:rPr>
          <w:lang w:val="en-US"/>
        </w:rPr>
      </w:pPr>
      <w:bookmarkStart w:id="53" w:name="逐月辐照量图表"/>
      <w:bookmarkEnd w:id="53"/>
      <w:r>
        <w:drawing>
          <wp:inline distT="0" distB="0" distL="0" distR="0">
            <wp:extent cx="5667375" cy="2390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4" w:name="_Toc26268"/>
      <w:r>
        <w:rPr>
          <w:rFonts w:hint="eastAsia"/>
        </w:rPr>
        <w:t>峰值工况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07月11日14时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26.1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01月16日06时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1.1</w:t>
            </w:r>
          </w:p>
        </w:tc>
        <w:tc>
          <w:tcPr>
            <w:vAlign w:val="center"/>
          </w:tcPr>
          <w:p>
            <w:r>
              <w:t>3.8</w:t>
            </w:r>
          </w:p>
        </w:tc>
        <w:tc>
          <w:tcPr>
            <w:vAlign w:val="center"/>
          </w:tcPr>
          <w:p>
            <w:r>
              <w:t>11.2</w:t>
            </w:r>
          </w:p>
        </w:tc>
      </w:tr>
    </w:tbl>
    <w:p>
      <w:pPr>
        <w:pStyle w:val="2"/>
        <w:widowControl w:val="0"/>
        <w:jc w:val="both"/>
      </w:pPr>
      <w:bookmarkStart w:id="55" w:name="气象峰值工况"/>
      <w:bookmarkEnd w:id="55"/>
      <w:bookmarkStart w:id="56" w:name="_Toc7994"/>
      <w:r>
        <w:t>围护结构</w:t>
      </w:r>
      <w:bookmarkEnd w:id="56"/>
    </w:p>
    <w:p>
      <w:pPr>
        <w:pStyle w:val="4"/>
        <w:widowControl w:val="0"/>
        <w:jc w:val="both"/>
      </w:pPr>
      <w:bookmarkStart w:id="57" w:name="_Toc5981"/>
      <w:r>
        <w:t>工程材料</w:t>
      </w:r>
      <w:bookmarkEnd w:id="5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闽2023-J-06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8" w:name="_Toc13933"/>
      <w:r>
        <w:t>围护结构作法简要说明</w:t>
      </w:r>
      <w:bookmarkEnd w:id="58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屋顶构造四 (K=0.192,D=5.688)：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碎石、卵石混凝土(ρ=2300)(1) 50mm＋</w:t>
      </w:r>
      <w:r>
        <w:rPr>
          <w:color w:val="800000"/>
        </w:rPr>
        <w:t>挤塑聚苯板 140mm</w:t>
      </w:r>
      <w:r>
        <w:rPr>
          <w:color w:val="000000"/>
        </w:rPr>
        <w:t>＋SBS改性沥青防水卷材 4mm＋水泥砂浆 30mm＋轻集料混凝土2%找坡层 60mm＋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</w:rPr>
        <w:t>屋顶防火隔离带构造一 (K=1.612,D=3.031)：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挤塑聚苯乙烯泡沫塑料（带表皮）(1)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外墙防火隔离带：</w:t>
      </w:r>
      <w:r>
        <w:rPr>
          <w:color w:val="0000FF"/>
        </w:rPr>
        <w:t>外墙防火隔离带构造一 (K=1.612,D=3.031)：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隔热铝合金型材三玻两腔中空玻璃窗（5Low-E 双银+12Ar+5+12Ar+5） (K=1.550)：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传热系数1.550W/㎡.K，窗太阳得热系数0.240</w:t>
      </w:r>
    </w:p>
    <w:p>
      <w:pPr>
        <w:pStyle w:val="2"/>
        <w:widowControl w:val="0"/>
        <w:jc w:val="both"/>
        <w:rPr>
          <w:color w:val="000000"/>
        </w:rPr>
      </w:pPr>
      <w:bookmarkStart w:id="59" w:name="_Toc14975"/>
      <w:r>
        <w:rPr>
          <w:color w:val="000000"/>
        </w:rPr>
        <w:t>房间类型</w:t>
      </w:r>
      <w:bookmarkEnd w:id="59"/>
    </w:p>
    <w:p>
      <w:pPr>
        <w:pStyle w:val="4"/>
        <w:widowControl w:val="0"/>
        <w:jc w:val="both"/>
        <w:rPr>
          <w:color w:val="000000"/>
        </w:rPr>
      </w:pPr>
      <w:bookmarkStart w:id="60" w:name="_Toc25462"/>
      <w:r>
        <w:rPr>
          <w:color w:val="000000"/>
        </w:rPr>
        <w:t>房间参数表</w:t>
      </w:r>
      <w:bookmarkEnd w:id="6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党建活动室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准备室（丁类，无爆炸危险）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化学实验室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女卫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开放共享空间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弱电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强电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教师办公室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教师女卫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教师男卫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教研活动室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无障碍楼梯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无障碍电梯担架电梯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残卫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水井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物理实验室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生物实验室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男卫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盥洗室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美术教室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计算机教室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设备平台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风井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1" w:name="_Toc32317"/>
      <w:r>
        <w:rPr>
          <w:color w:val="000000"/>
        </w:rPr>
        <w:t>作息时间表</w:t>
      </w:r>
      <w:bookmarkEnd w:id="6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2" w:name="_Toc3408"/>
      <w:r>
        <w:rPr>
          <w:color w:val="000000"/>
        </w:rPr>
        <w:t>设计建筑</w:t>
      </w:r>
      <w:bookmarkEnd w:id="62"/>
    </w:p>
    <w:p>
      <w:pPr>
        <w:pStyle w:val="4"/>
        <w:widowControl w:val="0"/>
        <w:jc w:val="both"/>
        <w:rPr>
          <w:color w:val="000000"/>
        </w:rPr>
      </w:pPr>
      <w:bookmarkStart w:id="63" w:name="_Toc8336"/>
      <w:r>
        <w:rPr>
          <w:color w:val="000000"/>
        </w:rPr>
        <w:t>负荷分项统计</w:t>
      </w:r>
      <w:bookmarkEnd w:id="63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37.82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8003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64" w:name="_Toc18776"/>
      <w:r>
        <w:t>逐月负荷表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90861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909.733</w:t>
            </w:r>
          </w:p>
        </w:tc>
        <w:tc>
          <w:tcPr>
            <w:vAlign w:val="center"/>
          </w:tcPr>
          <w:p>
            <w:r>
              <w:t>5月28日15时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1383.240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6月17日9时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33229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1176.567</w:t>
            </w:r>
          </w:p>
        </w:tc>
        <w:tc>
          <w:tcPr>
            <w:vAlign w:val="center"/>
          </w:tcPr>
          <w:p>
            <w:r>
              <w:t>7月2日9时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  <w:tc>
          <w:tcPr>
            <w:vAlign w:val="center"/>
          </w:tcPr>
          <w:p>
            <w:r>
              <w:t>8月15日15时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164609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1029.792</w:t>
            </w:r>
          </w:p>
        </w:tc>
        <w:tc>
          <w:tcPr>
            <w:vAlign w:val="center"/>
          </w:tcPr>
          <w:p>
            <w:r>
              <w:t>9月6日9时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505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505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65" w:name="_Toc31640"/>
      <w:r>
        <w:t>参照建筑</w:t>
      </w:r>
      <w:bookmarkEnd w:id="65"/>
    </w:p>
    <w:p>
      <w:pPr>
        <w:pStyle w:val="4"/>
        <w:widowControl w:val="0"/>
        <w:jc w:val="both"/>
        <w:rPr>
          <w:color w:val="000000"/>
        </w:rPr>
      </w:pPr>
      <w:bookmarkStart w:id="66" w:name="_Toc8827"/>
      <w:r>
        <w:rPr>
          <w:color w:val="000000"/>
        </w:rPr>
        <w:t>负荷分项统计</w:t>
      </w:r>
      <w:bookmarkEnd w:id="6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15.96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41.24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8003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67" w:name="_Toc27294"/>
      <w:r>
        <w:t>逐月负荷表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100777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995.337</w:t>
            </w:r>
          </w:p>
        </w:tc>
        <w:tc>
          <w:tcPr>
            <w:vAlign w:val="center"/>
          </w:tcPr>
          <w:p>
            <w:r>
              <w:t>5月28日15时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176681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1489.837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6月17日9时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1257.318</w:t>
            </w:r>
          </w:p>
        </w:tc>
        <w:tc>
          <w:tcPr>
            <w:vAlign w:val="center"/>
          </w:tcPr>
          <w:p>
            <w:r>
              <w:t>7月2日9时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12.418</w:t>
            </w:r>
          </w:p>
        </w:tc>
        <w:tc>
          <w:tcPr>
            <w:vAlign w:val="center"/>
          </w:tcPr>
          <w:p>
            <w:r>
              <w:t>8月14日15时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175749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1091.896</w:t>
            </w:r>
          </w:p>
        </w:tc>
        <w:tc>
          <w:tcPr>
            <w:vAlign w:val="center"/>
          </w:tcPr>
          <w:p>
            <w:r>
              <w:t>9月6日9时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505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505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78" w:name="_GoBack"/>
      <w:bookmarkEnd w:id="78"/>
      <w:bookmarkStart w:id="68" w:name="_Toc15042"/>
      <w:r>
        <w:t>计算结果</w:t>
      </w:r>
      <w:bookmarkEnd w:id="68"/>
    </w:p>
    <w:p>
      <w:pPr>
        <w:pStyle w:val="4"/>
        <w:widowControl w:val="0"/>
        <w:jc w:val="both"/>
        <w:rPr>
          <w:color w:val="000000"/>
        </w:rPr>
      </w:pPr>
      <w:bookmarkStart w:id="69" w:name="_Toc29658"/>
      <w:r>
        <w:rPr>
          <w:color w:val="000000"/>
        </w:rPr>
        <w:t>围护结构热工性能对比</w:t>
      </w:r>
      <w:bookmarkEnd w:id="69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5.28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4.48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1.16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1.18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pStyle w:val="4"/>
        <w:widowControl w:val="0"/>
        <w:jc w:val="both"/>
        <w:rPr>
          <w:color w:val="000000"/>
        </w:rPr>
      </w:pPr>
      <w:bookmarkStart w:id="71" w:name="_Toc8824"/>
      <w:r>
        <w:rPr>
          <w:color w:val="000000"/>
        </w:rPr>
        <w:t>围护结构节能率</w:t>
      </w:r>
      <w:bookmarkEnd w:id="71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节能率</w:t>
            </w:r>
            <w:bookmarkEnd w:id="7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37.82</w:t>
            </w:r>
            <w:bookmarkEnd w:id="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41.24</w:t>
            </w:r>
            <w:bookmarkEnd w:id="4"/>
          </w:p>
        </w:tc>
        <w:tc>
          <w:tcPr>
            <w:tcW w:w="96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8.28%</w:t>
            </w:r>
            <w:bookmarkEnd w:id="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7"/>
          </w:p>
        </w:tc>
        <w:tc>
          <w:tcPr>
            <w:tcW w:w="96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37.82</w:t>
            </w:r>
            <w:bookmarkEnd w:id="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41.24</w:t>
            </w:r>
            <w:bookmarkEnd w:id="10"/>
          </w:p>
        </w:tc>
        <w:tc>
          <w:tcPr>
            <w:tcW w:w="96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8.28%</w:t>
            </w:r>
            <w:bookmarkEnd w:id="1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2.5</w:t>
            </w:r>
            <w:bookmarkEnd w:id="1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2.5</w:t>
            </w:r>
            <w:bookmarkEnd w:id="13"/>
          </w:p>
        </w:tc>
        <w:tc>
          <w:tcPr>
            <w:tcW w:w="961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8.28%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15.13</w:t>
            </w:r>
            <w:bookmarkEnd w:id="1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16.49</w:t>
            </w:r>
            <w:bookmarkEnd w:id="16"/>
          </w:p>
        </w:tc>
        <w:tc>
          <w:tcPr>
            <w:tcW w:w="961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2.2</w:t>
            </w:r>
            <w:bookmarkEnd w:id="1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2.2</w:t>
            </w:r>
            <w:bookmarkEnd w:id="18"/>
          </w:p>
        </w:tc>
        <w:tc>
          <w:tcPr>
            <w:tcW w:w="961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2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21"/>
          </w:p>
        </w:tc>
        <w:tc>
          <w:tcPr>
            <w:tcW w:w="961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15.13</w:t>
            </w:r>
            <w:bookmarkEnd w:id="2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16.49</w:t>
            </w:r>
            <w:bookmarkEnd w:id="23"/>
          </w:p>
        </w:tc>
        <w:tc>
          <w:tcPr>
            <w:tcW w:w="96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8.28%</w:t>
            </w:r>
            <w:bookmarkEnd w:id="24"/>
          </w:p>
        </w:tc>
      </w:tr>
    </w:tbl>
    <w:p>
      <w:pPr>
        <w:ind w:firstLine="0" w:firstLineChars="0"/>
        <w:jc w:val="center"/>
        <w:rPr>
          <w:sz w:val="20"/>
          <w:lang w:val="en-US"/>
        </w:rPr>
      </w:pP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2" w:name="_Toc17817"/>
      <w:r>
        <w:rPr>
          <w:color w:val="000000"/>
        </w:rPr>
        <w:t>绿色建筑性能评估得分</w:t>
      </w:r>
      <w:bookmarkEnd w:id="72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>
            <w:r>
              <w:t>8.28%</w:t>
            </w:r>
            <w:bookmarkEnd w:id="0"/>
          </w:p>
        </w:tc>
        <w:tc>
          <w:tcPr>
            <w:tcW w:w="1119" w:type="dxa"/>
            <w:vAlign w:val="center"/>
          </w:tcPr>
          <w:p>
            <w:r>
              <w:t>三星级</w:t>
            </w:r>
            <w:bookmarkEnd w:id="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/>
        </w:tc>
        <w:tc>
          <w:tcPr>
            <w:tcW w:w="1119" w:type="dxa"/>
            <w:vAlign w:val="center"/>
          </w:tcPr>
          <w:p>
            <w:r>
              <w:t>10</w:t>
            </w:r>
            <w:bookmarkEnd w:id="2"/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244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24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038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73" w:name="_Toc22841"/>
      <w:r>
        <w:rPr>
          <w:color w:val="000000"/>
        </w:rPr>
        <w:t>附录</w:t>
      </w:r>
      <w:bookmarkEnd w:id="73"/>
    </w:p>
    <w:p>
      <w:pPr>
        <w:pStyle w:val="4"/>
        <w:widowControl w:val="0"/>
        <w:jc w:val="both"/>
        <w:rPr>
          <w:color w:val="000000"/>
        </w:rPr>
      </w:pPr>
      <w:bookmarkStart w:id="74" w:name="_Toc18816"/>
      <w:r>
        <w:rPr>
          <w:color w:val="000000"/>
        </w:rPr>
        <w:t>工作日/节假日人员逐时在室率(%)</w:t>
      </w:r>
      <w:bookmarkEnd w:id="74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教育-党建活动室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教育-准备室（丁类，无爆炸危险）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教育-化学实验室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教育-女卫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教育-开放共享空间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教育-弱电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教育-强电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教育-教师女卫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教育-教师男卫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教育-教研活动室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教育-无障碍楼梯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教育-无障碍电梯担架电梯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教育-残卫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教育-水井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教育-物理实验室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教育-生物实验室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教育-男卫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教育-盥洗室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教育-计算机教室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教育-设备平台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教育-风井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75" w:name="_Toc20643"/>
      <w:r>
        <w:t>工作日/节假日照明开关时间表(%)</w:t>
      </w:r>
      <w:bookmarkEnd w:id="75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教育-党建活动室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教育-准备室（丁类，无爆炸危险）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教育-化学实验室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教育-女卫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教育-开放共享空间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教育-弱电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教育-强电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教育-教师女卫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教育-教师男卫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教育-教研活动室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教育-无障碍楼梯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教育-无障碍电梯担架电梯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教育-残卫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教育-水井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教育-物理实验室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教育-生物实验室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教育-男卫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教育-盥洗室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教育-计算机教室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教育-设备平台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教育-风井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6" w:name="_Toc26367"/>
      <w:r>
        <w:t>工作日/节假日设备逐时使用率(%)</w:t>
      </w:r>
      <w:bookmarkEnd w:id="76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教育-党建活动室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教育-准备室（丁类，无爆炸危险）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教育-化学实验室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教育-女卫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教育-开放共享空间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教育-弱电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教育-强电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教育-教师女卫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教育-教师男卫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教育-教研活动室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教育-无障碍楼梯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教育-无障碍电梯担架电梯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教育-残卫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教育-水井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教育-物理实验室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教育-生物实验室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教育-男卫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教育-盥洗室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教育-计算机教室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教育-设备平台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教育-风井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7" w:name="_Toc17806"/>
      <w:r>
        <w:t>工作日/节假日新风运行时间表(%)</w:t>
      </w:r>
      <w:bookmarkEnd w:id="77"/>
    </w:p>
    <w:p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D14DE6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18D1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23</Pages>
  <Words>9840</Words>
  <Characters>13533</Characters>
  <Lines>47</Lines>
  <Paragraphs>13</Paragraphs>
  <TotalTime>1</TotalTime>
  <ScaleCrop>false</ScaleCrop>
  <LinksUpToDate>false</LinksUpToDate>
  <CharactersWithSpaces>13779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2025-12-04T06:55:00Z</dcterms:created>
  <dc:creator>半江芦苇</dc:creator>
  <cp:lastModifiedBy>半江芦苇</cp:lastModifiedBy>
  <dcterms:modified xsi:type="dcterms:W3CDTF">2025-12-04T06:57:29Z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