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承德市廉政教育培训中心改扩建工程7#8#9#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绿色建筑设计阶段预评价报告</w:t>
      </w:r>
    </w:p>
    <w:p>
      <w:pPr>
        <w:jc w:val="center"/>
      </w:pPr>
      <w:r>
        <w:drawing>
          <wp:inline distT="0" distB="0" distL="0" distR="0">
            <wp:extent cx="5732145" cy="40533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业主单位：中共承德市纪律检查委员会承德市监察委员会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设计单位：承德佳艺建筑工程设计有限责任公司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项目地址：承德市高新区冯营子镇后窑村南侧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报告日期：2019年12月20日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项目名称：承德市廉政教育培训中心改扩建工程7#8#9#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113-2015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7.52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17.64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10.46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13.09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238750" cy="1905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项目选址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场地选址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场地内污染物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规划布局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容积率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光污染防预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场地内风环境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雨水专项设计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雨水专项设计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电加热措施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电加热设备空气加湿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独立分项计量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可开启面积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风机耗功率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供暖通风系统优化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降低供暖空调能耗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电梯自动控制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节能型电气设备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排风能量回收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景观用水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建筑日用水量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供水压力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钢筋标准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可重复使用隔断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工业化生产预制构件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现浇混凝土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耐久材料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可再循环材料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保温与结构一体化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室内隔声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室内供暖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围护结构隔热性能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室内空气质量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主要功能房间隔声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减少噪声干扰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天然光采光效果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可调节外遮阳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系统末端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室内通风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一氧化碳浓度监测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绿色装修产品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COP效能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分布式热电冷联供技术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卫生器具用水效率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被动式建筑标准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室内空气质量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>承德市廉政教育培训中心改扩建工程7#8#9#绿色建筑设计阶段预评价报告</w:t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