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58" w:name="_GoBack"/>
      <w:bookmarkEnd w:id="58"/>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住区热环境设计报告书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XXX住宅小区</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开封</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20190808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T15890903290</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_Toc8889 </w:instrText>
      </w:r>
      <w:r>
        <w:rPr>
          <w:rFonts w:ascii="宋体" w:hAnsi="宋体"/>
          <w:bCs w:val="0"/>
          <w:caps/>
        </w:rPr>
        <w:fldChar w:fldCharType="separate"/>
      </w:r>
      <w:r>
        <w:rPr>
          <w:rFonts w:hint="eastAsia"/>
        </w:rPr>
        <w:t>1 住区概况</w:t>
      </w:r>
      <w:r>
        <w:tab/>
      </w:r>
      <w:r>
        <w:fldChar w:fldCharType="begin"/>
      </w:r>
      <w:r>
        <w:instrText xml:space="preserve"> PAGEREF _Toc8889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_Toc10887 </w:instrText>
      </w:r>
      <w:r>
        <w:fldChar w:fldCharType="separate"/>
      </w:r>
      <w:r>
        <w:rPr>
          <w:rFonts w:hint="eastAsia"/>
        </w:rPr>
        <w:t>2 设计依据</w:t>
      </w:r>
      <w:r>
        <w:tab/>
      </w:r>
      <w:r>
        <w:fldChar w:fldCharType="begin"/>
      </w:r>
      <w:r>
        <w:instrText xml:space="preserve"> PAGEREF _Toc10887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_Toc18690 </w:instrText>
      </w:r>
      <w:r>
        <w:fldChar w:fldCharType="separate"/>
      </w:r>
      <w:r>
        <w:rPr>
          <w:rFonts w:hint="eastAsia"/>
        </w:rPr>
        <w:t>3 计算规定</w:t>
      </w:r>
      <w:r>
        <w:tab/>
      </w:r>
      <w:r>
        <w:fldChar w:fldCharType="begin"/>
      </w:r>
      <w:r>
        <w:instrText xml:space="preserve"> PAGEREF _Toc18690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_Toc12177 </w:instrText>
      </w:r>
      <w:r>
        <w:fldChar w:fldCharType="separate"/>
      </w:r>
      <w:r>
        <w:rPr>
          <w:rFonts w:hint="eastAsia"/>
          <w:lang w:val="en-GB"/>
        </w:rPr>
        <w:t xml:space="preserve">3.1 </w:t>
      </w:r>
      <w:r>
        <w:rPr>
          <w:rFonts w:hint="eastAsia"/>
        </w:rPr>
        <w:t>强制条文</w:t>
      </w:r>
      <w:r>
        <w:tab/>
      </w:r>
      <w:r>
        <w:fldChar w:fldCharType="begin"/>
      </w:r>
      <w:r>
        <w:instrText xml:space="preserve"> PAGEREF _Toc12177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_Toc19154 </w:instrText>
      </w:r>
      <w:r>
        <w:fldChar w:fldCharType="separate"/>
      </w:r>
      <w:r>
        <w:rPr>
          <w:rFonts w:hint="eastAsia"/>
          <w:lang w:val="en-GB"/>
        </w:rPr>
        <w:t xml:space="preserve">3.2 </w:t>
      </w:r>
      <w:r>
        <w:rPr>
          <w:rFonts w:hint="eastAsia"/>
        </w:rPr>
        <w:t>规定性设计</w:t>
      </w:r>
      <w:r>
        <w:tab/>
      </w:r>
      <w:r>
        <w:fldChar w:fldCharType="begin"/>
      </w:r>
      <w:r>
        <w:instrText xml:space="preserve"> PAGEREF _Toc19154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_Toc3442 </w:instrText>
      </w:r>
      <w:r>
        <w:fldChar w:fldCharType="separate"/>
      </w:r>
      <w:r>
        <w:rPr>
          <w:rFonts w:hint="eastAsia"/>
          <w:lang w:val="en-GB"/>
        </w:rPr>
        <w:t xml:space="preserve">3.3 </w:t>
      </w:r>
      <w:r>
        <w:rPr>
          <w:rFonts w:hint="eastAsia"/>
        </w:rPr>
        <w:t>评价性设计</w:t>
      </w:r>
      <w:r>
        <w:tab/>
      </w:r>
      <w:r>
        <w:fldChar w:fldCharType="begin"/>
      </w:r>
      <w:r>
        <w:instrText xml:space="preserve"> PAGEREF _Toc3442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_Toc17623 </w:instrText>
      </w:r>
      <w:r>
        <w:fldChar w:fldCharType="separate"/>
      </w:r>
      <w:r>
        <w:rPr>
          <w:rFonts w:hint="eastAsia"/>
        </w:rPr>
        <w:t>4 计算参数</w:t>
      </w:r>
      <w:r>
        <w:tab/>
      </w:r>
      <w:r>
        <w:fldChar w:fldCharType="begin"/>
      </w:r>
      <w:r>
        <w:instrText xml:space="preserve"> PAGEREF _Toc17623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_Toc11150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_Toc11150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_Toc28834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_Toc28834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_Toc5608 </w:instrText>
      </w:r>
      <w:r>
        <w:fldChar w:fldCharType="separate"/>
      </w:r>
      <w:r>
        <w:rPr>
          <w:rFonts w:hint="eastAsia"/>
        </w:rPr>
        <w:t>5 住区指标概览</w:t>
      </w:r>
      <w:r>
        <w:tab/>
      </w:r>
      <w:r>
        <w:fldChar w:fldCharType="begin"/>
      </w:r>
      <w:r>
        <w:instrText xml:space="preserve"> PAGEREF _Toc5608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_Toc26626 </w:instrText>
      </w:r>
      <w:r>
        <w:fldChar w:fldCharType="separate"/>
      </w:r>
      <w:r>
        <w:rPr>
          <w:rFonts w:hint="eastAsia"/>
        </w:rPr>
        <w:t>6 规定性设计指标</w:t>
      </w:r>
      <w:r>
        <w:tab/>
      </w:r>
      <w:r>
        <w:fldChar w:fldCharType="begin"/>
      </w:r>
      <w:r>
        <w:instrText xml:space="preserve"> PAGEREF _Toc26626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_Toc3487 </w:instrText>
      </w:r>
      <w:r>
        <w:fldChar w:fldCharType="separate"/>
      </w:r>
      <w:r>
        <w:rPr>
          <w:rFonts w:hint="eastAsia"/>
          <w:lang w:val="en-GB"/>
        </w:rPr>
        <w:t xml:space="preserve">6.1 </w:t>
      </w:r>
      <w:r>
        <w:rPr>
          <w:rFonts w:hint="eastAsia"/>
        </w:rPr>
        <w:t>平均迎风面积比</w:t>
      </w:r>
      <w:r>
        <w:tab/>
      </w:r>
      <w:r>
        <w:fldChar w:fldCharType="begin"/>
      </w:r>
      <w:r>
        <w:instrText xml:space="preserve"> PAGEREF _Toc3487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_Toc25594 </w:instrText>
      </w:r>
      <w:r>
        <w:fldChar w:fldCharType="separate"/>
      </w:r>
      <w:r>
        <w:rPr>
          <w:rFonts w:hint="eastAsia"/>
          <w:lang w:val="en-GB"/>
        </w:rPr>
        <w:t xml:space="preserve">6.2 </w:t>
      </w:r>
      <w:r>
        <w:rPr>
          <w:rFonts w:hint="eastAsia"/>
        </w:rPr>
        <w:t>活动场地遮阳覆盖率</w:t>
      </w:r>
      <w:r>
        <w:tab/>
      </w:r>
      <w:r>
        <w:fldChar w:fldCharType="begin"/>
      </w:r>
      <w:r>
        <w:instrText xml:space="preserve"> PAGEREF _Toc25594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_Toc31364 </w:instrText>
      </w:r>
      <w:r>
        <w:fldChar w:fldCharType="separate"/>
      </w:r>
      <w:r>
        <w:rPr>
          <w:rFonts w:hint="eastAsia"/>
          <w:lang w:val="en-GB"/>
        </w:rPr>
        <w:t xml:space="preserve">6.3 </w:t>
      </w:r>
      <w:r>
        <w:rPr>
          <w:rFonts w:hint="eastAsia"/>
        </w:rPr>
        <w:t>底层通风架空率</w:t>
      </w:r>
      <w:r>
        <w:tab/>
      </w:r>
      <w:r>
        <w:fldChar w:fldCharType="begin"/>
      </w:r>
      <w:r>
        <w:instrText xml:space="preserve"> PAGEREF _Toc31364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_Toc23688 </w:instrText>
      </w:r>
      <w:r>
        <w:fldChar w:fldCharType="separate"/>
      </w:r>
      <w:r>
        <w:rPr>
          <w:rFonts w:hint="eastAsia"/>
          <w:lang w:val="en-GB"/>
        </w:rPr>
        <w:t xml:space="preserve">6.4 </w:t>
      </w:r>
      <w:r>
        <w:rPr>
          <w:rFonts w:hint="eastAsia"/>
        </w:rPr>
        <w:t>绿化遮阳体叶面积指数</w:t>
      </w:r>
      <w:r>
        <w:tab/>
      </w:r>
      <w:r>
        <w:fldChar w:fldCharType="begin"/>
      </w:r>
      <w:r>
        <w:instrText xml:space="preserve"> PAGEREF _Toc23688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_Toc11846 </w:instrText>
      </w:r>
      <w:r>
        <w:fldChar w:fldCharType="separate"/>
      </w:r>
      <w:r>
        <w:rPr>
          <w:rFonts w:hint="eastAsia"/>
          <w:lang w:val="en-GB"/>
        </w:rPr>
        <w:t xml:space="preserve">6.5 </w:t>
      </w:r>
      <w:r>
        <w:rPr>
          <w:rFonts w:hint="eastAsia"/>
        </w:rPr>
        <w:t>渗透蒸发指标</w:t>
      </w:r>
      <w:r>
        <w:tab/>
      </w:r>
      <w:r>
        <w:fldChar w:fldCharType="begin"/>
      </w:r>
      <w:r>
        <w:instrText xml:space="preserve"> PAGEREF _Toc11846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_Toc22433 </w:instrText>
      </w:r>
      <w:r>
        <w:fldChar w:fldCharType="separate"/>
      </w:r>
      <w:r>
        <w:rPr>
          <w:rFonts w:hint="eastAsia"/>
          <w:lang w:val="en-GB"/>
        </w:rPr>
        <w:t xml:space="preserve">6.6 </w:t>
      </w:r>
      <w:r>
        <w:rPr>
          <w:rFonts w:hint="eastAsia"/>
        </w:rPr>
        <w:t>屋面绿化率</w:t>
      </w:r>
      <w:r>
        <w:tab/>
      </w:r>
      <w:r>
        <w:fldChar w:fldCharType="begin"/>
      </w:r>
      <w:r>
        <w:instrText xml:space="preserve"> PAGEREF _Toc22433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_Toc11774 </w:instrText>
      </w:r>
      <w:r>
        <w:fldChar w:fldCharType="separate"/>
      </w:r>
      <w:r>
        <w:rPr>
          <w:rFonts w:hint="eastAsia"/>
        </w:rPr>
        <w:t>7 评价性设计</w:t>
      </w:r>
      <w:r>
        <w:tab/>
      </w:r>
      <w:r>
        <w:fldChar w:fldCharType="begin"/>
      </w:r>
      <w:r>
        <w:instrText xml:space="preserve"> PAGEREF _Toc11774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_Toc26891 </w:instrText>
      </w:r>
      <w:r>
        <w:fldChar w:fldCharType="separate"/>
      </w:r>
      <w:r>
        <w:rPr>
          <w:rFonts w:hint="eastAsia"/>
          <w:lang w:val="en-GB"/>
        </w:rPr>
        <w:t xml:space="preserve">7.1 </w:t>
      </w:r>
      <w:r>
        <w:rPr>
          <w:rFonts w:hint="eastAsia"/>
        </w:rPr>
        <w:t>平均热岛强度</w:t>
      </w:r>
      <w:r>
        <w:tab/>
      </w:r>
      <w:r>
        <w:fldChar w:fldCharType="begin"/>
      </w:r>
      <w:r>
        <w:instrText xml:space="preserve"> PAGEREF _Toc26891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_Toc7463 </w:instrText>
      </w:r>
      <w:r>
        <w:fldChar w:fldCharType="separate"/>
      </w:r>
      <w:r>
        <w:rPr>
          <w:rFonts w:hint="eastAsia"/>
          <w:lang w:val="en-GB"/>
        </w:rPr>
        <w:t xml:space="preserve">7.2 </w:t>
      </w:r>
      <w:r>
        <w:rPr>
          <w:rFonts w:hint="eastAsia"/>
        </w:rPr>
        <w:t>湿球黑球温度</w:t>
      </w:r>
      <w:r>
        <w:tab/>
      </w:r>
      <w:r>
        <w:fldChar w:fldCharType="begin"/>
      </w:r>
      <w:r>
        <w:instrText xml:space="preserve"> PAGEREF _Toc7463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_Toc12792 </w:instrText>
      </w:r>
      <w:r>
        <w:fldChar w:fldCharType="separate"/>
      </w:r>
      <w:r>
        <w:rPr>
          <w:rFonts w:hint="eastAsia"/>
        </w:rPr>
        <w:t>8 结论</w:t>
      </w:r>
      <w:r>
        <w:tab/>
      </w:r>
      <w:r>
        <w:fldChar w:fldCharType="begin"/>
      </w:r>
      <w:r>
        <w:instrText xml:space="preserve"> PAGEREF _Toc12792 </w:instrText>
      </w:r>
      <w:r>
        <w:fldChar w:fldCharType="separate"/>
      </w:r>
      <w:r>
        <w:t>11</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8889"/>
      <w:r>
        <w:rPr>
          <w:rFonts w:hint="eastAsia"/>
        </w:rPr>
        <w:t>住区概况</w:t>
      </w:r>
      <w:bookmarkEnd w:id="11"/>
    </w:p>
    <w:tbl>
      <w:tblPr>
        <w:tblStyle w:val="19"/>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XXX住宅小区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开封</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34.78</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114.35</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西南偏南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4657725" cy="42576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4658214" cy="4258122"/>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0887"/>
      <w:bookmarkStart w:id="23" w:name="TitleFormat"/>
      <w:r>
        <w:rPr>
          <w:rFonts w:hint="eastAsia"/>
        </w:rPr>
        <w:t>设计依据</w:t>
      </w:r>
      <w:bookmarkEnd w:id="22"/>
    </w:p>
    <w:bookmarkEnd w:id="23"/>
    <w:p>
      <w:pPr>
        <w:widowControl w:val="0"/>
        <w:jc w:val="both"/>
        <w:rPr>
          <w:kern w:val="2"/>
          <w:szCs w:val="24"/>
          <w:lang w:val="en-US"/>
        </w:rPr>
      </w:pPr>
      <w:bookmarkStart w:id="24" w:name="计算依据"/>
      <w:bookmarkEnd w:id="24"/>
      <w:r>
        <w:rPr>
          <w:rFonts w:hint="eastAsia"/>
          <w:kern w:val="2"/>
          <w:szCs w:val="24"/>
          <w:lang w:val="en-US"/>
        </w:rPr>
        <w:t>《城市居住区热环境设计标准》（JGJ 286-2013）</w:t>
      </w:r>
    </w:p>
    <w:p>
      <w:pPr>
        <w:pStyle w:val="2"/>
      </w:pPr>
      <w:bookmarkStart w:id="25" w:name="_Toc18690"/>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12177"/>
      <w:r>
        <w:rPr>
          <w:rFonts w:hint="eastAsia"/>
        </w:rPr>
        <w:t>强制条文</w:t>
      </w:r>
      <w:bookmarkEnd w:id="26"/>
    </w:p>
    <w:p>
      <w:pPr>
        <w:pStyle w:val="3"/>
        <w:spacing w:line="360" w:lineRule="auto"/>
        <w:ind w:firstLine="420"/>
        <w:rPr>
          <w:kern w:val="2"/>
          <w:szCs w:val="24"/>
          <w:lang w:val="en-US"/>
        </w:rPr>
      </w:pPr>
      <w:r>
        <w:rPr>
          <w:rFonts w:hint="eastAsia"/>
          <w:kern w:val="2"/>
          <w:szCs w:val="24"/>
          <w:lang w:val="en-US"/>
        </w:rPr>
        <w:t>（1）</w:t>
      </w:r>
      <w:r>
        <w:rPr>
          <w:kern w:val="2"/>
          <w:szCs w:val="24"/>
          <w:lang w:val="en-US"/>
        </w:rPr>
        <w:t>4</w:t>
      </w:r>
      <w:r>
        <w:rPr>
          <w:rFonts w:hint="eastAsia"/>
          <w:kern w:val="2"/>
          <w:szCs w:val="24"/>
          <w:lang w:val="en-US"/>
        </w:rPr>
        <w:t>.1.1</w:t>
      </w:r>
      <w:r>
        <w:rPr>
          <w:kern w:val="2"/>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2"/>
          <w:rFonts w:ascii="Arial" w:hAnsi="Arial" w:cs="Arial"/>
          <w:color w:val="333333"/>
          <w:sz w:val="21"/>
          <w:szCs w:val="21"/>
        </w:rPr>
      </w:pPr>
      <w:r>
        <w:rPr>
          <w:rStyle w:val="22"/>
          <w:rFonts w:ascii="Arial" w:hAnsi="Arial" w:cs="Arial"/>
          <w:color w:val="333333"/>
          <w:sz w:val="21"/>
          <w:szCs w:val="21"/>
        </w:rPr>
        <w:t>表4．1．1 居住区的夏季平均迎风面积比（ζ</w:t>
      </w:r>
      <w:r>
        <w:rPr>
          <w:rStyle w:val="22"/>
          <w:rFonts w:ascii="Arial" w:hAnsi="Arial" w:cs="Arial"/>
          <w:color w:val="333333"/>
          <w:sz w:val="21"/>
          <w:szCs w:val="21"/>
          <w:vertAlign w:val="subscript"/>
        </w:rPr>
        <w:t>s</w:t>
      </w:r>
      <w:r>
        <w:rPr>
          <w:rStyle w:val="22"/>
          <w:rFonts w:ascii="Arial" w:hAnsi="Arial" w:cs="Arial"/>
          <w:color w:val="333333"/>
          <w:sz w:val="21"/>
          <w:szCs w:val="21"/>
        </w:rPr>
        <w:t>）限值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表4．2．1 居住区活动场地的遮阳覆盖率限值(％)</w:t>
      </w:r>
    </w:p>
    <w:tbl>
      <w:tblPr>
        <w:tblStyle w:val="20"/>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7" w:name="_Toc19154"/>
      <w:r>
        <w:rPr>
          <w:rFonts w:hint="eastAsia"/>
        </w:rPr>
        <w:t>规定性设计</w:t>
      </w:r>
      <w:bookmarkEnd w:id="27"/>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（1）4.1.4：在Ⅲ、Ⅳ、Ⅴ建筑气候区，当夏季主导风向上的建筑物迎风面宽度超过80m时，该建筑底层的通风架空率不应小于10％。</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（2）4.2.3：</w:t>
      </w:r>
      <w:r>
        <w:rPr>
          <w:rFonts w:ascii="Times New Roman" w:hAnsi="Times New Roman" w:cs="Times New Roman"/>
          <w:bCs/>
          <w:kern w:val="2"/>
        </w:rPr>
        <w:t>绿化遮阳体的叶面积指数不应小于3</w:t>
      </w:r>
      <w:r>
        <w:rPr>
          <w:rFonts w:hint="eastAsia" w:ascii="Times New Roman" w:hAnsi="Times New Roman" w:cs="Times New Roman"/>
          <w:bCs/>
          <w:kern w:val="2"/>
        </w:rPr>
        <w:t>.0</w:t>
      </w:r>
      <w:r>
        <w:rPr>
          <w:rFonts w:ascii="Times New Roman" w:hAnsi="Times New Roman" w:cs="Times New Roman"/>
          <w:bCs/>
          <w:kern w:val="2"/>
        </w:rPr>
        <w:t>。</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（3）4.3.1：居住区户外活动场地和人行道路地面应有雨水渗透与蒸发能力，渗透与蒸发指标不应低于表4.3.1的规定。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w:t>
      </w:r>
      <w:r>
        <w:rPr>
          <w:rStyle w:val="22"/>
          <w:rFonts w:hint="eastAsia" w:ascii="Arial" w:hAnsi="Arial" w:cs="Arial"/>
          <w:color w:val="333333"/>
          <w:sz w:val="21"/>
          <w:szCs w:val="21"/>
        </w:rPr>
        <w:t>3</w:t>
      </w:r>
      <w:r>
        <w:rPr>
          <w:rStyle w:val="22"/>
          <w:rFonts w:ascii="Arial" w:hAnsi="Arial" w:cs="Arial"/>
          <w:color w:val="333333"/>
          <w:sz w:val="21"/>
          <w:szCs w:val="21"/>
        </w:rPr>
        <w:t>．1 居住区</w:t>
      </w:r>
      <w:r>
        <w:rPr>
          <w:rStyle w:val="22"/>
          <w:rFonts w:hint="eastAsia" w:ascii="Arial" w:hAnsi="Arial" w:cs="Arial"/>
          <w:color w:val="333333"/>
          <w:sz w:val="21"/>
          <w:szCs w:val="21"/>
        </w:rPr>
        <w:t>地面渗透蒸发指标</w:t>
      </w:r>
    </w:p>
    <w:tbl>
      <w:tblPr>
        <w:tblStyle w:val="19"/>
        <w:tblW w:w="9747" w:type="dxa"/>
        <w:tblInd w:w="0" w:type="dxa"/>
        <w:tblLayout w:type="autofit"/>
        <w:tblCellMar>
          <w:top w:w="0" w:type="dxa"/>
          <w:left w:w="0" w:type="dxa"/>
          <w:bottom w:w="0" w:type="dxa"/>
          <w:right w:w="0" w:type="dxa"/>
        </w:tblCellMar>
      </w:tblPr>
      <w:tblGrid>
        <w:gridCol w:w="1116"/>
        <w:gridCol w:w="1456"/>
        <w:gridCol w:w="1439"/>
        <w:gridCol w:w="1278"/>
        <w:gridCol w:w="1536"/>
        <w:gridCol w:w="1505"/>
        <w:gridCol w:w="1417"/>
      </w:tblGrid>
      <w:tr>
        <w:tblPrEx>
          <w:tblCellMar>
            <w:top w:w="0" w:type="dxa"/>
            <w:left w:w="0" w:type="dxa"/>
            <w:bottom w:w="0" w:type="dxa"/>
            <w:right w:w="0" w:type="dxa"/>
          </w:tblCellMar>
        </w:tblPrEx>
        <w:trPr>
          <w:trHeight w:val="403" w:hRule="atLeast"/>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w:t>
            </w:r>
          </w:p>
        </w:tc>
        <w:tc>
          <w:tcPr>
            <w:tcW w:w="4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I、II、VI、VII气候区</w:t>
            </w:r>
          </w:p>
        </w:tc>
        <w:tc>
          <w:tcPr>
            <w:tcW w:w="445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III、IV、V气候区</w:t>
            </w:r>
          </w:p>
        </w:tc>
      </w:tr>
      <w:tr>
        <w:tblPrEx>
          <w:tblCellMar>
            <w:top w:w="0" w:type="dxa"/>
            <w:left w:w="0" w:type="dxa"/>
            <w:bottom w:w="0" w:type="dxa"/>
            <w:right w:w="0" w:type="dxa"/>
          </w:tblCellMar>
        </w:tblPrEx>
        <w:trPr>
          <w:trHeight w:val="1108"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bCs/>
                <w:kern w:val="2"/>
                <w:szCs w:val="21"/>
                <w:lang w:val="en-US"/>
              </w:rPr>
            </w:pP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43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广场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40</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3</w:t>
            </w:r>
          </w:p>
        </w:tc>
        <w:tc>
          <w:tcPr>
            <w:tcW w:w="127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1.6</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15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Arial" w:hAnsi="Arial" w:cs="Arial"/>
                <w:sz w:val="36"/>
                <w:szCs w:val="36"/>
                <w:lang w:val="en-US"/>
              </w:rPr>
            </w:pPr>
            <w:r>
              <w:rPr>
                <w:rFonts w:hint="eastAsia" w:ascii="微软雅黑" w:hAnsi="微软雅黑" w:cs="Arial" w:eastAsiaTheme="minorEastAsia"/>
                <w:color w:val="000000" w:themeColor="text1"/>
                <w:kern w:val="2"/>
                <w:sz w:val="24"/>
                <w:szCs w:val="24"/>
                <w:lang w:val="en-US"/>
                <w14:textFill>
                  <w14:solidFill>
                    <w14:schemeClr w14:val="tx1"/>
                  </w14:solidFill>
                </w14:textFill>
              </w:rPr>
              <w:t>3</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1.3</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游憩场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停车场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70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人行道</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bl>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（4）居住区内建筑屋面的绿化面积不应低于可绿化屋面面积的50％。</w:t>
      </w:r>
    </w:p>
    <w:p>
      <w:pPr>
        <w:pStyle w:val="3"/>
        <w:ind w:firstLine="199" w:firstLineChars="95"/>
        <w:rPr>
          <w:lang w:val="en-US"/>
        </w:rPr>
      </w:pPr>
      <w:r>
        <w:rPr>
          <w:rFonts w:hint="eastAsia"/>
          <w:lang w:val="en-US"/>
        </w:rPr>
        <w:t>当以上4条有任意一条不能满足时候，需要进行评价性设计。</w:t>
      </w:r>
    </w:p>
    <w:p>
      <w:pPr>
        <w:pStyle w:val="4"/>
      </w:pPr>
      <w:bookmarkStart w:id="28" w:name="_Toc3442"/>
      <w:r>
        <w:rPr>
          <w:rFonts w:hint="eastAsia"/>
        </w:rPr>
        <w:t>评价性设计</w:t>
      </w:r>
      <w:bookmarkEnd w:id="28"/>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9" w:name="_Toc17623"/>
      <w:r>
        <w:rPr>
          <w:rFonts w:hint="eastAsia"/>
        </w:rPr>
        <w:t>计算参数</w:t>
      </w:r>
      <w:bookmarkEnd w:id="29"/>
    </w:p>
    <w:p>
      <w:pPr>
        <w:pStyle w:val="4"/>
      </w:pPr>
      <w:bookmarkStart w:id="30" w:name="_Toc11150"/>
      <w:r>
        <w:rPr>
          <w:rFonts w:hint="eastAsia"/>
        </w:rPr>
        <w:t>典型气象日气象参数</w:t>
      </w:r>
      <w:bookmarkEnd w:id="3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29.3</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3.7</w:t>
            </w:r>
          </w:p>
        </w:tc>
        <w:tc>
          <w:tcPr>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29.0</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28.9</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29.2</w:t>
            </w:r>
          </w:p>
        </w:tc>
        <w:tc>
          <w:tcPr>
            <w:vAlign w:val="center"/>
          </w:tcPr>
          <w:p>
            <w:pPr>
              <w:jc w:val="center"/>
            </w:pPr>
            <w:r>
              <w:t>67</w:t>
            </w:r>
          </w:p>
        </w:tc>
        <w:tc>
          <w:tcPr>
            <w:vAlign w:val="center"/>
          </w:tcPr>
          <w:p>
            <w:pPr>
              <w:jc w:val="center"/>
            </w:pPr>
            <w:r>
              <w:t>19.44</w:t>
            </w:r>
          </w:p>
        </w:tc>
        <w:tc>
          <w:tcPr>
            <w:vAlign w:val="center"/>
          </w:tcPr>
          <w:p>
            <w:pPr>
              <w:jc w:val="center"/>
            </w:pPr>
            <w:r>
              <w:t>19.44</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29.7</w:t>
            </w:r>
          </w:p>
        </w:tc>
        <w:tc>
          <w:tcPr>
            <w:vAlign w:val="center"/>
          </w:tcPr>
          <w:p>
            <w:pPr>
              <w:jc w:val="center"/>
            </w:pPr>
            <w:r>
              <w:t>66</w:t>
            </w:r>
          </w:p>
        </w:tc>
        <w:tc>
          <w:tcPr>
            <w:vAlign w:val="center"/>
          </w:tcPr>
          <w:p>
            <w:pPr>
              <w:jc w:val="center"/>
            </w:pPr>
            <w:r>
              <w:t>105.56</w:t>
            </w:r>
          </w:p>
        </w:tc>
        <w:tc>
          <w:tcPr>
            <w:vAlign w:val="center"/>
          </w:tcPr>
          <w:p>
            <w:pPr>
              <w:jc w:val="center"/>
            </w:pPr>
            <w:r>
              <w:t>77.78</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30.4</w:t>
            </w:r>
          </w:p>
        </w:tc>
        <w:tc>
          <w:tcPr>
            <w:vAlign w:val="center"/>
          </w:tcPr>
          <w:p>
            <w:pPr>
              <w:jc w:val="center"/>
            </w:pPr>
            <w:r>
              <w:t>64</w:t>
            </w:r>
          </w:p>
        </w:tc>
        <w:tc>
          <w:tcPr>
            <w:vAlign w:val="center"/>
          </w:tcPr>
          <w:p>
            <w:pPr>
              <w:jc w:val="center"/>
            </w:pPr>
            <w:r>
              <w:t>211.11</w:t>
            </w:r>
          </w:p>
        </w:tc>
        <w:tc>
          <w:tcPr>
            <w:vAlign w:val="center"/>
          </w:tcPr>
          <w:p>
            <w:pPr>
              <w:jc w:val="center"/>
            </w:pPr>
            <w:r>
              <w:t>138.89</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31.3</w:t>
            </w:r>
          </w:p>
        </w:tc>
        <w:tc>
          <w:tcPr>
            <w:vAlign w:val="center"/>
          </w:tcPr>
          <w:p>
            <w:pPr>
              <w:jc w:val="center"/>
            </w:pPr>
            <w:r>
              <w:t>62</w:t>
            </w:r>
          </w:p>
        </w:tc>
        <w:tc>
          <w:tcPr>
            <w:vAlign w:val="center"/>
          </w:tcPr>
          <w:p>
            <w:pPr>
              <w:jc w:val="center"/>
            </w:pPr>
            <w:r>
              <w:t>319.44</w:t>
            </w:r>
          </w:p>
        </w:tc>
        <w:tc>
          <w:tcPr>
            <w:vAlign w:val="center"/>
          </w:tcPr>
          <w:p>
            <w:pPr>
              <w:jc w:val="center"/>
            </w:pPr>
            <w:r>
              <w:t>191.67</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32.2</w:t>
            </w:r>
          </w:p>
        </w:tc>
        <w:tc>
          <w:tcPr>
            <w:vAlign w:val="center"/>
          </w:tcPr>
          <w:p>
            <w:pPr>
              <w:jc w:val="center"/>
            </w:pPr>
            <w:r>
              <w:t>60</w:t>
            </w:r>
          </w:p>
        </w:tc>
        <w:tc>
          <w:tcPr>
            <w:vAlign w:val="center"/>
          </w:tcPr>
          <w:p>
            <w:pPr>
              <w:jc w:val="center"/>
            </w:pPr>
            <w:r>
              <w:t>425.00</w:t>
            </w:r>
          </w:p>
        </w:tc>
        <w:tc>
          <w:tcPr>
            <w:vAlign w:val="center"/>
          </w:tcPr>
          <w:p>
            <w:pPr>
              <w:jc w:val="center"/>
            </w:pPr>
            <w:r>
              <w:t>236.11</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33.1</w:t>
            </w:r>
          </w:p>
        </w:tc>
        <w:tc>
          <w:tcPr>
            <w:vAlign w:val="center"/>
          </w:tcPr>
          <w:p>
            <w:pPr>
              <w:jc w:val="center"/>
            </w:pPr>
            <w:r>
              <w:t>57</w:t>
            </w:r>
          </w:p>
        </w:tc>
        <w:tc>
          <w:tcPr>
            <w:vAlign w:val="center"/>
          </w:tcPr>
          <w:p>
            <w:pPr>
              <w:jc w:val="center"/>
            </w:pPr>
            <w:r>
              <w:t>508.33</w:t>
            </w:r>
          </w:p>
        </w:tc>
        <w:tc>
          <w:tcPr>
            <w:vAlign w:val="center"/>
          </w:tcPr>
          <w:p>
            <w:pPr>
              <w:jc w:val="center"/>
            </w:pPr>
            <w:r>
              <w:t>269.44</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33.9</w:t>
            </w:r>
          </w:p>
        </w:tc>
        <w:tc>
          <w:tcPr>
            <w:vAlign w:val="center"/>
          </w:tcPr>
          <w:p>
            <w:pPr>
              <w:jc w:val="center"/>
            </w:pPr>
            <w:r>
              <w:t>56</w:t>
            </w:r>
          </w:p>
        </w:tc>
        <w:tc>
          <w:tcPr>
            <w:vAlign w:val="center"/>
          </w:tcPr>
          <w:p>
            <w:pPr>
              <w:jc w:val="center"/>
            </w:pPr>
            <w:r>
              <w:t>561.11</w:t>
            </w:r>
          </w:p>
        </w:tc>
        <w:tc>
          <w:tcPr>
            <w:vAlign w:val="center"/>
          </w:tcPr>
          <w:p>
            <w:pPr>
              <w:jc w:val="center"/>
            </w:pPr>
            <w:r>
              <w:t>288.89</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34.5</w:t>
            </w:r>
          </w:p>
        </w:tc>
        <w:tc>
          <w:tcPr>
            <w:vAlign w:val="center"/>
          </w:tcPr>
          <w:p>
            <w:pPr>
              <w:jc w:val="center"/>
            </w:pPr>
            <w:r>
              <w:t>54</w:t>
            </w:r>
          </w:p>
        </w:tc>
        <w:tc>
          <w:tcPr>
            <w:vAlign w:val="center"/>
          </w:tcPr>
          <w:p>
            <w:pPr>
              <w:jc w:val="center"/>
            </w:pPr>
            <w:r>
              <w:t>575.00</w:t>
            </w:r>
          </w:p>
        </w:tc>
        <w:tc>
          <w:tcPr>
            <w:vAlign w:val="center"/>
          </w:tcPr>
          <w:p>
            <w:pPr>
              <w:jc w:val="center"/>
            </w:pPr>
            <w:r>
              <w:t>294.44</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34.8</w:t>
            </w:r>
          </w:p>
        </w:tc>
        <w:tc>
          <w:tcPr>
            <w:vAlign w:val="center"/>
          </w:tcPr>
          <w:p>
            <w:pPr>
              <w:jc w:val="center"/>
            </w:pPr>
            <w:r>
              <w:t>54</w:t>
            </w:r>
          </w:p>
        </w:tc>
        <w:tc>
          <w:tcPr>
            <w:vAlign w:val="center"/>
          </w:tcPr>
          <w:p>
            <w:pPr>
              <w:jc w:val="center"/>
            </w:pPr>
            <w:r>
              <w:t>547.22</w:t>
            </w:r>
          </w:p>
        </w:tc>
        <w:tc>
          <w:tcPr>
            <w:vAlign w:val="center"/>
          </w:tcPr>
          <w:p>
            <w:pPr>
              <w:jc w:val="center"/>
            </w:pPr>
            <w:r>
              <w:t>286.11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34.7</w:t>
            </w:r>
          </w:p>
        </w:tc>
        <w:tc>
          <w:tcPr>
            <w:vAlign w:val="center"/>
          </w:tcPr>
          <w:p>
            <w:pPr>
              <w:jc w:val="center"/>
            </w:pPr>
            <w:r>
              <w:t>54</w:t>
            </w:r>
          </w:p>
        </w:tc>
        <w:tc>
          <w:tcPr>
            <w:vAlign w:val="center"/>
          </w:tcPr>
          <w:p>
            <w:pPr>
              <w:jc w:val="center"/>
            </w:pPr>
            <w:r>
              <w:t>480.56</w:t>
            </w:r>
          </w:p>
        </w:tc>
        <w:tc>
          <w:tcPr>
            <w:vAlign w:val="center"/>
          </w:tcPr>
          <w:p>
            <w:pPr>
              <w:jc w:val="center"/>
            </w:pPr>
            <w:r>
              <w:t>258.33</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34.2</w:t>
            </w:r>
          </w:p>
        </w:tc>
        <w:tc>
          <w:tcPr>
            <w:vAlign w:val="center"/>
          </w:tcPr>
          <w:p>
            <w:pPr>
              <w:jc w:val="center"/>
            </w:pPr>
            <w:r>
              <w:t>56</w:t>
            </w:r>
          </w:p>
        </w:tc>
        <w:tc>
          <w:tcPr>
            <w:vAlign w:val="center"/>
          </w:tcPr>
          <w:p>
            <w:pPr>
              <w:jc w:val="center"/>
            </w:pPr>
            <w:r>
              <w:t>386.11</w:t>
            </w:r>
          </w:p>
        </w:tc>
        <w:tc>
          <w:tcPr>
            <w:vAlign w:val="center"/>
          </w:tcPr>
          <w:p>
            <w:pPr>
              <w:jc w:val="center"/>
            </w:pPr>
            <w:r>
              <w:t>216.67</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33.6</w:t>
            </w:r>
          </w:p>
        </w:tc>
        <w:tc>
          <w:tcPr>
            <w:vAlign w:val="center"/>
          </w:tcPr>
          <w:p>
            <w:pPr>
              <w:jc w:val="center"/>
            </w:pPr>
            <w:r>
              <w:t>58</w:t>
            </w:r>
          </w:p>
        </w:tc>
        <w:tc>
          <w:tcPr>
            <w:vAlign w:val="center"/>
          </w:tcPr>
          <w:p>
            <w:pPr>
              <w:jc w:val="center"/>
            </w:pPr>
            <w:r>
              <w:t>277.78</w:t>
            </w:r>
          </w:p>
        </w:tc>
        <w:tc>
          <w:tcPr>
            <w:vAlign w:val="center"/>
          </w:tcPr>
          <w:p>
            <w:pPr>
              <w:jc w:val="center"/>
            </w:pPr>
            <w:r>
              <w:t>166.67</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32.7</w:t>
            </w:r>
          </w:p>
        </w:tc>
        <w:tc>
          <w:tcPr>
            <w:vAlign w:val="center"/>
          </w:tcPr>
          <w:p>
            <w:pPr>
              <w:jc w:val="center"/>
            </w:pPr>
            <w:r>
              <w:t>60</w:t>
            </w:r>
          </w:p>
        </w:tc>
        <w:tc>
          <w:tcPr>
            <w:vAlign w:val="center"/>
          </w:tcPr>
          <w:p>
            <w:pPr>
              <w:jc w:val="center"/>
            </w:pPr>
            <w:r>
              <w:t>169.44</w:t>
            </w:r>
          </w:p>
        </w:tc>
        <w:tc>
          <w:tcPr>
            <w:vAlign w:val="center"/>
          </w:tcPr>
          <w:p>
            <w:pPr>
              <w:jc w:val="center"/>
            </w:pPr>
            <w:r>
              <w:t>111.11</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31.9</w:t>
            </w:r>
          </w:p>
        </w:tc>
        <w:tc>
          <w:tcPr>
            <w:vAlign w:val="center"/>
          </w:tcPr>
          <w:p>
            <w:pPr>
              <w:jc w:val="center"/>
            </w:pPr>
            <w:r>
              <w:t>62</w:t>
            </w:r>
          </w:p>
        </w:tc>
        <w:tc>
          <w:tcPr>
            <w:vAlign w:val="center"/>
          </w:tcPr>
          <w:p>
            <w:pPr>
              <w:jc w:val="center"/>
            </w:pPr>
            <w:r>
              <w:t>72.22</w:t>
            </w:r>
          </w:p>
        </w:tc>
        <w:tc>
          <w:tcPr>
            <w:vAlign w:val="center"/>
          </w:tcPr>
          <w:p>
            <w:pPr>
              <w:jc w:val="center"/>
            </w:pPr>
            <w:r>
              <w:t>50.00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31.1</w:t>
            </w:r>
          </w:p>
        </w:tc>
        <w:tc>
          <w:tcPr>
            <w:vAlign w:val="center"/>
          </w:tcPr>
          <w:p>
            <w:pPr>
              <w:jc w:val="center"/>
            </w:pPr>
            <w:r>
              <w:t>64</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30.4</w:t>
            </w:r>
          </w:p>
        </w:tc>
        <w:tc>
          <w:tcPr>
            <w:vAlign w:val="center"/>
          </w:tcPr>
          <w:p>
            <w:pPr>
              <w:jc w:val="center"/>
            </w:pPr>
            <w:r>
              <w:t>66</w:t>
            </w:r>
          </w:p>
        </w:tc>
        <w:tc>
          <w:tcPr>
            <w:vAlign w:val="center"/>
          </w:tcPr>
          <w:p>
            <w:pPr>
              <w:jc w:val="center"/>
            </w:pPr>
            <w:r>
              <w:t>0.00</w:t>
            </w:r>
          </w:p>
        </w:tc>
        <w:tc>
          <w:tcPr>
            <w:vAlign w:val="center"/>
          </w:tcPr>
          <w:p>
            <w:pPr>
              <w:jc w:val="center"/>
            </w:pPr>
            <w:r>
              <w:t>0.00</w:t>
            </w:r>
          </w:p>
        </w:tc>
        <w:tc>
          <w:tcPr>
            <w:vAlign w:val="center"/>
          </w:tcPr>
          <w:p>
            <w:pPr>
              <w:jc w:val="center"/>
            </w:pPr>
            <w:r>
              <w:t>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29.9</w:t>
            </w:r>
          </w:p>
        </w:tc>
        <w:tc>
          <w:tcPr>
            <w:vAlign w:val="center"/>
          </w:tcPr>
          <w:p>
            <w:pPr>
              <w:jc w:val="center"/>
            </w:pPr>
            <w:r>
              <w:t>67</w:t>
            </w:r>
          </w:p>
        </w:tc>
        <w:tc>
          <w:tcPr>
            <w:vAlign w:val="center"/>
          </w:tcPr>
          <w:p>
            <w:pPr>
              <w:jc w:val="center"/>
            </w:pPr>
            <w:r>
              <w:t>0.00</w:t>
            </w:r>
          </w:p>
        </w:tc>
        <w:tc>
          <w:tcPr>
            <w:vAlign w:val="center"/>
          </w:tcPr>
          <w:p>
            <w:pPr>
              <w:jc w:val="center"/>
            </w:pPr>
            <w:r>
              <w:t>0.00</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29.5</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29.2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31.3</w:t>
            </w:r>
          </w:p>
        </w:tc>
        <w:tc>
          <w:tcPr>
            <w:vAlign w:val="center"/>
          </w:tcPr>
          <w:p>
            <w:pPr>
              <w:jc w:val="center"/>
            </w:pPr>
            <w:r>
              <w:t>63</w:t>
            </w:r>
          </w:p>
        </w:tc>
        <w:tc>
          <w:tcPr>
            <w:vAlign w:val="center"/>
          </w:tcPr>
          <w:p>
            <w:pPr>
              <w:jc w:val="center"/>
            </w:pPr>
            <w:r>
              <w:t>194.10</w:t>
            </w:r>
          </w:p>
        </w:tc>
        <w:tc>
          <w:tcPr>
            <w:vAlign w:val="center"/>
          </w:tcPr>
          <w:p>
            <w:pPr>
              <w:jc w:val="center"/>
            </w:pPr>
            <w:r>
              <w:t>108.56</w:t>
            </w:r>
          </w:p>
        </w:tc>
        <w:tc>
          <w:tcPr>
            <w:vAlign w:val="center"/>
          </w:tcPr>
          <w:p>
            <w:pPr>
              <w:jc w:val="center"/>
            </w:pPr>
            <w:r>
              <w:t>3.2</w:t>
            </w:r>
          </w:p>
        </w:tc>
        <w:tc>
          <w:tcPr>
            <w:vMerge w:val="continue"/>
            <w:vAlign w:val="center"/>
          </w:tcPr>
          <w:p>
            <w:pPr>
              <w:jc w:val="center"/>
            </w:pPr>
          </w:p>
        </w:tc>
      </w:tr>
    </w:tbl>
    <w:p>
      <w:pPr>
        <w:pStyle w:val="3"/>
        <w:ind w:firstLine="0" w:firstLineChars="0"/>
        <w:rPr>
          <w:lang w:val="en-US"/>
        </w:rPr>
      </w:pPr>
      <w:bookmarkStart w:id="31" w:name="气象参数"/>
      <w:bookmarkEnd w:id="31"/>
    </w:p>
    <w:p>
      <w:pPr>
        <w:pStyle w:val="4"/>
      </w:pPr>
      <w:bookmarkStart w:id="32" w:name="_Toc28834"/>
      <w:r>
        <w:rPr>
          <w:rFonts w:hint="eastAsia"/>
        </w:rPr>
        <w:t>渗透面夏季逐时蒸发量</w:t>
      </w:r>
      <w:bookmarkEnd w:id="3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blPrEx>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blPrEx>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pPr>
        <w:pStyle w:val="3"/>
        <w:ind w:firstLine="0" w:firstLineChars="0"/>
        <w:rPr>
          <w:lang w:val="en-US"/>
        </w:rPr>
      </w:pPr>
      <w:bookmarkStart w:id="33" w:name="蒸发量参数"/>
      <w:bookmarkEnd w:id="33"/>
    </w:p>
    <w:p>
      <w:pPr>
        <w:pStyle w:val="2"/>
      </w:pPr>
      <w:bookmarkStart w:id="34" w:name="_Toc5608"/>
      <w:r>
        <w:rPr>
          <w:rFonts w:hint="eastAsia"/>
        </w:rPr>
        <w:t>住区指标概览</w:t>
      </w:r>
      <w:bookmarkEnd w:id="3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40834.63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34414.16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6130.58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1075.62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4066.35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19794.41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130.17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6902.26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11.65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5" w:name="住区指标概览"/>
      <w:bookmarkEnd w:id="35"/>
    </w:p>
    <w:p>
      <w:pPr>
        <w:pStyle w:val="2"/>
      </w:pPr>
      <w:bookmarkStart w:id="36" w:name="_Toc26626"/>
      <w:r>
        <w:rPr>
          <w:rFonts w:hint="eastAsia"/>
        </w:rPr>
        <w:t>规定性设计指标</w:t>
      </w:r>
      <w:bookmarkEnd w:id="36"/>
    </w:p>
    <w:p>
      <w:pPr>
        <w:pStyle w:val="4"/>
      </w:pPr>
      <w:bookmarkStart w:id="37" w:name="_Toc3487"/>
      <w:r>
        <w:rPr>
          <w:rFonts w:hint="eastAsia"/>
        </w:rPr>
        <w:t>平均迎风面积比</w:t>
      </w:r>
      <w:bookmarkEnd w:id="3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vAlign w:val="center"/>
          </w:tcPr>
          <w:p>
            <w:r>
              <w:t>1709.88</w:t>
            </w:r>
          </w:p>
        </w:tc>
        <w:tc>
          <w:tcPr>
            <w:vAlign w:val="center"/>
          </w:tcPr>
          <w:p>
            <w:r>
              <w:t>1831.65</w:t>
            </w:r>
          </w:p>
        </w:tc>
        <w:tc>
          <w:tcPr>
            <w:vAlign w:val="center"/>
          </w:tcPr>
          <w:p>
            <w:r>
              <w:t>40.00</w:t>
            </w:r>
          </w:p>
        </w:tc>
        <w:tc>
          <w:tcPr>
            <w:vAlign w:val="center"/>
          </w:tcPr>
          <w:p>
            <w:r>
              <w:t>0.9335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gridSpan w:val="4"/>
            <w:vAlign w:val="center"/>
          </w:tcPr>
          <w:p>
            <w:r>
              <w:rPr>
                <w:b/>
                <w:color w:val="FF0000"/>
              </w:rPr>
              <w:t>0.934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color w:val="FF0000"/>
              </w:rPr>
              <w:t>不满足</w:t>
            </w:r>
          </w:p>
        </w:tc>
      </w:tr>
    </w:tbl>
    <w:p>
      <w:pPr>
        <w:pStyle w:val="3"/>
        <w:ind w:firstLine="420"/>
        <w:rPr>
          <w:lang w:val="en-US"/>
        </w:rPr>
      </w:pPr>
      <w:bookmarkStart w:id="38" w:name="平均迎风面积比"/>
      <w:bookmarkEnd w:id="38"/>
    </w:p>
    <w:p>
      <w:pPr>
        <w:pStyle w:val="4"/>
      </w:pPr>
      <w:bookmarkStart w:id="39" w:name="_Toc25594"/>
      <w:r>
        <w:rPr>
          <w:rFonts w:hint="eastAsia"/>
        </w:rPr>
        <w:t>活动场地遮阳覆盖率</w:t>
      </w:r>
      <w:bookmarkEnd w:id="3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游憩场</w:t>
            </w:r>
          </w:p>
        </w:tc>
        <w:tc>
          <w:tcPr>
            <w:vAlign w:val="center"/>
          </w:tcPr>
          <w:p>
            <w:r>
              <w:t>0.0</w:t>
            </w:r>
          </w:p>
        </w:tc>
        <w:tc>
          <w:tcPr>
            <w:vAlign w:val="center"/>
          </w:tcPr>
          <w:p>
            <w:r>
              <w:t>771.7</w:t>
            </w:r>
          </w:p>
        </w:tc>
        <w:tc>
          <w:tcPr>
            <w:vAlign w:val="center"/>
          </w:tcPr>
          <w:p>
            <w:r>
              <w:rPr>
                <w:color w:val="FF0000"/>
              </w:rPr>
              <w:t>0</w:t>
            </w:r>
          </w:p>
        </w:tc>
        <w:tc>
          <w:tcPr>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0.1</w:t>
            </w:r>
          </w:p>
        </w:tc>
        <w:tc>
          <w:tcPr>
            <w:vAlign w:val="center"/>
          </w:tcPr>
          <w:p>
            <w:r>
              <w:t>6130.6</w:t>
            </w:r>
          </w:p>
        </w:tc>
        <w:tc>
          <w:tcPr>
            <w:vAlign w:val="center"/>
          </w:tcPr>
          <w:p>
            <w:r>
              <w:rPr>
                <w:color w:val="FF0000"/>
              </w:rPr>
              <w:t>0</w:t>
            </w:r>
          </w:p>
        </w:tc>
        <w:tc>
          <w:tcPr>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color w:val="FF0000"/>
              </w:rPr>
              <w:t>不满足</w:t>
            </w:r>
          </w:p>
        </w:tc>
      </w:tr>
    </w:tbl>
    <w:p>
      <w:pPr>
        <w:pStyle w:val="3"/>
        <w:ind w:firstLine="420"/>
        <w:rPr>
          <w:lang w:val="en-US"/>
        </w:rPr>
      </w:pPr>
      <w:bookmarkStart w:id="40" w:name="活动场地遮阳覆盖率"/>
      <w:bookmarkEnd w:id="40"/>
    </w:p>
    <w:p>
      <w:pPr>
        <w:pStyle w:val="4"/>
      </w:pPr>
      <w:bookmarkStart w:id="41" w:name="_Toc31364"/>
      <w:r>
        <w:rPr>
          <w:rFonts w:hint="eastAsia"/>
        </w:rPr>
        <w:t>底层通风架空率</w:t>
      </w:r>
      <w:bookmarkEnd w:id="4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底层架空面积(㎡)</w:t>
            </w:r>
          </w:p>
        </w:tc>
        <w:tc>
          <w:tcPr>
            <w:shd w:val="clear" w:color="auto" w:fill="E6E6E6"/>
            <w:vAlign w:val="center"/>
          </w:tcPr>
          <w:p>
            <w:pPr>
              <w:jc w:val="center"/>
            </w:pPr>
            <w:r>
              <w:t>基底面积(㎡)</w:t>
            </w:r>
          </w:p>
        </w:tc>
        <w:tc>
          <w:tcPr>
            <w:shd w:val="clear" w:color="auto" w:fill="E6E6E6"/>
            <w:vAlign w:val="center"/>
          </w:tcPr>
          <w:p>
            <w:pPr>
              <w:jc w:val="center"/>
            </w:pPr>
            <w:r>
              <w:t>迎风面宽度(m)</w:t>
            </w:r>
          </w:p>
        </w:tc>
        <w:tc>
          <w:tcPr>
            <w:shd w:val="clear" w:color="auto" w:fill="E6E6E6"/>
            <w:vAlign w:val="center"/>
          </w:tcPr>
          <w:p>
            <w:pPr>
              <w:jc w:val="center"/>
            </w:pPr>
            <w:r>
              <w:t>底层通风架空率(%)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tc>
        <w:tc>
          <w:tcPr>
            <w:vAlign w:val="center"/>
          </w:tcPr>
          <w:p>
            <w:r>
              <w:t>0.0</w:t>
            </w:r>
          </w:p>
        </w:tc>
        <w:tc>
          <w:tcPr>
            <w:vAlign w:val="center"/>
          </w:tcPr>
          <w:p>
            <w:r>
              <w:t>4635.2</w:t>
            </w:r>
          </w:p>
        </w:tc>
        <w:tc>
          <w:tcPr>
            <w:vAlign w:val="center"/>
          </w:tcPr>
          <w:p>
            <w:r>
              <w:t>183.5</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vAlign w:val="center"/>
          </w:tcPr>
          <w:p>
            <w:r>
              <w:t>0.0</w:t>
            </w:r>
          </w:p>
        </w:tc>
        <w:tc>
          <w:tcPr>
            <w:vAlign w:val="center"/>
          </w:tcPr>
          <w:p>
            <w:r>
              <w:t>4181.3</w:t>
            </w:r>
          </w:p>
        </w:tc>
        <w:tc>
          <w:tcPr>
            <w:vAlign w:val="center"/>
          </w:tcPr>
          <w:p>
            <w:r>
              <w:t>0.0</w:t>
            </w:r>
          </w:p>
        </w:tc>
        <w:tc>
          <w:tcPr>
            <w:vAlign w:val="center"/>
          </w:tcPr>
          <w:p>
            <w:r>
              <w:t>0</w:t>
            </w:r>
          </w:p>
        </w:tc>
      </w:tr>
      <w:tr>
        <w:tblPrEx>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《城市居住区热环境设计标准》4.1.4条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III、IV、V气候区，夏季主导风向迎风面积宽度超过80m时，底层通风架空率不应小于10%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color w:val="FF0000"/>
              </w:rPr>
              <w:t>不满足</w:t>
            </w:r>
          </w:p>
        </w:tc>
      </w:tr>
    </w:tbl>
    <w:p>
      <w:pPr>
        <w:pStyle w:val="3"/>
        <w:ind w:firstLine="420"/>
        <w:rPr>
          <w:lang w:val="en-US"/>
        </w:rPr>
      </w:pPr>
      <w:bookmarkStart w:id="42" w:name="底层通风架空率"/>
      <w:bookmarkEnd w:id="42"/>
    </w:p>
    <w:p>
      <w:pPr>
        <w:pStyle w:val="4"/>
      </w:pPr>
      <w:bookmarkStart w:id="43" w:name="_Toc23688"/>
      <w:r>
        <w:rPr>
          <w:rFonts w:hint="eastAsia"/>
        </w:rPr>
        <w:t>绿化遮阳体叶面积指数</w:t>
      </w:r>
      <w:bookmarkEnd w:id="4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遮阳体类型</w:t>
            </w:r>
          </w:p>
        </w:tc>
        <w:tc>
          <w:tcPr>
            <w:shd w:val="clear" w:color="auto" w:fill="E6E6E6"/>
            <w:vAlign w:val="center"/>
          </w:tcPr>
          <w:p>
            <w:pPr>
              <w:jc w:val="center"/>
            </w:pPr>
            <w:r>
              <w:t>叶面积指数</w:t>
            </w:r>
          </w:p>
        </w:tc>
        <w:tc>
          <w:tcPr>
            <w:shd w:val="clear" w:color="auto" w:fill="E6E6E6"/>
            <w:vAlign w:val="center"/>
          </w:tcPr>
          <w:p>
            <w:pPr>
              <w:jc w:val="center"/>
            </w:pPr>
            <w:r>
              <w:t>面积(㎡)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乔木</w:t>
            </w:r>
          </w:p>
        </w:tc>
        <w:tc>
          <w:tcPr>
            <w:vAlign w:val="center"/>
          </w:tcPr>
          <w:p>
            <w:r>
              <w:t>LAI&gt;3</w:t>
            </w:r>
          </w:p>
        </w:tc>
        <w:tc>
          <w:tcPr>
            <w:vAlign w:val="center"/>
          </w:tcPr>
          <w:p>
            <w:r>
              <w:t>28127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爬藤棚架</w:t>
            </w:r>
          </w:p>
        </w:tc>
        <w:tc>
          <w:tcPr>
            <w:vAlign w:val="center"/>
          </w:tcPr>
          <w:p>
            <w:r>
              <w:t>LAI&gt;3</w:t>
            </w:r>
          </w:p>
        </w:tc>
        <w:tc>
          <w:tcPr>
            <w:vAlign w:val="center"/>
          </w:tcPr>
          <w:p>
            <w:r>
              <w:t>0</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《城市居住区热环境设计标准》4.2.3条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绿化遮阳体叶面积指数不应小于3.0</w:t>
            </w:r>
          </w:p>
        </w:tc>
      </w:tr>
      <w:tr>
        <w:tblPrEx>
          <w:tblCellMar>
            <w:top w:w="0" w:type="dxa"/>
            <w:left w:w="108" w:type="dxa"/>
            <w:bottom w:w="0" w:type="dxa"/>
            <w:right w:w="108" w:type="dxa"/>
          </w:tblCellMar>
        </w:tblPrEx>
        <w:tc>
          <w:tcPr>
            <w:shd w:val="clear" w:color="auto" w:fill="E6E6E6"/>
            <w:vAlign w:val="center"/>
          </w:tcPr>
          <w:p>
            <w:r>
              <w:t>结论</w:t>
            </w:r>
          </w:p>
        </w:tc>
        <w:tc>
          <w:tcPr>
            <w:gridSpan w:val="2"/>
            <w:vAlign w:val="center"/>
          </w:tcPr>
          <w:p>
            <w:r>
              <w:t>满足</w:t>
            </w:r>
          </w:p>
        </w:tc>
      </w:tr>
    </w:tbl>
    <w:p>
      <w:pPr>
        <w:pStyle w:val="3"/>
        <w:ind w:firstLine="420"/>
        <w:rPr>
          <w:lang w:val="en-US"/>
        </w:rPr>
      </w:pPr>
      <w:bookmarkStart w:id="44" w:name="绿化遮阳体叶面积指数"/>
      <w:bookmarkEnd w:id="44"/>
    </w:p>
    <w:p>
      <w:pPr>
        <w:pStyle w:val="4"/>
      </w:pPr>
      <w:bookmarkStart w:id="45" w:name="_Toc11846"/>
      <w:r>
        <w:rPr>
          <w:rFonts w:hint="eastAsia"/>
        </w:rPr>
        <w:t>渗透蒸发指标</w:t>
      </w:r>
      <w:bookmarkEnd w:id="4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地面透水系数k(mm/s)</w:t>
            </w:r>
          </w:p>
        </w:tc>
        <w:tc>
          <w:tcPr>
            <w:shd w:val="clear" w:color="auto" w:fill="E6E6E6"/>
            <w:vAlign w:val="center"/>
          </w:tcPr>
          <w:p>
            <w:pPr>
              <w:jc w:val="center"/>
            </w:pPr>
            <w:r>
              <w:t>蒸发量m</w:t>
            </w:r>
            <w:r>
              <w:br w:type="textWrapping"/>
            </w:r>
            <w:r>
              <w:t>(kg/(㎡·d))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游憩场</w:t>
            </w:r>
          </w:p>
        </w:tc>
        <w:tc>
          <w:tcPr>
            <w:vAlign w:val="center"/>
          </w:tcPr>
          <w:p>
            <w:r>
              <w:t>772</w:t>
            </w:r>
          </w:p>
        </w:tc>
        <w:tc>
          <w:tcPr>
            <w:vAlign w:val="center"/>
          </w:tcPr>
          <w:p>
            <w:r>
              <w:t>0.112</w:t>
            </w:r>
          </w:p>
        </w:tc>
        <w:tc>
          <w:tcPr>
            <w:vAlign w:val="center"/>
          </w:tcPr>
          <w:p>
            <w:r>
              <w:t>4.40</w:t>
            </w:r>
          </w:p>
        </w:tc>
        <w:tc>
          <w:tcPr>
            <w:vAlign w:val="center"/>
          </w:tcPr>
          <w:p>
            <w:r>
              <w:t>1.69</w:t>
            </w:r>
          </w:p>
        </w:tc>
      </w:tr>
      <w:tr>
        <w:tblPrEx>
          <w:tblCellMar>
            <w:top w:w="0" w:type="dxa"/>
            <w:left w:w="108" w:type="dxa"/>
            <w:bottom w:w="0" w:type="dxa"/>
            <w:right w:w="108" w:type="dxa"/>
          </w:tblCellMar>
        </w:tblPrEx>
        <w:tc>
          <w:tcPr>
            <w:shd w:val="clear" w:color="auto" w:fill="E6E6E6"/>
            <w:vAlign w:val="center"/>
          </w:tcPr>
          <w:p>
            <w:r>
              <w:t>人行道</w:t>
            </w:r>
          </w:p>
        </w:tc>
        <w:tc>
          <w:tcPr>
            <w:vAlign w:val="center"/>
          </w:tcPr>
          <w:p>
            <w:r>
              <w:t>6131</w:t>
            </w:r>
          </w:p>
        </w:tc>
        <w:tc>
          <w:tcPr>
            <w:vAlign w:val="center"/>
          </w:tcPr>
          <w:p>
            <w:r>
              <w:t>0.888</w:t>
            </w:r>
          </w:p>
        </w:tc>
        <w:tc>
          <w:tcPr>
            <w:vAlign w:val="center"/>
          </w:tcPr>
          <w:p>
            <w:r>
              <w:t>3.80</w:t>
            </w:r>
          </w:p>
        </w:tc>
        <w:tc>
          <w:tcPr>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6902</w:t>
            </w:r>
          </w:p>
        </w:tc>
        <w:tc>
          <w:tcPr>
            <w:vAlign w:val="center"/>
          </w:tcPr>
          <w:p>
            <w:r>
              <w:t>1.0</w:t>
            </w:r>
          </w:p>
        </w:tc>
        <w:tc>
          <w:tcPr>
            <w:vAlign w:val="center"/>
          </w:tcPr>
          <w:p>
            <w:r>
              <w:t>3.87</w:t>
            </w:r>
          </w:p>
        </w:tc>
        <w:tc>
          <w:tcPr>
            <w:vAlign w:val="center"/>
          </w:tcPr>
          <w:p>
            <w:r>
              <w:t>1.69</w:t>
            </w:r>
          </w:p>
        </w:tc>
      </w:tr>
    </w:tbl>
    <w:p>
      <w:pPr>
        <w:pStyle w:val="3"/>
        <w:ind w:firstLine="420"/>
        <w:rPr>
          <w:lang w:val="en-US"/>
        </w:rPr>
      </w:pPr>
      <w:bookmarkStart w:id="46" w:name="渗透蒸发指标"/>
      <w:bookmarkEnd w:id="4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渗透面积比率(%)</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游憩场</w:t>
            </w:r>
          </w:p>
        </w:tc>
        <w:tc>
          <w:tcPr>
            <w:vAlign w:val="center"/>
          </w:tcPr>
          <w:p>
            <w:r>
              <w:t>100</w:t>
            </w:r>
          </w:p>
        </w:tc>
        <w:tc>
          <w:tcPr>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100</w:t>
            </w:r>
          </w:p>
        </w:tc>
        <w:tc>
          <w:tcPr>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pPr>
              <w:jc w:val="center"/>
            </w:pPr>
            <w:r>
              <w:t>渗透与蒸发指标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地面透水系数k(mm/s)</w:t>
            </w:r>
          </w:p>
        </w:tc>
        <w:tc>
          <w:tcPr>
            <w:vAlign w:val="center"/>
          </w:tcPr>
          <w:p>
            <w:r>
              <w:t>3.87</w:t>
            </w:r>
          </w:p>
        </w:tc>
        <w:tc>
          <w:tcPr>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蒸发量m(kg/(㎡·d))</w:t>
            </w:r>
          </w:p>
        </w:tc>
        <w:tc>
          <w:tcPr>
            <w:vAlign w:val="center"/>
          </w:tcPr>
          <w:p>
            <w:r>
              <w:t>1.69</w:t>
            </w:r>
          </w:p>
        </w:tc>
        <w:tc>
          <w:tcPr>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渗透面积比率、透水系数及蒸发量不应低于标准规定限值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t>满足</w:t>
            </w:r>
          </w:p>
        </w:tc>
      </w:tr>
    </w:tbl>
    <w:p>
      <w:pPr>
        <w:pStyle w:val="3"/>
        <w:ind w:firstLine="420"/>
        <w:rPr>
          <w:lang w:val="en-US"/>
        </w:rPr>
      </w:pPr>
    </w:p>
    <w:p>
      <w:pPr>
        <w:pStyle w:val="4"/>
      </w:pPr>
      <w:bookmarkStart w:id="47" w:name="_Toc22433"/>
      <w:r>
        <w:rPr>
          <w:rFonts w:hint="eastAsia"/>
        </w:rPr>
        <w:t>屋面绿化率</w:t>
      </w:r>
      <w:bookmarkEnd w:id="4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屋面轮廓面积(㎡)</w:t>
            </w:r>
          </w:p>
        </w:tc>
        <w:tc>
          <w:tcPr>
            <w:shd w:val="clear" w:color="auto" w:fill="E6E6E6"/>
            <w:vAlign w:val="center"/>
          </w:tcPr>
          <w:p>
            <w:pPr>
              <w:jc w:val="center"/>
            </w:pPr>
            <w:r>
              <w:t>屋顶绿化面积(㎡)</w:t>
            </w:r>
          </w:p>
        </w:tc>
        <w:tc>
          <w:tcPr>
            <w:shd w:val="clear" w:color="auto" w:fill="E6E6E6"/>
            <w:vAlign w:val="center"/>
          </w:tcPr>
          <w:p>
            <w:pPr>
              <w:jc w:val="center"/>
            </w:pPr>
            <w:r>
              <w:t>可绿化屋面</w:t>
            </w:r>
            <w:r>
              <w:br w:type="textWrapping"/>
            </w:r>
            <w:r>
              <w:t>面积(㎡)</w:t>
            </w:r>
          </w:p>
        </w:tc>
        <w:tc>
          <w:tcPr>
            <w:shd w:val="clear" w:color="auto" w:fill="E6E6E6"/>
            <w:vAlign w:val="center"/>
          </w:tcPr>
          <w:p>
            <w:pPr>
              <w:jc w:val="center"/>
            </w:pPr>
            <w:r>
              <w:t>屋面绿化率(%)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tc>
        <w:tc>
          <w:tcPr>
            <w:vAlign w:val="center"/>
          </w:tcPr>
          <w:p>
            <w:r>
              <w:t>4635.2</w:t>
            </w:r>
          </w:p>
        </w:tc>
        <w:tc>
          <w:tcPr>
            <w:vAlign w:val="center"/>
          </w:tcPr>
          <w:p>
            <w:r>
              <w:t>0.0</w:t>
            </w:r>
          </w:p>
        </w:tc>
        <w:tc>
          <w:tcPr>
            <w:vAlign w:val="center"/>
          </w:tcPr>
          <w:p>
            <w:r>
              <w:t>4635.2</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vAlign w:val="center"/>
          </w:tcPr>
          <w:p>
            <w:r>
              <w:t>4181.3</w:t>
            </w:r>
          </w:p>
        </w:tc>
        <w:tc>
          <w:tcPr>
            <w:vAlign w:val="center"/>
          </w:tcPr>
          <w:p>
            <w:r>
              <w:t>4066.3</w:t>
            </w:r>
          </w:p>
        </w:tc>
        <w:tc>
          <w:tcPr>
            <w:vAlign w:val="center"/>
          </w:tcPr>
          <w:p>
            <w:r>
              <w:t>4181.3</w:t>
            </w:r>
          </w:p>
        </w:tc>
        <w:tc>
          <w:tcPr>
            <w:vAlign w:val="center"/>
          </w:tcPr>
          <w:p>
            <w:r>
              <w:t>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8816.4</w:t>
            </w:r>
          </w:p>
        </w:tc>
        <w:tc>
          <w:tcPr>
            <w:vAlign w:val="center"/>
          </w:tcPr>
          <w:p>
            <w:r>
              <w:t>4066.3</w:t>
            </w:r>
          </w:p>
        </w:tc>
        <w:tc>
          <w:tcPr>
            <w:vAlign w:val="center"/>
          </w:tcPr>
          <w:p>
            <w:r>
              <w:t>8816.4</w:t>
            </w:r>
          </w:p>
        </w:tc>
        <w:tc>
          <w:tcPr>
            <w:vAlign w:val="center"/>
          </w:tcPr>
          <w:p>
            <w:r>
              <w:rPr>
                <w:color w:val="FF0000"/>
              </w:rP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建筑屋面的绿化面积不应低于可绿化屋面面积的50%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color w:val="FF0000"/>
              </w:rPr>
              <w:t>不满足</w:t>
            </w:r>
          </w:p>
        </w:tc>
      </w:tr>
    </w:tbl>
    <w:p>
      <w:pPr>
        <w:pStyle w:val="3"/>
        <w:ind w:firstLine="420"/>
        <w:rPr>
          <w:lang w:val="en-US"/>
        </w:rPr>
      </w:pPr>
      <w:bookmarkStart w:id="48" w:name="屋面绿化率"/>
      <w:bookmarkEnd w:id="48"/>
    </w:p>
    <w:p>
      <w:pPr>
        <w:pStyle w:val="2"/>
      </w:pPr>
      <w:bookmarkStart w:id="49" w:name="_Toc11774"/>
      <w:r>
        <w:rPr>
          <w:rFonts w:hint="eastAsia"/>
        </w:rPr>
        <w:t>评价性设计</w:t>
      </w:r>
      <w:bookmarkEnd w:id="49"/>
    </w:p>
    <w:p>
      <w:pPr>
        <w:pStyle w:val="4"/>
      </w:pPr>
      <w:bookmarkStart w:id="50" w:name="_Toc26891"/>
      <w:r>
        <w:rPr>
          <w:rFonts w:hint="eastAsia"/>
        </w:rPr>
        <w:t>平均热岛强度</w:t>
      </w:r>
      <w:bookmarkEnd w:id="5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31.3</w:t>
            </w:r>
          </w:p>
        </w:tc>
        <w:tc>
          <w:tcPr>
            <w:vAlign w:val="center"/>
          </w:tcPr>
          <w:p>
            <w:r>
              <w:t>1.9</w:t>
            </w:r>
          </w:p>
        </w:tc>
        <w:tc>
          <w:tcPr>
            <w:vAlign w:val="center"/>
          </w:tcPr>
          <w:p>
            <w:r>
              <w:t>3.8</w:t>
            </w:r>
          </w:p>
        </w:tc>
        <w:tc>
          <w:tcPr>
            <w:vAlign w:val="center"/>
          </w:tcPr>
          <w:p>
            <w:r>
              <w:t>0.4</w:t>
            </w:r>
          </w:p>
        </w:tc>
        <w:tc>
          <w:tcPr>
            <w:vAlign w:val="center"/>
          </w:tcPr>
          <w:p>
            <w:r>
              <w:t>28.9</w:t>
            </w:r>
          </w:p>
        </w:tc>
        <w:tc>
          <w:tcPr>
            <w:vAlign w:val="center"/>
          </w:tcPr>
          <w:p>
            <w:r>
              <w:t>31.3</w:t>
            </w:r>
          </w:p>
        </w:tc>
        <w:tc>
          <w:tcPr>
            <w:vAlign w:val="center"/>
          </w:tcPr>
          <w:p>
            <w:r>
              <w:t>-2.407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31.3</w:t>
            </w:r>
          </w:p>
        </w:tc>
        <w:tc>
          <w:tcPr>
            <w:vAlign w:val="center"/>
          </w:tcPr>
          <w:p>
            <w:r>
              <w:t>3.1</w:t>
            </w:r>
          </w:p>
        </w:tc>
        <w:tc>
          <w:tcPr>
            <w:vAlign w:val="center"/>
          </w:tcPr>
          <w:p>
            <w:r>
              <w:t>3.6</w:t>
            </w:r>
          </w:p>
        </w:tc>
        <w:tc>
          <w:tcPr>
            <w:vAlign w:val="center"/>
          </w:tcPr>
          <w:p>
            <w:r>
              <w:t>0.5</w:t>
            </w:r>
          </w:p>
        </w:tc>
        <w:tc>
          <w:tcPr>
            <w:vAlign w:val="center"/>
          </w:tcPr>
          <w:p>
            <w:r>
              <w:t>30.2</w:t>
            </w:r>
          </w:p>
        </w:tc>
        <w:tc>
          <w:tcPr>
            <w:vAlign w:val="center"/>
          </w:tcPr>
          <w:p>
            <w:r>
              <w:t>32.2</w:t>
            </w:r>
          </w:p>
        </w:tc>
        <w:tc>
          <w:tcPr>
            <w:vAlign w:val="center"/>
          </w:tcPr>
          <w:p>
            <w:r>
              <w:t>-1.951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31.3</w:t>
            </w:r>
          </w:p>
        </w:tc>
        <w:tc>
          <w:tcPr>
            <w:vAlign w:val="center"/>
          </w:tcPr>
          <w:p>
            <w:r>
              <w:t>4.4</w:t>
            </w:r>
          </w:p>
        </w:tc>
        <w:tc>
          <w:tcPr>
            <w:vAlign w:val="center"/>
          </w:tcPr>
          <w:p>
            <w:r>
              <w:t>3.5</w:t>
            </w:r>
          </w:p>
        </w:tc>
        <w:tc>
          <w:tcPr>
            <w:vAlign w:val="center"/>
          </w:tcPr>
          <w:p>
            <w:r>
              <w:t>0.5</w:t>
            </w:r>
          </w:p>
        </w:tc>
        <w:tc>
          <w:tcPr>
            <w:vAlign w:val="center"/>
          </w:tcPr>
          <w:p>
            <w:r>
              <w:t>31.7</w:t>
            </w:r>
          </w:p>
        </w:tc>
        <w:tc>
          <w:tcPr>
            <w:vAlign w:val="center"/>
          </w:tcPr>
          <w:p>
            <w:r>
              <w:t>33.1</w:t>
            </w:r>
          </w:p>
        </w:tc>
        <w:tc>
          <w:tcPr>
            <w:vAlign w:val="center"/>
          </w:tcPr>
          <w:p>
            <w:r>
              <w:t>-1.376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31.3</w:t>
            </w:r>
          </w:p>
        </w:tc>
        <w:tc>
          <w:tcPr>
            <w:vAlign w:val="center"/>
          </w:tcPr>
          <w:p>
            <w:r>
              <w:t>5.9</w:t>
            </w:r>
          </w:p>
        </w:tc>
        <w:tc>
          <w:tcPr>
            <w:vAlign w:val="center"/>
          </w:tcPr>
          <w:p>
            <w:r>
              <w:t>3.2</w:t>
            </w:r>
          </w:p>
        </w:tc>
        <w:tc>
          <w:tcPr>
            <w:vAlign w:val="center"/>
          </w:tcPr>
          <w:p>
            <w:r>
              <w:t>0.5</w:t>
            </w:r>
          </w:p>
        </w:tc>
        <w:tc>
          <w:tcPr>
            <w:vAlign w:val="center"/>
          </w:tcPr>
          <w:p>
            <w:r>
              <w:t>33.4</w:t>
            </w:r>
          </w:p>
        </w:tc>
        <w:tc>
          <w:tcPr>
            <w:vAlign w:val="center"/>
          </w:tcPr>
          <w:p>
            <w:r>
              <w:t>33.9</w:t>
            </w:r>
          </w:p>
        </w:tc>
        <w:tc>
          <w:tcPr>
            <w:vAlign w:val="center"/>
          </w:tcPr>
          <w:p>
            <w:r>
              <w:t>-0.516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31.3</w:t>
            </w:r>
          </w:p>
        </w:tc>
        <w:tc>
          <w:tcPr>
            <w:vAlign w:val="center"/>
          </w:tcPr>
          <w:p>
            <w:r>
              <w:t>7.2</w:t>
            </w:r>
          </w:p>
        </w:tc>
        <w:tc>
          <w:tcPr>
            <w:vAlign w:val="center"/>
          </w:tcPr>
          <w:p>
            <w:r>
              <w:t>3.1</w:t>
            </w:r>
          </w:p>
        </w:tc>
        <w:tc>
          <w:tcPr>
            <w:vAlign w:val="center"/>
          </w:tcPr>
          <w:p>
            <w:r>
              <w:t>0.5</w:t>
            </w:r>
          </w:p>
        </w:tc>
        <w:tc>
          <w:tcPr>
            <w:vAlign w:val="center"/>
          </w:tcPr>
          <w:p>
            <w:r>
              <w:t>34.9</w:t>
            </w:r>
          </w:p>
        </w:tc>
        <w:tc>
          <w:tcPr>
            <w:vAlign w:val="center"/>
          </w:tcPr>
          <w:p>
            <w:r>
              <w:t>34.5</w:t>
            </w:r>
          </w:p>
        </w:tc>
        <w:tc>
          <w:tcPr>
            <w:vAlign w:val="center"/>
          </w:tcPr>
          <w:p>
            <w:r>
              <w:t>0.397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31.3</w:t>
            </w:r>
          </w:p>
        </w:tc>
        <w:tc>
          <w:tcPr>
            <w:vAlign w:val="center"/>
          </w:tcPr>
          <w:p>
            <w:r>
              <w:t>8.4</w:t>
            </w:r>
          </w:p>
        </w:tc>
        <w:tc>
          <w:tcPr>
            <w:vAlign w:val="center"/>
          </w:tcPr>
          <w:p>
            <w:r>
              <w:t>3.0</w:t>
            </w:r>
          </w:p>
        </w:tc>
        <w:tc>
          <w:tcPr>
            <w:vAlign w:val="center"/>
          </w:tcPr>
          <w:p>
            <w:r>
              <w:t>0.4</w:t>
            </w:r>
          </w:p>
        </w:tc>
        <w:tc>
          <w:tcPr>
            <w:vAlign w:val="center"/>
          </w:tcPr>
          <w:p>
            <w:r>
              <w:t>36.3</w:t>
            </w:r>
          </w:p>
        </w:tc>
        <w:tc>
          <w:tcPr>
            <w:vAlign w:val="center"/>
          </w:tcPr>
          <w:p>
            <w:r>
              <w:t>34.8</w:t>
            </w:r>
          </w:p>
        </w:tc>
        <w:tc>
          <w:tcPr>
            <w:vAlign w:val="center"/>
          </w:tcPr>
          <w:p>
            <w:r>
              <w:t>1.472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31.3</w:t>
            </w:r>
          </w:p>
        </w:tc>
        <w:tc>
          <w:tcPr>
            <w:vAlign w:val="center"/>
          </w:tcPr>
          <w:p>
            <w:r>
              <w:t>9.2</w:t>
            </w:r>
          </w:p>
        </w:tc>
        <w:tc>
          <w:tcPr>
            <w:vAlign w:val="center"/>
          </w:tcPr>
          <w:p>
            <w:r>
              <w:t>3.1</w:t>
            </w:r>
          </w:p>
        </w:tc>
        <w:tc>
          <w:tcPr>
            <w:vAlign w:val="center"/>
          </w:tcPr>
          <w:p>
            <w:r>
              <w:t>0.4</w:t>
            </w:r>
          </w:p>
        </w:tc>
        <w:tc>
          <w:tcPr>
            <w:vAlign w:val="center"/>
          </w:tcPr>
          <w:p>
            <w:r>
              <w:t>37.1</w:t>
            </w:r>
          </w:p>
        </w:tc>
        <w:tc>
          <w:tcPr>
            <w:vAlign w:val="center"/>
          </w:tcPr>
          <w:p>
            <w:r>
              <w:t>34.7</w:t>
            </w:r>
          </w:p>
        </w:tc>
        <w:tc>
          <w:tcPr>
            <w:vAlign w:val="center"/>
          </w:tcPr>
          <w:p>
            <w:r>
              <w:t>2.367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31.3</w:t>
            </w:r>
          </w:p>
        </w:tc>
        <w:tc>
          <w:tcPr>
            <w:vAlign w:val="center"/>
          </w:tcPr>
          <w:p>
            <w:r>
              <w:t>9.8</w:t>
            </w:r>
          </w:p>
        </w:tc>
        <w:tc>
          <w:tcPr>
            <w:vAlign w:val="center"/>
          </w:tcPr>
          <w:p>
            <w:r>
              <w:t>3.2</w:t>
            </w:r>
          </w:p>
        </w:tc>
        <w:tc>
          <w:tcPr>
            <w:vAlign w:val="center"/>
          </w:tcPr>
          <w:p>
            <w:r>
              <w:t>0.3</w:t>
            </w:r>
          </w:p>
        </w:tc>
        <w:tc>
          <w:tcPr>
            <w:vAlign w:val="center"/>
          </w:tcPr>
          <w:p>
            <w:r>
              <w:t>37.6</w:t>
            </w:r>
          </w:p>
        </w:tc>
        <w:tc>
          <w:tcPr>
            <w:vAlign w:val="center"/>
          </w:tcPr>
          <w:p>
            <w:r>
              <w:t>34.2</w:t>
            </w:r>
          </w:p>
        </w:tc>
        <w:tc>
          <w:tcPr>
            <w:vAlign w:val="center"/>
          </w:tcPr>
          <w:p>
            <w:r>
              <w:t>3.384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31.3</w:t>
            </w:r>
          </w:p>
        </w:tc>
        <w:tc>
          <w:tcPr>
            <w:vAlign w:val="center"/>
          </w:tcPr>
          <w:p>
            <w:r>
              <w:t>10.0</w:t>
            </w:r>
          </w:p>
        </w:tc>
        <w:tc>
          <w:tcPr>
            <w:vAlign w:val="center"/>
          </w:tcPr>
          <w:p>
            <w:r>
              <w:t>3.3</w:t>
            </w:r>
          </w:p>
        </w:tc>
        <w:tc>
          <w:tcPr>
            <w:vAlign w:val="center"/>
          </w:tcPr>
          <w:p>
            <w:r>
              <w:t>0.2</w:t>
            </w:r>
          </w:p>
        </w:tc>
        <w:tc>
          <w:tcPr>
            <w:vAlign w:val="center"/>
          </w:tcPr>
          <w:p>
            <w:r>
              <w:t>37.7</w:t>
            </w:r>
          </w:p>
        </w:tc>
        <w:tc>
          <w:tcPr>
            <w:vAlign w:val="center"/>
          </w:tcPr>
          <w:p>
            <w:r>
              <w:t>33.6</w:t>
            </w:r>
          </w:p>
        </w:tc>
        <w:tc>
          <w:tcPr>
            <w:vAlign w:val="center"/>
          </w:tcPr>
          <w:p>
            <w:r>
              <w:t>4.142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31.3</w:t>
            </w:r>
          </w:p>
        </w:tc>
        <w:tc>
          <w:tcPr>
            <w:vAlign w:val="center"/>
          </w:tcPr>
          <w:p>
            <w:r>
              <w:t>9.9</w:t>
            </w:r>
          </w:p>
        </w:tc>
        <w:tc>
          <w:tcPr>
            <w:vAlign w:val="center"/>
          </w:tcPr>
          <w:p>
            <w:r>
              <w:t>3.5</w:t>
            </w:r>
          </w:p>
        </w:tc>
        <w:tc>
          <w:tcPr>
            <w:vAlign w:val="center"/>
          </w:tcPr>
          <w:p>
            <w:r>
              <w:t>0.2</w:t>
            </w:r>
          </w:p>
        </w:tc>
        <w:tc>
          <w:tcPr>
            <w:vAlign w:val="center"/>
          </w:tcPr>
          <w:p>
            <w:r>
              <w:t>37.5</w:t>
            </w:r>
          </w:p>
        </w:tc>
        <w:tc>
          <w:tcPr>
            <w:vAlign w:val="center"/>
          </w:tcPr>
          <w:p>
            <w:r>
              <w:t>32.7</w:t>
            </w:r>
          </w:p>
        </w:tc>
        <w:tc>
          <w:tcPr>
            <w:vAlign w:val="center"/>
          </w:tcPr>
          <w:p>
            <w:r>
              <w:t>4.770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31.3</w:t>
            </w:r>
          </w:p>
        </w:tc>
        <w:tc>
          <w:tcPr>
            <w:vAlign w:val="center"/>
          </w:tcPr>
          <w:p>
            <w:r>
              <w:t>9.5</w:t>
            </w:r>
          </w:p>
        </w:tc>
        <w:tc>
          <w:tcPr>
            <w:vAlign w:val="center"/>
          </w:tcPr>
          <w:p>
            <w:r>
              <w:t>3.7</w:t>
            </w:r>
          </w:p>
        </w:tc>
        <w:tc>
          <w:tcPr>
            <w:vAlign w:val="center"/>
          </w:tcPr>
          <w:p>
            <w:r>
              <w:t>0.2</w:t>
            </w:r>
          </w:p>
        </w:tc>
        <w:tc>
          <w:tcPr>
            <w:vAlign w:val="center"/>
          </w:tcPr>
          <w:p>
            <w:r>
              <w:t>36.9</w:t>
            </w:r>
          </w:p>
        </w:tc>
        <w:tc>
          <w:tcPr>
            <w:vAlign w:val="center"/>
          </w:tcPr>
          <w:p>
            <w:r>
              <w:t>31.9</w:t>
            </w:r>
          </w:p>
        </w:tc>
        <w:tc>
          <w:tcPr>
            <w:vAlign w:val="center"/>
          </w:tcPr>
          <w:p>
            <w:r>
              <w:t>5.011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51" w:name="平均热岛强度"/>
      <w:bookmarkEnd w:id="51"/>
    </w:p>
    <w:p>
      <w:pPr>
        <w:pStyle w:val="3"/>
        <w:ind w:firstLine="0" w:firstLineChars="0"/>
        <w:rPr>
          <w:lang w:val="en-US"/>
        </w:rPr>
      </w:pPr>
      <w:bookmarkStart w:id="52" w:name="平均热岛强度图片"/>
      <w:bookmarkEnd w:id="52"/>
    </w:p>
    <w:p>
      <w:pPr>
        <w:pStyle w:val="4"/>
      </w:pPr>
      <w:bookmarkStart w:id="53" w:name="_Toc7463"/>
      <w:r>
        <w:rPr>
          <w:rFonts w:hint="eastAsia"/>
        </w:rPr>
        <w:t>湿球黑球温度</w:t>
      </w:r>
      <w:bookmarkEnd w:id="5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28.9</w:t>
            </w:r>
          </w:p>
        </w:tc>
        <w:tc>
          <w:tcPr>
            <w:vAlign w:val="center"/>
          </w:tcPr>
          <w:p>
            <w:r>
              <w:t>0.7</w:t>
            </w:r>
          </w:p>
        </w:tc>
        <w:tc>
          <w:tcPr>
            <w:vAlign w:val="center"/>
          </w:tcPr>
          <w:p>
            <w:r>
              <w:t>232.9</w:t>
            </w:r>
          </w:p>
        </w:tc>
        <w:tc>
          <w:tcPr>
            <w:vAlign w:val="center"/>
          </w:tcPr>
          <w:p>
            <w:r>
              <w:t>62.7</w:t>
            </w:r>
          </w:p>
        </w:tc>
        <w:tc>
          <w:tcPr>
            <w:vAlign w:val="center"/>
          </w:tcPr>
          <w:p>
            <w:r>
              <w:t>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30.2</w:t>
            </w:r>
          </w:p>
        </w:tc>
        <w:tc>
          <w:tcPr>
            <w:vAlign w:val="center"/>
          </w:tcPr>
          <w:p>
            <w:r>
              <w:t>0.7</w:t>
            </w:r>
          </w:p>
        </w:tc>
        <w:tc>
          <w:tcPr>
            <w:vAlign w:val="center"/>
          </w:tcPr>
          <w:p>
            <w:r>
              <w:t>316.8</w:t>
            </w:r>
          </w:p>
        </w:tc>
        <w:tc>
          <w:tcPr>
            <w:vAlign w:val="center"/>
          </w:tcPr>
          <w:p>
            <w:r>
              <w:t>85.3</w:t>
            </w:r>
          </w:p>
        </w:tc>
        <w:tc>
          <w:tcPr>
            <w:vAlign w:val="center"/>
          </w:tcPr>
          <w:p>
            <w:r>
              <w:t>27.1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31.7</w:t>
            </w:r>
          </w:p>
        </w:tc>
        <w:tc>
          <w:tcPr>
            <w:vAlign w:val="center"/>
          </w:tcPr>
          <w:p>
            <w:r>
              <w:t>0.6</w:t>
            </w:r>
          </w:p>
        </w:tc>
        <w:tc>
          <w:tcPr>
            <w:vAlign w:val="center"/>
          </w:tcPr>
          <w:p>
            <w:r>
              <w:t>384.6</w:t>
            </w:r>
          </w:p>
        </w:tc>
        <w:tc>
          <w:tcPr>
            <w:vAlign w:val="center"/>
          </w:tcPr>
          <w:p>
            <w:r>
              <w:t>103.5</w:t>
            </w:r>
          </w:p>
        </w:tc>
        <w:tc>
          <w:tcPr>
            <w:vAlign w:val="center"/>
          </w:tcPr>
          <w:p>
            <w:r>
              <w:t>28.1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33.4</w:t>
            </w:r>
          </w:p>
        </w:tc>
        <w:tc>
          <w:tcPr>
            <w:vAlign w:val="center"/>
          </w:tcPr>
          <w:p>
            <w:r>
              <w:t>0.6</w:t>
            </w:r>
          </w:p>
        </w:tc>
        <w:tc>
          <w:tcPr>
            <w:vAlign w:val="center"/>
          </w:tcPr>
          <w:p>
            <w:r>
              <w:t>429.0</w:t>
            </w:r>
          </w:p>
        </w:tc>
        <w:tc>
          <w:tcPr>
            <w:vAlign w:val="center"/>
          </w:tcPr>
          <w:p>
            <w:r>
              <w:t>115.4</w:t>
            </w:r>
          </w:p>
        </w:tc>
        <w:tc>
          <w:tcPr>
            <w:vAlign w:val="center"/>
          </w:tcPr>
          <w:p>
            <w:r>
              <w:t>29.4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34.9</w:t>
            </w:r>
          </w:p>
        </w:tc>
        <w:tc>
          <w:tcPr>
            <w:vAlign w:val="center"/>
          </w:tcPr>
          <w:p>
            <w:r>
              <w:t>0.5</w:t>
            </w:r>
          </w:p>
        </w:tc>
        <w:tc>
          <w:tcPr>
            <w:vAlign w:val="center"/>
          </w:tcPr>
          <w:p>
            <w:r>
              <w:t>439.7</w:t>
            </w:r>
          </w:p>
        </w:tc>
        <w:tc>
          <w:tcPr>
            <w:vAlign w:val="center"/>
          </w:tcPr>
          <w:p>
            <w:r>
              <w:t>118.3</w:t>
            </w:r>
          </w:p>
        </w:tc>
        <w:tc>
          <w:tcPr>
            <w:vAlign w:val="center"/>
          </w:tcPr>
          <w:p>
            <w:r>
              <w:t>30.4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36.3</w:t>
            </w:r>
          </w:p>
        </w:tc>
        <w:tc>
          <w:tcPr>
            <w:vAlign w:val="center"/>
          </w:tcPr>
          <w:p>
            <w:r>
              <w:t>0.5</w:t>
            </w:r>
          </w:p>
        </w:tc>
        <w:tc>
          <w:tcPr>
            <w:vAlign w:val="center"/>
          </w:tcPr>
          <w:p>
            <w:r>
              <w:t>414.8</w:t>
            </w:r>
          </w:p>
        </w:tc>
        <w:tc>
          <w:tcPr>
            <w:vAlign w:val="center"/>
          </w:tcPr>
          <w:p>
            <w:r>
              <w:t>111.6</w:t>
            </w:r>
          </w:p>
        </w:tc>
        <w:tc>
          <w:tcPr>
            <w:vAlign w:val="center"/>
          </w:tcPr>
          <w:p>
            <w:r>
              <w:t>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37.1</w:t>
            </w:r>
          </w:p>
        </w:tc>
        <w:tc>
          <w:tcPr>
            <w:vAlign w:val="center"/>
          </w:tcPr>
          <w:p>
            <w:r>
              <w:t>0.5</w:t>
            </w:r>
          </w:p>
        </w:tc>
        <w:tc>
          <w:tcPr>
            <w:vAlign w:val="center"/>
          </w:tcPr>
          <w:p>
            <w:r>
              <w:t>360.9</w:t>
            </w:r>
          </w:p>
        </w:tc>
        <w:tc>
          <w:tcPr>
            <w:vAlign w:val="center"/>
          </w:tcPr>
          <w:p>
            <w:r>
              <w:t>97.1</w:t>
            </w:r>
          </w:p>
        </w:tc>
        <w:tc>
          <w:tcPr>
            <w:vAlign w:val="center"/>
          </w:tcPr>
          <w:p>
            <w:r>
              <w:t>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37.6</w:t>
            </w:r>
          </w:p>
        </w:tc>
        <w:tc>
          <w:tcPr>
            <w:vAlign w:val="center"/>
          </w:tcPr>
          <w:p>
            <w:r>
              <w:t>0.5</w:t>
            </w:r>
          </w:p>
        </w:tc>
        <w:tc>
          <w:tcPr>
            <w:vAlign w:val="center"/>
          </w:tcPr>
          <w:p>
            <w:r>
              <w:t>287.6</w:t>
            </w:r>
          </w:p>
        </w:tc>
        <w:tc>
          <w:tcPr>
            <w:vAlign w:val="center"/>
          </w:tcPr>
          <w:p>
            <w:r>
              <w:t>77.4</w:t>
            </w:r>
          </w:p>
        </w:tc>
        <w:tc>
          <w:tcPr>
            <w:vAlign w:val="center"/>
          </w:tcPr>
          <w:p>
            <w:r>
              <w:t>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37.7</w:t>
            </w:r>
          </w:p>
        </w:tc>
        <w:tc>
          <w:tcPr>
            <w:vAlign w:val="center"/>
          </w:tcPr>
          <w:p>
            <w:r>
              <w:t>0.5</w:t>
            </w:r>
          </w:p>
        </w:tc>
        <w:tc>
          <w:tcPr>
            <w:vAlign w:val="center"/>
          </w:tcPr>
          <w:p>
            <w:r>
              <w:t>205.5</w:t>
            </w:r>
          </w:p>
        </w:tc>
        <w:tc>
          <w:tcPr>
            <w:vAlign w:val="center"/>
          </w:tcPr>
          <w:p>
            <w:r>
              <w:t>55.3</w:t>
            </w:r>
          </w:p>
        </w:tc>
        <w:tc>
          <w:tcPr>
            <w:vAlign w:val="center"/>
          </w:tcPr>
          <w:p>
            <w:r>
              <w:t>31.8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37.5</w:t>
            </w:r>
          </w:p>
        </w:tc>
        <w:tc>
          <w:tcPr>
            <w:vAlign w:val="center"/>
          </w:tcPr>
          <w:p>
            <w:r>
              <w:t>0.5</w:t>
            </w:r>
          </w:p>
        </w:tc>
        <w:tc>
          <w:tcPr>
            <w:vAlign w:val="center"/>
          </w:tcPr>
          <w:p>
            <w:r>
              <w:t>123.4</w:t>
            </w:r>
          </w:p>
        </w:tc>
        <w:tc>
          <w:tcPr>
            <w:vAlign w:val="center"/>
          </w:tcPr>
          <w:p>
            <w:r>
              <w:t>33.2</w:t>
            </w:r>
          </w:p>
        </w:tc>
        <w:tc>
          <w:tcPr>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36.9</w:t>
            </w:r>
          </w:p>
        </w:tc>
        <w:tc>
          <w:tcPr>
            <w:vAlign w:val="center"/>
          </w:tcPr>
          <w:p>
            <w:r>
              <w:t>0.5</w:t>
            </w:r>
          </w:p>
        </w:tc>
        <w:tc>
          <w:tcPr>
            <w:vAlign w:val="center"/>
          </w:tcPr>
          <w:p>
            <w:r>
              <w:t>51.3</w:t>
            </w:r>
          </w:p>
        </w:tc>
        <w:tc>
          <w:tcPr>
            <w:vAlign w:val="center"/>
          </w:tcPr>
          <w:p>
            <w:r>
              <w:t>13.8</w:t>
            </w:r>
          </w:p>
        </w:tc>
        <w:tc>
          <w:tcPr>
            <w:vAlign w:val="center"/>
          </w:tcPr>
          <w:p>
            <w:r>
              <w:t>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31.92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54" w:name="湿球黑球温度"/>
      <w:bookmarkEnd w:id="54"/>
    </w:p>
    <w:p>
      <w:pPr>
        <w:pStyle w:val="3"/>
        <w:ind w:firstLine="0" w:firstLineChars="0"/>
        <w:rPr>
          <w:lang w:val="en-US"/>
        </w:rPr>
      </w:pPr>
      <w:bookmarkStart w:id="55" w:name="湿球黑球温度图片"/>
      <w:bookmarkEnd w:id="55"/>
    </w:p>
    <w:p>
      <w:pPr>
        <w:pStyle w:val="2"/>
      </w:pPr>
      <w:bookmarkStart w:id="56" w:name="_Toc12792"/>
      <w:r>
        <w:rPr>
          <w:rFonts w:hint="eastAsia"/>
        </w:rPr>
        <w:t>结论</w:t>
      </w:r>
      <w:bookmarkEnd w:id="5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类别</w:t>
            </w:r>
          </w:p>
        </w:tc>
        <w:tc>
          <w:tcPr>
            <w:shd w:val="clear" w:color="auto" w:fill="E6E6E6"/>
            <w:vAlign w:val="center"/>
          </w:tcPr>
          <w:p>
            <w:pPr>
              <w:jc w:val="center"/>
            </w:pPr>
            <w:r>
              <w:t>检查项</w:t>
            </w:r>
          </w:p>
        </w:tc>
        <w:tc>
          <w:tcPr>
            <w:shd w:val="clear" w:color="auto" w:fill="E6E6E6"/>
            <w:vAlign w:val="center"/>
          </w:tcPr>
          <w:p>
            <w:pPr>
              <w:jc w:val="center"/>
            </w:pPr>
            <w:r>
              <w:t>结论</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b/>
              </w:rPr>
              <w:t>强条</w:t>
            </w:r>
          </w:p>
        </w:tc>
        <w:tc>
          <w:tcPr>
            <w:vAlign w:val="center"/>
          </w:tcPr>
          <w:p>
            <w:r>
              <w:rPr>
                <w:b/>
              </w:rPr>
              <w:t>平均迎风面积比</w:t>
            </w:r>
          </w:p>
        </w:tc>
        <w:tc>
          <w:tcPr>
            <w:vAlign w:val="center"/>
          </w:tcPr>
          <w:p>
            <w:r>
              <w:rPr>
                <w:b/>
                <w:color w:val="FF0000"/>
              </w:rPr>
              <w:t>不满足</w:t>
            </w:r>
          </w:p>
        </w:tc>
        <w:tc>
          <w:tcPr>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rPr>
                <w:b/>
              </w:rPr>
              <w:t>活动场地遮阳覆盖率</w:t>
            </w:r>
          </w:p>
        </w:tc>
        <w:tc>
          <w:tcPr>
            <w:vAlign w:val="center"/>
          </w:tcPr>
          <w:p>
            <w:r>
              <w:rPr>
                <w:b/>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规定性设计</w:t>
            </w:r>
          </w:p>
        </w:tc>
        <w:tc>
          <w:tcPr>
            <w:vAlign w:val="center"/>
          </w:tcPr>
          <w:p>
            <w:r>
              <w:t>底层通风架空率</w:t>
            </w:r>
          </w:p>
        </w:tc>
        <w:tc>
          <w:tcPr>
            <w:vAlign w:val="center"/>
          </w:tcPr>
          <w:p>
            <w:r>
              <w:rPr>
                <w:color w:val="FF0000"/>
              </w:rPr>
              <w:t>不满足</w:t>
            </w:r>
          </w:p>
        </w:tc>
        <w:tc>
          <w:tcPr>
            <w:vMerge w:val="restart"/>
            <w:vAlign w:val="center"/>
          </w:tcPr>
          <w:p>
            <w:r>
              <w:t>不满足任意一条时，进行评价性设计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绿化遮阳体叶面积指数</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渗透蒸发指标</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屋面绿化率</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评价性设计</w:t>
            </w:r>
          </w:p>
        </w:tc>
        <w:tc>
          <w:tcPr>
            <w:vAlign w:val="center"/>
          </w:tcPr>
          <w:p>
            <w:r>
              <w:t>平均热岛强度</w:t>
            </w:r>
          </w:p>
        </w:tc>
        <w:tc>
          <w:tcPr>
            <w:vAlign w:val="center"/>
          </w:tcPr>
          <w:p>
            <w:r>
              <w:t>满足</w:t>
            </w:r>
          </w:p>
        </w:tc>
        <w:tc>
          <w:tcPr>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湿球黑球温度</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结论</w:t>
            </w:r>
          </w:p>
        </w:tc>
        <w:tc>
          <w:tcPr>
            <w:gridSpan w:val="2"/>
            <w:vAlign w:val="center"/>
          </w:tcPr>
          <w:p>
            <w:r>
              <w:rPr>
                <w:b/>
                <w:color w:val="FF0000"/>
              </w:rPr>
              <w:t>不满足</w:t>
            </w:r>
          </w:p>
        </w:tc>
      </w:tr>
    </w:tbl>
    <w:p>
      <w:pPr>
        <w:pStyle w:val="3"/>
        <w:ind w:firstLine="420"/>
        <w:rPr>
          <w:lang w:val="en-US"/>
        </w:rPr>
      </w:pPr>
      <w:bookmarkStart w:id="57" w:name="结论"/>
      <w:bookmarkEnd w:id="57"/>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F3AC7"/>
    <w:rsid w:val="0000545C"/>
    <w:rsid w:val="0001409C"/>
    <w:rsid w:val="00026B3F"/>
    <w:rsid w:val="00037A4C"/>
    <w:rsid w:val="00051EA5"/>
    <w:rsid w:val="000A30EF"/>
    <w:rsid w:val="000B10AF"/>
    <w:rsid w:val="000B2169"/>
    <w:rsid w:val="000B2FE8"/>
    <w:rsid w:val="000D23A3"/>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4F4A"/>
    <w:rsid w:val="0023730B"/>
    <w:rsid w:val="00243608"/>
    <w:rsid w:val="002555B8"/>
    <w:rsid w:val="00272BDC"/>
    <w:rsid w:val="002851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C7162"/>
    <w:rsid w:val="00613298"/>
    <w:rsid w:val="00651069"/>
    <w:rsid w:val="00657ADD"/>
    <w:rsid w:val="0067336D"/>
    <w:rsid w:val="00685427"/>
    <w:rsid w:val="00685C60"/>
    <w:rsid w:val="00694FCA"/>
    <w:rsid w:val="006A159C"/>
    <w:rsid w:val="006A38D1"/>
    <w:rsid w:val="006B5695"/>
    <w:rsid w:val="006B57E0"/>
    <w:rsid w:val="006C3941"/>
    <w:rsid w:val="0072017E"/>
    <w:rsid w:val="0072214C"/>
    <w:rsid w:val="007514FE"/>
    <w:rsid w:val="00774599"/>
    <w:rsid w:val="007D1A35"/>
    <w:rsid w:val="007E78A4"/>
    <w:rsid w:val="008329E7"/>
    <w:rsid w:val="00872A29"/>
    <w:rsid w:val="00883D6C"/>
    <w:rsid w:val="00886207"/>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A4B87"/>
    <w:rsid w:val="00FA733F"/>
    <w:rsid w:val="00FC0388"/>
    <w:rsid w:val="00FF2243"/>
    <w:rsid w:val="2B3F3AC7"/>
    <w:rsid w:val="6C73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ee\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tmp3.dotx</Template>
  <Pages>11</Pages>
  <Words>2758</Words>
  <Characters>4566</Characters>
  <Lines>20</Lines>
  <Paragraphs>5</Paragraphs>
  <TotalTime>0</TotalTime>
  <ScaleCrop>false</ScaleCrop>
  <LinksUpToDate>false</LinksUpToDate>
  <CharactersWithSpaces>4627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2020-01-04T02:52:00Z</dcterms:created>
  <dc:creator>核桃.</dc:creator>
  <cp:lastModifiedBy>核桃.</cp:lastModifiedBy>
  <dcterms:modified xsi:type="dcterms:W3CDTF">2020-01-04T02:53:42Z</dcterms:modified>
  <dc:title>住区热环境设计报告书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