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鸟径成屏-大学宿舍改造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开封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rPr>
                <w:rFonts w:hint="eastAsia" w:ascii="宋体" w:hAnsi="宋体"/>
                <w:szCs w:val="21"/>
              </w:rPr>
              <w:t>GX20400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河南大学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河南大学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2020年01月04日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北京绿建软件有限公司</w:t>
            </w:r>
          </w:p>
          <w:p>
            <w:pPr>
              <w:spacing w:line="240" w:lineRule="auto"/>
              <w:jc w:val="both"/>
              <w:rPr>
                <w:rFonts w:ascii="宋体" w:hAnsi="宋体"/>
                <w:szCs w:val="18"/>
              </w:rPr>
            </w:pPr>
            <w:r>
              <w:rPr>
                <w:rFonts w:hint="eastAsia" w:ascii="宋体" w:hAnsi="宋体"/>
                <w:szCs w:val="18"/>
              </w:rPr>
              <w:t>深圳市斯维尔科技有限公司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_Toc29747 </w:instrText>
      </w:r>
      <w:r>
        <w:rPr>
          <w:rFonts w:ascii="宋体" w:hAnsi="宋体"/>
          <w:bCs w:val="0"/>
          <w:caps/>
        </w:rPr>
        <w:fldChar w:fldCharType="separate"/>
      </w:r>
      <w:r>
        <w:rPr>
          <w:rFonts w:hint="eastAsia"/>
        </w:rPr>
        <w:t>1 项目概况</w:t>
      </w:r>
      <w:r>
        <w:tab/>
      </w:r>
      <w:r>
        <w:fldChar w:fldCharType="begin"/>
      </w:r>
      <w:r>
        <w:instrText xml:space="preserve"> PAGEREF _Toc29747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_Toc26246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_Toc26246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_Toc4613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_Toc4613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_Toc29330 </w:instrText>
      </w:r>
      <w:r>
        <w:fldChar w:fldCharType="separate"/>
      </w:r>
      <w:r>
        <w:rPr>
          <w:rFonts w:hint="eastAsia"/>
        </w:rPr>
        <w:t>2 计算</w:t>
      </w:r>
      <w:r>
        <w:t>依据</w:t>
      </w:r>
      <w:r>
        <w:tab/>
      </w:r>
      <w:r>
        <w:fldChar w:fldCharType="begin"/>
      </w:r>
      <w:r>
        <w:instrText xml:space="preserve"> PAGEREF _Toc29330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_Toc10369 </w:instrText>
      </w:r>
      <w:r>
        <w:fldChar w:fldCharType="separate"/>
      </w:r>
      <w:r>
        <w:rPr>
          <w:rFonts w:hint="eastAsia"/>
        </w:rPr>
        <w:t>3 参考</w:t>
      </w:r>
      <w:r>
        <w:t>标准</w:t>
      </w:r>
      <w:r>
        <w:tab/>
      </w:r>
      <w:r>
        <w:fldChar w:fldCharType="begin"/>
      </w:r>
      <w:r>
        <w:instrText xml:space="preserve"> PAGEREF _Toc10369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_Toc15839 </w:instrText>
      </w:r>
      <w:r>
        <w:fldChar w:fldCharType="separate"/>
      </w:r>
      <w:r>
        <w:rPr>
          <w:rFonts w:hint="eastAsia"/>
        </w:rPr>
        <w:t>4 计算原理</w:t>
      </w:r>
      <w:r>
        <w:tab/>
      </w:r>
      <w:r>
        <w:fldChar w:fldCharType="begin"/>
      </w:r>
      <w:r>
        <w:instrText xml:space="preserve"> PAGEREF _Toc15839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_Toc24179 </w:instrText>
      </w:r>
      <w:r>
        <w:fldChar w:fldCharType="separate"/>
      </w:r>
      <w:r>
        <w:rPr>
          <w:rFonts w:hint="eastAsia"/>
          <w:lang w:val="en-GB"/>
        </w:rPr>
        <w:t xml:space="preserve">4.1 </w:t>
      </w:r>
      <w:r>
        <w:rPr>
          <w:rFonts w:hint="eastAsia"/>
        </w:rPr>
        <w:t>风场计算域</w:t>
      </w:r>
      <w:r>
        <w:tab/>
      </w:r>
      <w:r>
        <w:fldChar w:fldCharType="begin"/>
      </w:r>
      <w:r>
        <w:instrText xml:space="preserve"> PAGEREF _Toc24179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_Toc2082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_Toc2082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_Toc8325 </w:instrText>
      </w:r>
      <w:r>
        <w:fldChar w:fldCharType="separate"/>
      </w:r>
      <w:r>
        <w:rPr>
          <w:rFonts w:hint="eastAsia"/>
          <w:lang w:val="en-GB"/>
        </w:rPr>
        <w:t xml:space="preserve">4.2 </w:t>
      </w:r>
      <w:r>
        <w:rPr>
          <w:rFonts w:hint="eastAsia"/>
        </w:rPr>
        <w:t>网格划分</w:t>
      </w:r>
      <w:r>
        <w:tab/>
      </w:r>
      <w:r>
        <w:fldChar w:fldCharType="begin"/>
      </w:r>
      <w:r>
        <w:instrText xml:space="preserve"> PAGEREF _Toc8325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_Toc12278 </w:instrText>
      </w:r>
      <w:r>
        <w:fldChar w:fldCharType="separate"/>
      </w:r>
      <w:r>
        <w:rPr>
          <w:rFonts w:hint="eastAsia"/>
          <w:lang w:val="en-GB"/>
        </w:rPr>
        <w:t xml:space="preserve">4.3 </w:t>
      </w:r>
      <w:r>
        <w:rPr>
          <w:rFonts w:hint="eastAsia"/>
        </w:rPr>
        <w:t>边界条件</w:t>
      </w:r>
      <w:r>
        <w:tab/>
      </w:r>
      <w:r>
        <w:fldChar w:fldCharType="begin"/>
      </w:r>
      <w:r>
        <w:instrText xml:space="preserve"> PAGEREF _Toc12278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_Toc27904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_Toc27904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_Toc21562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_Toc21562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_Toc25141 </w:instrText>
      </w:r>
      <w:r>
        <w:fldChar w:fldCharType="separate"/>
      </w:r>
      <w:r>
        <w:rPr>
          <w:rFonts w:hint="eastAsia"/>
          <w:lang w:val="en-GB"/>
        </w:rPr>
        <w:t xml:space="preserve">4.4 </w:t>
      </w:r>
      <w:r>
        <w:rPr>
          <w:rFonts w:hint="eastAsia"/>
        </w:rPr>
        <w:t>湍流模型</w:t>
      </w:r>
      <w:r>
        <w:tab/>
      </w:r>
      <w:r>
        <w:fldChar w:fldCharType="begin"/>
      </w:r>
      <w:r>
        <w:instrText xml:space="preserve"> PAGEREF _Toc25141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_Toc20797 </w:instrText>
      </w:r>
      <w:r>
        <w:fldChar w:fldCharType="separate"/>
      </w:r>
      <w:r>
        <w:rPr>
          <w:rFonts w:hint="eastAsia"/>
          <w:lang w:val="en-GB"/>
        </w:rPr>
        <w:t xml:space="preserve">4.5 </w:t>
      </w:r>
      <w:r>
        <w:rPr>
          <w:rFonts w:hint="eastAsia"/>
        </w:rPr>
        <w:t>求解计算</w:t>
      </w:r>
      <w:r>
        <w:tab/>
      </w:r>
      <w:r>
        <w:fldChar w:fldCharType="begin"/>
      </w:r>
      <w:r>
        <w:instrText xml:space="preserve"> PAGEREF _Toc20797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_Toc19822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_Toc19822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_Toc9839 </w:instrText>
      </w:r>
      <w:r>
        <w:fldChar w:fldCharType="separate"/>
      </w:r>
      <w:r>
        <w:rPr>
          <w:rFonts w:hint="eastAsia"/>
        </w:rPr>
        <w:t>5 结果</w:t>
      </w:r>
      <w:r>
        <w:t>分析</w:t>
      </w:r>
      <w:r>
        <w:tab/>
      </w:r>
      <w:r>
        <w:fldChar w:fldCharType="begin"/>
      </w:r>
      <w:r>
        <w:instrText xml:space="preserve"> PAGEREF _Toc9839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_Toc5732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_Toc5732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_Toc953 </w:instrText>
      </w:r>
      <w:r>
        <w:fldChar w:fldCharType="separate"/>
      </w:r>
      <w:r>
        <w:rPr>
          <w:rFonts w:hint="eastAsia"/>
          <w:lang w:val="en-GB"/>
        </w:rPr>
        <w:t xml:space="preserve">5.2 </w:t>
      </w:r>
      <w:r>
        <w:rPr>
          <w:rFonts w:hint="eastAsia"/>
        </w:rPr>
        <w:t>冬季工况</w:t>
      </w:r>
      <w:r>
        <w:tab/>
      </w:r>
      <w:r>
        <w:fldChar w:fldCharType="begin"/>
      </w:r>
      <w:r>
        <w:instrText xml:space="preserve"> PAGEREF _Toc953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_Toc6801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_Toc6801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_Toc13874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_Toc13874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_Toc3265 </w:instrText>
      </w:r>
      <w:r>
        <w:fldChar w:fldCharType="separate"/>
      </w:r>
      <w:r>
        <w:rPr>
          <w:rFonts w:hint="eastAsia" w:eastAsia="宋体"/>
          <w:szCs w:val="24"/>
          <w:lang w:val="en-GB"/>
        </w:rPr>
        <w:t xml:space="preserve">5.2.3 </w:t>
      </w:r>
      <w:r>
        <w:rPr>
          <w:rFonts w:hint="eastAsia" w:cs="宋体"/>
          <w:lang w:val="en-GB"/>
        </w:rPr>
        <w:t>人行区域</w:t>
      </w:r>
      <w:r>
        <w:rPr>
          <w:rFonts w:hint="eastAsia"/>
        </w:rPr>
        <w:t>冬季工况风速/风速放大系数达标判定</w:t>
      </w:r>
      <w:r>
        <w:tab/>
      </w:r>
      <w:r>
        <w:fldChar w:fldCharType="begin"/>
      </w:r>
      <w:r>
        <w:instrText xml:space="preserve"> PAGEREF _Toc3265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_Toc28396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_Toc28396 </w:instrText>
      </w:r>
      <w:r>
        <w:fldChar w:fldCharType="separate"/>
      </w:r>
      <w:r>
        <w:t>15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_Toc12373 </w:instrText>
      </w:r>
      <w:r>
        <w:fldChar w:fldCharType="separate"/>
      </w:r>
      <w:r>
        <w:rPr>
          <w:rFonts w:hint="eastAsia"/>
          <w:lang w:val="en-GB"/>
        </w:rPr>
        <w:t xml:space="preserve">5.3 </w:t>
      </w:r>
      <w:r>
        <w:rPr>
          <w:rFonts w:hint="eastAsia"/>
        </w:rPr>
        <w:t>结论</w:t>
      </w:r>
      <w:r>
        <w:tab/>
      </w:r>
      <w:r>
        <w:fldChar w:fldCharType="begin"/>
      </w:r>
      <w:r>
        <w:instrText xml:space="preserve"> PAGEREF _Toc12373 </w:instrText>
      </w:r>
      <w:r>
        <w:fldChar w:fldCharType="separate"/>
      </w:r>
      <w:r>
        <w:t>18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_Toc10254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_Toc10254 </w:instrText>
      </w:r>
      <w:r>
        <w:fldChar w:fldCharType="separate"/>
      </w:r>
      <w:r>
        <w:t>18</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29747"/>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26246"/>
      <w:bookmarkStart w:id="13" w:name="_Toc452108760"/>
      <w:r>
        <w:rPr>
          <w:rFonts w:hint="eastAsia"/>
        </w:rPr>
        <w:t>总</w:t>
      </w:r>
      <w:r>
        <w:t>平面图</w:t>
      </w:r>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4" w:name="总平面图图例表"/>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FFFF40"/>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5" w:name="总平面图"/>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6" w:name="_Toc4613"/>
      <w:bookmarkStart w:id="17" w:name="_Toc452108761"/>
      <w:r>
        <w:rPr>
          <w:rFonts w:hint="eastAsia"/>
        </w:rPr>
        <w:t>三</w:t>
      </w:r>
      <w:r>
        <w:t>维视图</w:t>
      </w:r>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8" w:name="三维视图图例表"/>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FFFF40"/>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9" w:name="三维视图"/>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0" w:name="_Toc29330"/>
      <w:bookmarkStart w:id="21" w:name="TitleFormat"/>
      <w:bookmarkStart w:id="22" w:name="_Toc452108762"/>
      <w:r>
        <w:rPr>
          <w:rFonts w:hint="eastAsia"/>
        </w:rPr>
        <w:t>计算</w:t>
      </w:r>
      <w:r>
        <w:t>依据</w:t>
      </w:r>
      <w:bookmarkEnd w:id="20"/>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3" w:name="_Toc10369"/>
      <w:bookmarkStart w:id="24" w:name="_Toc452108763"/>
      <w:r>
        <w:rPr>
          <w:rFonts w:hint="eastAsia"/>
        </w:rPr>
        <w:t>参考</w:t>
      </w:r>
      <w:r>
        <w:t>标准</w:t>
      </w:r>
      <w:bookmarkEnd w:id="23"/>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5" w:name="_Toc452108764"/>
      <w:bookmarkStart w:id="26" w:name="_Toc451436145"/>
      <w:bookmarkStart w:id="27" w:name="_Toc45169893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8" w:name="_Toc15839"/>
      <w:r>
        <w:rPr>
          <w:rFonts w:hint="eastAsia"/>
        </w:rPr>
        <w:t>计算原理</w:t>
      </w:r>
      <w:bookmarkEnd w:id="28"/>
    </w:p>
    <w:p>
      <w:pPr>
        <w:pStyle w:val="4"/>
        <w:numPr>
          <w:ilvl w:val="1"/>
          <w:numId w:val="3"/>
        </w:numPr>
      </w:pPr>
      <w:bookmarkStart w:id="29" w:name="_Toc24179"/>
      <w:bookmarkStart w:id="30" w:name="_Toc509844740"/>
      <w:bookmarkStart w:id="31" w:name="_Toc451698937"/>
      <w:bookmarkStart w:id="32" w:name="_Toc452108765"/>
      <w:r>
        <w:rPr>
          <w:rFonts w:hint="eastAsia"/>
        </w:rPr>
        <w:t>风场计算域</w:t>
      </w:r>
      <w:bookmarkEnd w:id="29"/>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bookmarkStart w:id="73" w:name="_GoBack"/>
      <w:bookmarkEnd w:id="73"/>
    </w:p>
    <w:p>
      <w:pPr>
        <w:pStyle w:val="5"/>
        <w:numPr>
          <w:ilvl w:val="2"/>
          <w:numId w:val="3"/>
        </w:numPr>
      </w:pPr>
      <w:bookmarkStart w:id="33" w:name="_Toc2082"/>
      <w:r>
        <w:rPr>
          <w:rFonts w:hint="eastAsia"/>
        </w:rPr>
        <w:t>冬季工况风场计算域</w:t>
      </w:r>
      <w:bookmarkEnd w:id="33"/>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120</w:t>
            </w:r>
          </w:p>
        </w:tc>
      </w:tr>
    </w:tbl>
    <w:p>
      <w:pPr>
        <w:pStyle w:val="3"/>
        <w:ind w:firstLine="0" w:firstLineChars="0"/>
        <w:jc w:val="center"/>
        <w:rPr>
          <w:lang w:val="en-US"/>
        </w:rPr>
      </w:pPr>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4" w:name="计算域"/>
      <w:bookmarkEnd w:id="34"/>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5" w:name="_Toc509844741"/>
      <w:bookmarkStart w:id="36" w:name="_Toc8325"/>
      <w:r>
        <w:rPr>
          <w:rFonts w:hint="eastAsia"/>
        </w:rPr>
        <w:t>网格划分</w:t>
      </w:r>
      <w:bookmarkEnd w:id="35"/>
      <w:bookmarkEnd w:id="36"/>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7" w:name="OLE_LINK276"/>
      <w:bookmarkStart w:id="38" w:name="OLE_LINK277"/>
      <w:r>
        <w:rPr>
          <w:rFonts w:hint="eastAsia"/>
        </w:rPr>
        <w:t>1）普通网格：指除靠近地面和建筑以外的网格，通常不需要特别加密处理</w:t>
      </w:r>
    </w:p>
    <w:p>
      <w:pPr>
        <w:pStyle w:val="12"/>
        <w:numPr>
          <w:ilvl w:val="0"/>
          <w:numId w:val="4"/>
        </w:numPr>
        <w:spacing w:before="156"/>
      </w:pPr>
      <w:bookmarkStart w:id="39"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0</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0.16</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3</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5</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bl>
    <w:p>
      <w:pPr>
        <w:rPr>
          <w:szCs w:val="21"/>
          <w:lang w:val="en-US"/>
        </w:rPr>
      </w:pPr>
    </w:p>
    <w:p>
      <w:pPr>
        <w:pStyle w:val="3"/>
        <w:ind w:firstLine="630" w:firstLineChars="300"/>
        <w:rPr>
          <w:rFonts w:ascii="黑体" w:hAnsi="黑体" w:eastAsia="黑体"/>
          <w:szCs w:val="20"/>
        </w:rPr>
      </w:pPr>
      <w:bookmarkStart w:id="40" w:name="网格划分信息"/>
      <w:bookmarkEnd w:id="40"/>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1" w:name="_Toc509844742"/>
      <w:bookmarkStart w:id="42" w:name="_Toc12278"/>
      <w:r>
        <w:rPr>
          <w:rFonts w:hint="eastAsia"/>
        </w:rPr>
        <w:t>边界条件</w:t>
      </w:r>
      <w:bookmarkEnd w:id="41"/>
      <w:bookmarkEnd w:id="42"/>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3" w:name="_Toc509844743"/>
      <w:bookmarkStart w:id="44" w:name="_Toc27904"/>
      <w:r>
        <w:rPr>
          <w:rFonts w:hint="eastAsia"/>
        </w:rPr>
        <w:t>入口与出口边界条件</w:t>
      </w:r>
      <w:bookmarkEnd w:id="43"/>
      <w:bookmarkEnd w:id="44"/>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5" w:name="地面粗糙度指数2"/>
      <w:r>
        <w:rPr>
          <w:rFonts w:hint="eastAsia"/>
          <w:lang w:val="en-US"/>
        </w:rPr>
        <w:t>0.28</w:t>
      </w:r>
      <w:bookmarkEnd w:id="45"/>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6" w:name="_Toc509844744"/>
      <w:bookmarkStart w:id="47" w:name="_Toc21562"/>
      <w:r>
        <w:rPr>
          <w:rFonts w:hint="eastAsia"/>
        </w:rPr>
        <w:t>壁面边界条件</w:t>
      </w:r>
      <w:bookmarkEnd w:id="46"/>
      <w:bookmarkEnd w:id="47"/>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8" w:name="_Toc25141"/>
      <w:r>
        <w:rPr>
          <w:rFonts w:hint="eastAsia"/>
        </w:rPr>
        <w:t>湍流模型</w:t>
      </w:r>
      <w:bookmarkEnd w:id="48"/>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49" w:name="_Toc451698939"/>
      <w:bookmarkStart w:id="50" w:name="_Toc452108767"/>
      <w:bookmarkStart w:id="51" w:name="_Toc20797"/>
      <w:r>
        <w:rPr>
          <w:rFonts w:hint="eastAsia"/>
        </w:rPr>
        <w:t>求解计算</w:t>
      </w:r>
      <w:bookmarkEnd w:id="49"/>
      <w:bookmarkEnd w:id="50"/>
      <w:bookmarkEnd w:id="51"/>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2"/>
      <w:r>
        <w:rPr>
          <w:rFonts w:hint="eastAsia" w:ascii="黑体" w:hAnsi="黑体" w:eastAsia="黑体"/>
          <w:sz w:val="20"/>
          <w:szCs w:val="20"/>
        </w:rPr>
        <w:t xml:space="preserve"> </w:t>
      </w:r>
      <w:bookmarkStart w:id="53" w:name="_Ref225175618"/>
      <w:r>
        <w:rPr>
          <w:rFonts w:hint="eastAsia" w:ascii="黑体" w:hAnsi="黑体" w:eastAsia="黑体"/>
          <w:sz w:val="20"/>
          <w:szCs w:val="20"/>
        </w:rPr>
        <w:t>计算流体力学的控制方程</w:t>
      </w:r>
      <w:bookmarkEnd w:id="5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4" w:name="_Toc509844747"/>
      <w:bookmarkStart w:id="55" w:name="_Toc19822"/>
      <w:r>
        <w:rPr>
          <w:rFonts w:hint="eastAsia"/>
        </w:rPr>
        <w:t>风速放大系数计算</w:t>
      </w:r>
      <w:bookmarkEnd w:id="54"/>
      <w:bookmarkEnd w:id="55"/>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6" w:name="地面粗糙度指数"/>
      <w:r>
        <w:rPr>
          <w:rFonts w:hint="eastAsia"/>
          <w:lang w:val="en-US"/>
        </w:rPr>
        <w:t>0.28</w:t>
      </w:r>
      <w:bookmarkEnd w:id="56"/>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7" w:name="_Toc452108768"/>
      <w:bookmarkStart w:id="58" w:name="_Toc9839"/>
      <w:r>
        <w:rPr>
          <w:rFonts w:hint="eastAsia"/>
        </w:rPr>
        <w:t>结果</w:t>
      </w:r>
      <w:r>
        <w:t>分析</w:t>
      </w:r>
      <w:bookmarkEnd w:id="57"/>
      <w:bookmarkEnd w:id="58"/>
    </w:p>
    <w:p>
      <w:pPr>
        <w:pStyle w:val="4"/>
        <w:rPr>
          <w:szCs w:val="21"/>
        </w:rPr>
      </w:pPr>
      <w:bookmarkStart w:id="59" w:name="_Toc5732"/>
      <w:r>
        <w:rPr>
          <w:rFonts w:hint="eastAsia"/>
          <w:szCs w:val="21"/>
        </w:rPr>
        <w:t>工况</w:t>
      </w:r>
      <w:r>
        <w:rPr>
          <w:szCs w:val="21"/>
        </w:rPr>
        <w:t>表</w:t>
      </w:r>
      <w:bookmarkEnd w:id="59"/>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6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4.70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90.0</w:t>
            </w:r>
          </w:p>
        </w:tc>
      </w:tr>
      <w:bookmarkEnd w:id="60"/>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61" w:name="_Toc953"/>
      <w:r>
        <w:rPr>
          <w:rFonts w:hint="eastAsia"/>
        </w:rPr>
        <w:t>冬季工况</w:t>
      </w:r>
      <w:bookmarkEnd w:id="61"/>
    </w:p>
    <w:p>
      <w:pPr>
        <w:ind w:firstLine="420" w:firstLineChars="200"/>
        <w:jc w:val="both"/>
      </w:pPr>
      <w:r>
        <w:rPr>
          <w:rFonts w:hint="eastAsia"/>
          <w:lang w:val="en-US"/>
        </w:rPr>
        <w:t>本项目冬季工况的入口边界风速为</w:t>
      </w:r>
      <w:r>
        <w:rPr>
          <w:rFonts w:hint="eastAsia" w:ascii="Calibri" w:hAnsi="Calibri"/>
          <w:szCs w:val="21"/>
        </w:rPr>
        <w:t>4.70</w:t>
      </w:r>
      <w:r>
        <w:rPr>
          <w:rFonts w:ascii="Calibri" w:hAnsi="Calibri"/>
          <w:szCs w:val="21"/>
        </w:rPr>
        <w:t>m/s</w:t>
      </w:r>
      <w:r>
        <w:rPr>
          <w:rFonts w:hint="eastAsia" w:ascii="Calibri" w:hAnsi="Calibri"/>
          <w:szCs w:val="21"/>
        </w:rPr>
        <w:t>，风向为</w:t>
      </w:r>
      <w:r>
        <w:rPr>
          <w:szCs w:val="21"/>
        </w:rPr>
        <w:t>N</w:t>
      </w:r>
      <w:r>
        <w:rPr>
          <w:rFonts w:hint="eastAsia"/>
          <w:szCs w:val="21"/>
        </w:rPr>
        <w:t>。</w:t>
      </w:r>
    </w:p>
    <w:p>
      <w:pPr>
        <w:pStyle w:val="5"/>
      </w:pPr>
      <w:bookmarkStart w:id="62" w:name="_Toc6801"/>
      <w:r>
        <w:rPr>
          <w:rFonts w:hint="eastAsia"/>
        </w:rPr>
        <w:t>风速达标分析</w:t>
      </w:r>
      <w:bookmarkEnd w:id="62"/>
      <w:r>
        <w:rPr>
          <w:rFonts w:hint="eastAsia"/>
        </w:rPr>
        <w:t xml:space="preserve"> </w:t>
      </w:r>
    </w:p>
    <w:p>
      <w:pPr>
        <w:pStyle w:val="6"/>
        <w:numPr>
          <w:ilvl w:val="3"/>
          <w:numId w:val="1"/>
        </w:numPr>
      </w:pPr>
      <w:r>
        <w:t>人行区域风速达标分析</w:t>
      </w:r>
    </w:p>
    <w:p>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pPr>
        <w:pStyle w:val="3"/>
        <w:ind w:firstLine="420"/>
        <w:rPr>
          <w:lang w:val="en-US"/>
        </w:rPr>
      </w:pPr>
      <w:r>
        <w:rPr>
          <w:rFonts w:hint="eastAsia"/>
          <w:lang w:val="en-US"/>
        </w:rPr>
        <w:t>分析下列图数据，</w:t>
      </w:r>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r>
        <w:drawing>
          <wp:inline distT="0" distB="0" distL="0" distR="0">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34671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r>
        <w:t>建筑周围没有风速超限区域，可以采用该建筑布局。</w:t>
      </w:r>
    </w:p>
    <w:p>
      <w:pPr>
        <w:pStyle w:val="3"/>
        <w:ind w:hanging="2" w:firstLineChars="0"/>
        <w:jc w:val="center"/>
        <w:rPr>
          <w:rFonts w:ascii="Calibri Light" w:hAnsi="Calibri Light" w:eastAsia="黑体"/>
          <w:sz w:val="20"/>
          <w:szCs w:val="20"/>
        </w:rPr>
      </w:pPr>
      <w:r>
        <w:drawing>
          <wp:inline distT="0" distB="0" distL="0" distR="0">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63" w:name="_Toc13874"/>
      <w:r>
        <w:rPr>
          <w:rFonts w:hint="eastAsia"/>
        </w:rPr>
        <w:t>风速放大系数达标分析</w:t>
      </w:r>
      <w:bookmarkEnd w:id="63"/>
    </w:p>
    <w:p>
      <w:pPr>
        <w:pStyle w:val="6"/>
      </w:pPr>
      <w:r>
        <w:rPr>
          <w:rFonts w:hint="eastAsia"/>
        </w:rPr>
        <w:t>人行区域</w:t>
      </w:r>
    </w:p>
    <w:p>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r>
        <w:drawing>
          <wp:inline distT="0" distB="0" distL="0" distR="0">
            <wp:extent cx="5667375" cy="3429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9"/>
                    <a:stretch>
                      <a:fillRect/>
                    </a:stretch>
                  </pic:blipFill>
                  <pic:spPr>
                    <a:xfrm>
                      <a:off x="0" y="0"/>
                      <a:ext cx="5667375" cy="34290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t>建筑周围没有风速放大系数超限区域，可以采用该建筑布局。</w:t>
      </w:r>
    </w:p>
    <w:p>
      <w:pPr>
        <w:pStyle w:val="13"/>
        <w:jc w:val="center"/>
        <w:rPr>
          <w:lang w:val="en-US"/>
        </w:rPr>
      </w:pPr>
      <w:r>
        <w:drawing>
          <wp:inline distT="0" distB="0" distL="0" distR="0">
            <wp:extent cx="5667375" cy="3476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4</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64" w:name="_Toc3265"/>
      <w:r>
        <w:rPr>
          <w:rFonts w:hint="eastAsia" w:cs="宋体"/>
          <w:lang w:val="en-GB"/>
        </w:rPr>
        <w:t>人行区域</w:t>
      </w:r>
      <w:r>
        <w:rPr>
          <w:rFonts w:hint="eastAsia"/>
        </w:rPr>
        <w:t>冬季工况风速/风速放大系数达标判定</w:t>
      </w:r>
      <w:bookmarkEnd w:id="15"/>
      <w:bookmarkEnd w:id="64"/>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r>
              <w:rPr>
                <w:rFonts w:hint="eastAsia" w:ascii="宋体" w:hAnsi="宋体" w:cs="宋体"/>
                <w:szCs w:val="21"/>
              </w:rPr>
              <w:t xml:space="preserve">或 </w:t>
            </w:r>
            <w:r>
              <w:rPr>
                <w:rFonts w:ascii="宋体" w:hAnsi="宋体" w:cs="宋体"/>
                <w:szCs w:val="21"/>
              </w:rPr>
              <w:t>&lt;2m/s</w:t>
            </w:r>
            <w:bookmarkEnd w:id="17"/>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8"/>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19"/>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21"/>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22"/>
          </w:p>
        </w:tc>
      </w:tr>
      <w:bookmarkEnd w:id="24"/>
      <w:bookmarkEnd w:id="25"/>
      <w:bookmarkEnd w:id="26"/>
      <w:bookmarkEnd w:id="27"/>
    </w:tbl>
    <w:p>
      <w:pPr>
        <w:pStyle w:val="5"/>
      </w:pPr>
      <w:bookmarkStart w:id="65" w:name="_Toc28396"/>
      <w:r>
        <w:rPr>
          <w:rFonts w:hint="eastAsia"/>
        </w:rPr>
        <w:t>建筑迎风面和背风面风压分析</w:t>
      </w:r>
      <w:bookmarkEnd w:id="30"/>
      <w:bookmarkEnd w:id="65"/>
    </w:p>
    <w:p>
      <w:pPr>
        <w:pStyle w:val="3"/>
        <w:ind w:firstLine="420"/>
        <w:rPr>
          <w:lang w:val="en-US"/>
        </w:rPr>
      </w:pPr>
      <w:r>
        <w:rPr>
          <w:rFonts w:hint="eastAsia"/>
          <w:lang w:val="en-US"/>
        </w:rPr>
        <w:t>标准中规定“冬季工况下除迎风第一排建筑外，建筑迎风面与背风面表面风压差不超过5Pa”，避免由于建筑迎风面与背</w:t>
      </w:r>
      <w:bookmarkEnd w:id="31"/>
      <w:r>
        <w:rPr>
          <w:rFonts w:hint="eastAsia"/>
          <w:lang w:val="en-US"/>
        </w:rPr>
        <w:t>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noChangeArrowheads="1"/>
                    </pic:cNvPicPr>
                  </pic:nvPicPr>
                  <pic:blipFill>
                    <a:blip r:embed="rId71">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bookmarkEnd w:id="32"/>
    <w:p>
      <w:pPr>
        <w:pStyle w:val="13"/>
        <w:jc w:val="center"/>
        <w:rPr>
          <w:lang w:val="en-US"/>
        </w:rPr>
      </w:pPr>
      <w:r>
        <w:drawing>
          <wp:inline distT="0" distB="0" distL="0" distR="0">
            <wp:extent cx="5667375" cy="36195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2"/>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66" w:name="冬季工况建筑背风面风压云图"/>
      <w:bookmarkEnd w:id="66"/>
      <w:r>
        <w:drawing>
          <wp:inline distT="0" distB="0" distL="0" distR="0">
            <wp:extent cx="5667375" cy="36385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3"/>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bookmarkEnd w:id="37"/>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1(单体模型建完版_T7)</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不参评</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未命名(A9A0F)</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不参评</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未命名(A9A46)</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不参评</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DT单体(总平模型改造后)</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未命名(B8B4A)</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bookmarkEnd w:id="38"/>
      <w:bookmarkEnd w:id="39"/>
    </w:tbl>
    <w:p>
      <w:pPr>
        <w:rPr>
          <w:lang w:val="en-US"/>
        </w:rPr>
      </w:pPr>
      <w:r>
        <w:rPr>
          <w:lang w:val="en-US"/>
        </w:rPr>
        <w:t>结论：本项目中所有参评建筑</w:t>
      </w:r>
      <w:r>
        <w:rPr>
          <w:b/>
          <w:color w:val="0000FF"/>
          <w:lang w:val="en-US"/>
        </w:rPr>
        <w:t>满足</w:t>
      </w:r>
      <w:r>
        <w:rPr>
          <w:lang w:val="en-US"/>
        </w:rPr>
        <w:t>“除迎风第一排建筑外，建筑迎风面与背风面表面风压差不超过5Pa”的要求。</w:t>
      </w:r>
    </w:p>
    <w:p>
      <w:pPr>
        <w:rPr>
          <w:lang w:val="en-US"/>
        </w:rPr>
      </w:pPr>
      <w:bookmarkStart w:id="67" w:name="冬季工况"/>
      <w:bookmarkEnd w:id="67"/>
      <w:r>
        <w:rPr>
          <w:rFonts w:hint="eastAsia"/>
          <w:lang w:val="en-US"/>
        </w:rPr>
        <w:t xml:space="preserve"> </w:t>
      </w:r>
    </w:p>
    <w:p>
      <w:pPr>
        <w:rPr>
          <w:lang w:val="en-US"/>
        </w:rPr>
      </w:pPr>
      <w:bookmarkStart w:id="68" w:name="其他工况"/>
      <w:bookmarkEnd w:id="68"/>
      <w:r>
        <w:rPr>
          <w:rFonts w:hint="eastAsia"/>
          <w:lang w:val="en-US"/>
        </w:rPr>
        <w:t xml:space="preserve"> </w:t>
      </w:r>
    </w:p>
    <w:p>
      <w:pPr>
        <w:pStyle w:val="4"/>
      </w:pPr>
      <w:bookmarkStart w:id="69" w:name="_Toc509844764"/>
      <w:bookmarkStart w:id="70" w:name="_Toc12373"/>
      <w:r>
        <w:rPr>
          <w:rFonts w:hint="eastAsia"/>
        </w:rPr>
        <w:t>结论</w:t>
      </w:r>
      <w:bookmarkEnd w:id="69"/>
      <w:bookmarkEnd w:id="70"/>
    </w:p>
    <w:p>
      <w:pPr>
        <w:pStyle w:val="5"/>
      </w:pPr>
      <w:bookmarkStart w:id="71" w:name="_Toc10254"/>
      <w:r>
        <w:rPr>
          <w:rFonts w:hint="eastAsia"/>
        </w:rPr>
        <w:t>冬季工况达标判断</w:t>
      </w:r>
      <w:bookmarkEnd w:id="0"/>
      <w:bookmarkEnd w:id="1"/>
      <w:bookmarkEnd w:id="71"/>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t>没有出现</w:t>
            </w:r>
            <w:bookmarkEnd w:id="2"/>
            <w:r>
              <w:rPr>
                <w:rFonts w:hint="eastAsia"/>
                <w:lang w:val="en-US"/>
              </w:rPr>
              <w:t>风速大于</w:t>
            </w:r>
            <w:r>
              <w:rPr>
                <w:lang w:val="en-US"/>
              </w:rPr>
              <w:t>5m/s</w:t>
            </w:r>
            <w:r>
              <w:rPr>
                <w:rFonts w:hint="eastAsia"/>
                <w:lang w:val="en-US"/>
              </w:rPr>
              <w:t>的区域，户外休息区、儿童娱乐区</w:t>
            </w:r>
            <w:r>
              <w:t>没有出现</w:t>
            </w:r>
            <w:bookmarkEnd w:id="3"/>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bookmarkEnd w:id="4"/>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w:t>
            </w:r>
            <w:bookmarkEnd w:id="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r>
              <w:t>没有出现</w:t>
            </w:r>
            <w:bookmarkEnd w:id="6"/>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w:t>
            </w:r>
            <w:bookmarkEnd w:id="7"/>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r>
              <w:t>没有出现</w:t>
            </w:r>
            <w:bookmarkEnd w:id="8"/>
            <w:r>
              <w:rPr>
                <w:rFonts w:hint="eastAsia"/>
                <w:lang w:val="en-US"/>
              </w:rPr>
              <w:t>建筑迎风面与背风面表面风压差大于5Pa的建筑</w:t>
            </w:r>
          </w:p>
        </w:tc>
        <w:tc>
          <w:tcPr>
            <w:tcW w:w="1985" w:type="dxa"/>
            <w:shd w:val="clear" w:color="auto" w:fill="auto"/>
            <w:vAlign w:val="center"/>
          </w:tcPr>
          <w:p>
            <w:pPr>
              <w:jc w:val="center"/>
              <w:rPr>
                <w:lang w:val="en-US"/>
              </w:rPr>
            </w:pPr>
            <w:r>
              <w:rPr>
                <w:rFonts w:hint="eastAsia"/>
                <w:b/>
                <w:lang w:val="en-US"/>
              </w:rPr>
              <w:t>达标</w:t>
            </w:r>
            <w:bookmarkEnd w:id="10"/>
          </w:p>
        </w:tc>
        <w:tc>
          <w:tcPr>
            <w:tcW w:w="1416" w:type="dxa"/>
            <w:shd w:val="clear" w:color="auto" w:fill="auto"/>
            <w:vAlign w:val="center"/>
          </w:tcPr>
          <w:p>
            <w:pPr>
              <w:jc w:val="center"/>
              <w:rPr>
                <w:lang w:val="en-US"/>
              </w:rPr>
            </w:pPr>
            <w:r>
              <w:rPr>
                <w:rFonts w:hint="eastAsia"/>
                <w:lang w:val="en-US"/>
              </w:rPr>
              <w:t>2</w:t>
            </w:r>
            <w:bookmarkEnd w:id="11"/>
            <w:r>
              <w:rPr>
                <w:rFonts w:hint="eastAsia"/>
                <w:lang w:val="en-US"/>
              </w:rPr>
              <w:t>分</w:t>
            </w:r>
          </w:p>
        </w:tc>
      </w:tr>
      <w:bookmarkEnd w:id="13"/>
      <w:bookmarkEnd w:id="14"/>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72" w:name="总得分"/>
      <w:r>
        <w:rPr>
          <w:rFonts w:hint="eastAsia"/>
          <w:lang w:val="en-US"/>
        </w:rPr>
        <w:t>5</w:t>
      </w:r>
      <w:bookmarkEnd w:id="72"/>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6</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A03D6D"/>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 w:val="0BA0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qFormat/>
    <w:uiPriority w:val="0"/>
    <w:rPr>
      <w:rFonts w:ascii="宋体" w:hAnsi="宋体" w:cs="Arial"/>
      <w:b/>
      <w:bCs/>
      <w:sz w:val="21"/>
      <w:szCs w:val="21"/>
    </w:rPr>
  </w:style>
  <w:style w:type="character" w:customStyle="1" w:styleId="34">
    <w:name w:val="批注框文本 Char"/>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qFormat/>
    <w:uiPriority w:val="0"/>
    <w:rPr>
      <w:b/>
      <w:bCs/>
      <w:sz w:val="21"/>
      <w:szCs w:val="28"/>
      <w:lang w:val="en-GB"/>
    </w:rPr>
  </w:style>
  <w:style w:type="character" w:customStyle="1" w:styleId="38">
    <w:name w:val="标题 5 Char"/>
    <w:link w:val="7"/>
    <w:qFormat/>
    <w:uiPriority w:val="0"/>
    <w:rPr>
      <w:b/>
      <w:bCs/>
      <w:iCs/>
      <w:sz w:val="21"/>
      <w:szCs w:val="26"/>
      <w:lang w:val="en-GB"/>
    </w:rPr>
  </w:style>
  <w:style w:type="character" w:customStyle="1" w:styleId="39">
    <w:name w:val="标题 6 Char"/>
    <w:link w:val="8"/>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qFormat/>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7" Type="http://schemas.openxmlformats.org/officeDocument/2006/relationships/fontTable" Target="fontTable.xml"/><Relationship Id="rId76" Type="http://schemas.openxmlformats.org/officeDocument/2006/relationships/customXml" Target="../customXml/item2.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C\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39522-0FC9-4A71-8AF7-D033B6892A3D}">
  <ds:schemaRefs/>
</ds:datastoreItem>
</file>

<file path=docProps/app.xml><?xml version="1.0" encoding="utf-8"?>
<Properties xmlns="http://schemas.openxmlformats.org/officeDocument/2006/extended-properties" xmlns:vt="http://schemas.openxmlformats.org/officeDocument/2006/docPropsVTypes">
  <Template>tmp4.dotx</Template>
  <Pages>18</Pages>
  <Words>4892</Words>
  <Characters>5441</Characters>
  <Lines>40</Lines>
  <Paragraphs>11</Paragraphs>
  <TotalTime>0</TotalTime>
  <ScaleCrop>false</ScaleCrop>
  <LinksUpToDate>false</LinksUpToDate>
  <CharactersWithSpaces>5636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2020-01-04T10:15:00Z</dcterms:created>
  <dc:creator>听雨停</dc:creator>
  <cp:lastModifiedBy>听雨停</cp:lastModifiedBy>
  <dcterms:modified xsi:type="dcterms:W3CDTF">2020-01-04T10:16:39Z</dcterms:modified>
  <dc:title>室外风环境模拟分析报告</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