
<file path=[Content_Types].xml><?xml version="1.0" encoding="utf-8"?>
<Types xmlns="http://schemas.openxmlformats.org/package/2006/content-types">
  <Default Extension="xml" ContentType="application/xml"/>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bookmarkStart w:id="58" w:name="_GoBack"/>
      <w:bookmarkEnd w:id="58"/>
    </w:p>
    <w:p>
      <w:pPr>
        <w:widowControl w:val="0"/>
        <w:spacing w:after="312" w:afterLines="100"/>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住区热环境设计报告书</w:t>
      </w:r>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pPr>
              <w:pStyle w:val="14"/>
              <w:tabs>
                <w:tab w:val="clear" w:pos="4153"/>
                <w:tab w:val="clear" w:pos="8306"/>
              </w:tabs>
              <w:snapToGrid/>
              <w:jc w:val="both"/>
              <w:rPr>
                <w:rFonts w:ascii="宋体" w:hAnsi="宋体"/>
                <w:szCs w:val="21"/>
              </w:rPr>
            </w:pPr>
            <w:bookmarkStart w:id="0" w:name="工程名称"/>
            <w:r>
              <w:rPr>
                <w:rFonts w:hint="eastAsia" w:ascii="宋体" w:hAnsi="宋体"/>
                <w:szCs w:val="21"/>
              </w:rPr>
              <w:t>XXX住宅小区</w:t>
            </w:r>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1" w:name="地理位置"/>
            <w:r>
              <w:t>开封</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2" w:name="设计编号"/>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3" w:name="建设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4" w:name="设计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5" w:name="报告日期"/>
            <w:bookmarkEnd w:id="5"/>
          </w:p>
        </w:tc>
      </w:tr>
    </w:tbl>
    <w:p>
      <w:pPr>
        <w:rPr>
          <w:rFonts w:ascii="宋体" w:hAnsi="宋体"/>
          <w:lang w:val="en-US"/>
        </w:rPr>
      </w:pPr>
    </w:p>
    <w:p>
      <w:pPr>
        <w:jc w:val="center"/>
        <w:rPr>
          <w:rFonts w:ascii="宋体" w:hAnsi="宋体"/>
          <w:lang w:val="en-US"/>
        </w:rPr>
      </w:pPr>
      <w:bookmarkStart w:id="6" w:name="二维码"/>
      <w:bookmarkEnd w:id="6"/>
      <w:r>
        <w:drawing>
          <wp:inline distT="0" distB="0" distL="0" distR="0">
            <wp:extent cx="1514475" cy="151447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pPr>
        <w:rPr>
          <w:rFonts w:ascii="宋体" w:hAnsi="宋体"/>
          <w:lang w:val="en-US"/>
        </w:rPr>
      </w:pPr>
    </w:p>
    <w:p>
      <w:pPr>
        <w:jc w:val="center"/>
        <w:rPr>
          <w:rFonts w:ascii="宋体" w:hAnsi="宋体"/>
          <w:b/>
          <w:bCs/>
          <w:sz w:val="30"/>
          <w:szCs w:val="32"/>
        </w:rPr>
      </w:pPr>
    </w:p>
    <w:tbl>
      <w:tblPr>
        <w:tblStyle w:val="19"/>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pPr>
              <w:pStyle w:val="15"/>
              <w:pBdr>
                <w:bottom w:val="none" w:color="auto" w:sz="0" w:space="0"/>
              </w:pBdr>
              <w:tabs>
                <w:tab w:val="clear" w:pos="4153"/>
                <w:tab w:val="clear" w:pos="8306"/>
              </w:tabs>
              <w:snapToGrid/>
              <w:jc w:val="both"/>
              <w:rPr>
                <w:rFonts w:ascii="宋体" w:hAnsi="宋体"/>
              </w:rPr>
            </w:pPr>
            <w:bookmarkStart w:id="7" w:name="软件全称"/>
            <w:r>
              <w:rPr>
                <w:rFonts w:hint="eastAsia" w:ascii="宋体" w:hAnsi="宋体"/>
              </w:rPr>
              <w:t>热环境TERA2020</w:t>
            </w:r>
            <w:bookmarkEnd w:id="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bottom w:val="single" w:color="auto" w:sz="4" w:space="0"/>
            </w:tcBorders>
            <w:shd w:val="clear" w:color="auto" w:fill="E6E6E6"/>
            <w:vAlign w:val="center"/>
          </w:tcPr>
          <w:p>
            <w:pPr>
              <w:jc w:val="both"/>
              <w:rPr>
                <w:rFonts w:ascii="宋体" w:hAnsi="宋体"/>
                <w:szCs w:val="18"/>
              </w:rPr>
            </w:pPr>
            <w:r>
              <w:rPr>
                <w:rFonts w:hint="eastAsia" w:ascii="宋体" w:hAnsi="宋体"/>
                <w:szCs w:val="18"/>
              </w:rPr>
              <w:t>软件版本</w:t>
            </w:r>
          </w:p>
        </w:tc>
        <w:tc>
          <w:tcPr>
            <w:tcW w:w="3780" w:type="dxa"/>
            <w:tcBorders>
              <w:bottom w:val="single" w:color="auto" w:sz="4" w:space="0"/>
            </w:tcBorders>
            <w:vAlign w:val="center"/>
          </w:tcPr>
          <w:p>
            <w:pPr>
              <w:jc w:val="both"/>
              <w:rPr>
                <w:rFonts w:ascii="宋体" w:hAnsi="宋体"/>
                <w:szCs w:val="18"/>
              </w:rPr>
            </w:pPr>
            <w:bookmarkStart w:id="8" w:name="软件版本"/>
            <w:r>
              <w:t>20190808</w:t>
            </w:r>
            <w:bookmarkEnd w:id="8"/>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jc w:val="both"/>
              <w:rPr>
                <w:rFonts w:ascii="宋体" w:hAnsi="宋体"/>
                <w:szCs w:val="18"/>
              </w:rPr>
            </w:pPr>
            <w:r>
              <w:rPr>
                <w:rFonts w:hint="eastAsia" w:ascii="宋体" w:hAnsi="宋体"/>
                <w:szCs w:val="18"/>
              </w:rPr>
              <w:t>研发单位</w:t>
            </w:r>
          </w:p>
        </w:tc>
        <w:tc>
          <w:tcPr>
            <w:tcW w:w="3780" w:type="dxa"/>
            <w:tcBorders>
              <w:top w:val="single" w:color="auto" w:sz="4" w:space="0"/>
              <w:left w:val="single" w:color="auto" w:sz="4" w:space="0"/>
              <w:bottom w:val="single" w:color="auto" w:sz="4" w:space="0"/>
            </w:tcBorders>
            <w:shd w:val="clear" w:color="auto" w:fill="FFFFFF"/>
            <w:vAlign w:val="center"/>
          </w:tcPr>
          <w:p>
            <w:pPr>
              <w:jc w:val="both"/>
              <w:rPr>
                <w:rFonts w:ascii="宋体" w:hAnsi="宋体"/>
                <w:szCs w:val="18"/>
              </w:rPr>
            </w:pPr>
            <w:r>
              <w:rPr>
                <w:rFonts w:ascii="宋体" w:hAnsi="宋体"/>
                <w:szCs w:val="18"/>
              </w:rPr>
              <w:t>北京绿建软件有限公司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pPr>
              <w:jc w:val="both"/>
              <w:rPr>
                <w:rFonts w:ascii="宋体" w:hAnsi="宋体"/>
                <w:szCs w:val="18"/>
              </w:rPr>
            </w:pPr>
            <w:r>
              <w:rPr>
                <w:rFonts w:hint="eastAsia" w:ascii="宋体" w:hAnsi="宋体"/>
                <w:szCs w:val="18"/>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pPr>
              <w:jc w:val="both"/>
              <w:rPr>
                <w:rFonts w:ascii="宋体" w:hAnsi="宋体"/>
                <w:szCs w:val="18"/>
              </w:rPr>
            </w:pPr>
            <w:bookmarkStart w:id="9" w:name="加密锁号"/>
            <w:r>
              <w:t>T15890903290</w:t>
            </w:r>
            <w:bookmarkEnd w:id="9"/>
          </w:p>
        </w:tc>
      </w:tr>
    </w:tbl>
    <w:p>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hint="eastAsia" w:ascii="宋体" w:hAnsi="宋体"/>
          <w:b/>
          <w:bCs/>
          <w:sz w:val="32"/>
          <w:szCs w:val="32"/>
        </w:rPr>
        <w:t>目  录</w:t>
      </w:r>
    </w:p>
    <w:p>
      <w:pPr>
        <w:pStyle w:val="15"/>
        <w:pBdr>
          <w:bottom w:val="none" w:color="auto" w:sz="0" w:space="0"/>
        </w:pBdr>
        <w:tabs>
          <w:tab w:val="clear" w:pos="4153"/>
          <w:tab w:val="clear" w:pos="8306"/>
        </w:tabs>
        <w:snapToGrid/>
        <w:rPr>
          <w:rFonts w:ascii="宋体" w:hAnsi="宋体"/>
          <w:szCs w:val="20"/>
        </w:rPr>
      </w:pPr>
    </w:p>
    <w:p>
      <w:pPr>
        <w:pStyle w:val="16"/>
        <w:tabs>
          <w:tab w:val="right" w:leader="dot" w:pos="9070"/>
          <w:tab w:val="clear" w:pos="180"/>
          <w:tab w:val="clear" w:pos="420"/>
          <w:tab w:val="clear" w:pos="9360"/>
        </w:tabs>
      </w:pPr>
      <w:bookmarkStart w:id="10" w:name="目录"/>
      <w:bookmarkEnd w:id="10"/>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_Toc8889 </w:instrText>
      </w:r>
      <w:r>
        <w:rPr>
          <w:rFonts w:ascii="宋体" w:hAnsi="宋体"/>
          <w:bCs w:val="0"/>
          <w:caps/>
        </w:rPr>
        <w:fldChar w:fldCharType="separate"/>
      </w:r>
      <w:r>
        <w:rPr>
          <w:rFonts w:hint="eastAsia"/>
        </w:rPr>
        <w:t>1 住区概况</w:t>
      </w:r>
      <w:r>
        <w:tab/>
      </w:r>
      <w:r>
        <w:fldChar w:fldCharType="begin"/>
      </w:r>
      <w:r>
        <w:instrText xml:space="preserve"> PAGEREF _Toc8889 </w:instrText>
      </w:r>
      <w:r>
        <w:fldChar w:fldCharType="separate"/>
      </w:r>
      <w:r>
        <w:t>3</w:t>
      </w:r>
      <w:r>
        <w:fldChar w:fldCharType="end"/>
      </w:r>
      <w:r>
        <w:rPr>
          <w:rFonts w:ascii="宋体" w:hAnsi="宋体"/>
          <w:bCs w:val="0"/>
          <w:caps/>
        </w:rPr>
        <w:fldChar w:fldCharType="end"/>
      </w:r>
    </w:p>
    <w:p>
      <w:pPr>
        <w:pStyle w:val="16"/>
        <w:tabs>
          <w:tab w:val="right" w:leader="dot" w:pos="9070"/>
          <w:tab w:val="clear" w:pos="180"/>
          <w:tab w:val="clear" w:pos="420"/>
          <w:tab w:val="clear" w:pos="9360"/>
        </w:tabs>
      </w:pPr>
      <w:r>
        <w:fldChar w:fldCharType="begin"/>
      </w:r>
      <w:r>
        <w:instrText xml:space="preserve"> HYPERLINK \l _Toc10887 </w:instrText>
      </w:r>
      <w:r>
        <w:fldChar w:fldCharType="separate"/>
      </w:r>
      <w:r>
        <w:rPr>
          <w:rFonts w:hint="eastAsia"/>
        </w:rPr>
        <w:t>2 设计依据</w:t>
      </w:r>
      <w:r>
        <w:tab/>
      </w:r>
      <w:r>
        <w:fldChar w:fldCharType="begin"/>
      </w:r>
      <w:r>
        <w:instrText xml:space="preserve"> PAGEREF _Toc10887 </w:instrText>
      </w:r>
      <w:r>
        <w:fldChar w:fldCharType="separate"/>
      </w:r>
      <w:r>
        <w:t>4</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_Toc18690 </w:instrText>
      </w:r>
      <w:r>
        <w:fldChar w:fldCharType="separate"/>
      </w:r>
      <w:r>
        <w:rPr>
          <w:rFonts w:hint="eastAsia"/>
        </w:rPr>
        <w:t>3 计算规定</w:t>
      </w:r>
      <w:r>
        <w:tab/>
      </w:r>
      <w:r>
        <w:fldChar w:fldCharType="begin"/>
      </w:r>
      <w:r>
        <w:instrText xml:space="preserve"> PAGEREF _Toc18690 </w:instrText>
      </w:r>
      <w:r>
        <w:fldChar w:fldCharType="separate"/>
      </w:r>
      <w:r>
        <w:t>4</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_Toc12177 </w:instrText>
      </w:r>
      <w:r>
        <w:fldChar w:fldCharType="separate"/>
      </w:r>
      <w:r>
        <w:rPr>
          <w:rFonts w:hint="eastAsia"/>
          <w:lang w:val="en-GB"/>
        </w:rPr>
        <w:t xml:space="preserve">3.1 </w:t>
      </w:r>
      <w:r>
        <w:rPr>
          <w:rFonts w:hint="eastAsia"/>
        </w:rPr>
        <w:t>强制条文</w:t>
      </w:r>
      <w:r>
        <w:tab/>
      </w:r>
      <w:r>
        <w:fldChar w:fldCharType="begin"/>
      </w:r>
      <w:r>
        <w:instrText xml:space="preserve"> PAGEREF _Toc12177 </w:instrText>
      </w:r>
      <w:r>
        <w:fldChar w:fldCharType="separate"/>
      </w:r>
      <w:r>
        <w:t>4</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_Toc19154 </w:instrText>
      </w:r>
      <w:r>
        <w:fldChar w:fldCharType="separate"/>
      </w:r>
      <w:r>
        <w:rPr>
          <w:rFonts w:hint="eastAsia"/>
          <w:lang w:val="en-GB"/>
        </w:rPr>
        <w:t xml:space="preserve">3.2 </w:t>
      </w:r>
      <w:r>
        <w:rPr>
          <w:rFonts w:hint="eastAsia"/>
        </w:rPr>
        <w:t>规定性设计</w:t>
      </w:r>
      <w:r>
        <w:tab/>
      </w:r>
      <w:r>
        <w:fldChar w:fldCharType="begin"/>
      </w:r>
      <w:r>
        <w:instrText xml:space="preserve"> PAGEREF _Toc19154 </w:instrText>
      </w:r>
      <w:r>
        <w:fldChar w:fldCharType="separate"/>
      </w:r>
      <w:r>
        <w:t>5</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_Toc3442 </w:instrText>
      </w:r>
      <w:r>
        <w:fldChar w:fldCharType="separate"/>
      </w:r>
      <w:r>
        <w:rPr>
          <w:rFonts w:hint="eastAsia"/>
          <w:lang w:val="en-GB"/>
        </w:rPr>
        <w:t xml:space="preserve">3.3 </w:t>
      </w:r>
      <w:r>
        <w:rPr>
          <w:rFonts w:hint="eastAsia"/>
        </w:rPr>
        <w:t>评价性设计</w:t>
      </w:r>
      <w:r>
        <w:tab/>
      </w:r>
      <w:r>
        <w:fldChar w:fldCharType="begin"/>
      </w:r>
      <w:r>
        <w:instrText xml:space="preserve"> PAGEREF _Toc3442 </w:instrText>
      </w:r>
      <w:r>
        <w:fldChar w:fldCharType="separate"/>
      </w:r>
      <w:r>
        <w:t>5</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_Toc17623 </w:instrText>
      </w:r>
      <w:r>
        <w:fldChar w:fldCharType="separate"/>
      </w:r>
      <w:r>
        <w:rPr>
          <w:rFonts w:hint="eastAsia"/>
        </w:rPr>
        <w:t>4 计算参数</w:t>
      </w:r>
      <w:r>
        <w:tab/>
      </w:r>
      <w:r>
        <w:fldChar w:fldCharType="begin"/>
      </w:r>
      <w:r>
        <w:instrText xml:space="preserve"> PAGEREF _Toc17623 </w:instrText>
      </w:r>
      <w:r>
        <w:fldChar w:fldCharType="separate"/>
      </w:r>
      <w:r>
        <w:t>6</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_Toc11150 </w:instrText>
      </w:r>
      <w:r>
        <w:fldChar w:fldCharType="separate"/>
      </w:r>
      <w:r>
        <w:rPr>
          <w:rFonts w:hint="eastAsia"/>
          <w:lang w:val="en-GB"/>
        </w:rPr>
        <w:t xml:space="preserve">4.1 </w:t>
      </w:r>
      <w:r>
        <w:rPr>
          <w:rFonts w:hint="eastAsia"/>
        </w:rPr>
        <w:t>典型气象日气象参数</w:t>
      </w:r>
      <w:r>
        <w:tab/>
      </w:r>
      <w:r>
        <w:fldChar w:fldCharType="begin"/>
      </w:r>
      <w:r>
        <w:instrText xml:space="preserve"> PAGEREF _Toc11150 </w:instrText>
      </w:r>
      <w:r>
        <w:fldChar w:fldCharType="separate"/>
      </w:r>
      <w:r>
        <w:t>6</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_Toc28834 </w:instrText>
      </w:r>
      <w:r>
        <w:fldChar w:fldCharType="separate"/>
      </w:r>
      <w:r>
        <w:rPr>
          <w:rFonts w:hint="eastAsia"/>
          <w:lang w:val="en-GB"/>
        </w:rPr>
        <w:t xml:space="preserve">4.2 </w:t>
      </w:r>
      <w:r>
        <w:rPr>
          <w:rFonts w:hint="eastAsia"/>
        </w:rPr>
        <w:t>渗透面夏季逐时蒸发量</w:t>
      </w:r>
      <w:r>
        <w:tab/>
      </w:r>
      <w:r>
        <w:fldChar w:fldCharType="begin"/>
      </w:r>
      <w:r>
        <w:instrText xml:space="preserve"> PAGEREF _Toc28834 </w:instrText>
      </w:r>
      <w:r>
        <w:fldChar w:fldCharType="separate"/>
      </w:r>
      <w:r>
        <w:t>6</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_Toc5608 </w:instrText>
      </w:r>
      <w:r>
        <w:fldChar w:fldCharType="separate"/>
      </w:r>
      <w:r>
        <w:rPr>
          <w:rFonts w:hint="eastAsia"/>
        </w:rPr>
        <w:t>5 住区指标概览</w:t>
      </w:r>
      <w:r>
        <w:tab/>
      </w:r>
      <w:r>
        <w:fldChar w:fldCharType="begin"/>
      </w:r>
      <w:r>
        <w:instrText xml:space="preserve"> PAGEREF _Toc5608 </w:instrText>
      </w:r>
      <w:r>
        <w:fldChar w:fldCharType="separate"/>
      </w:r>
      <w:r>
        <w:t>7</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_Toc26626 </w:instrText>
      </w:r>
      <w:r>
        <w:fldChar w:fldCharType="separate"/>
      </w:r>
      <w:r>
        <w:rPr>
          <w:rFonts w:hint="eastAsia"/>
        </w:rPr>
        <w:t>6 规定性设计指标</w:t>
      </w:r>
      <w:r>
        <w:tab/>
      </w:r>
      <w:r>
        <w:fldChar w:fldCharType="begin"/>
      </w:r>
      <w:r>
        <w:instrText xml:space="preserve"> PAGEREF _Toc26626 </w:instrText>
      </w:r>
      <w:r>
        <w:fldChar w:fldCharType="separate"/>
      </w:r>
      <w:r>
        <w:t>8</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_Toc3487 </w:instrText>
      </w:r>
      <w:r>
        <w:fldChar w:fldCharType="separate"/>
      </w:r>
      <w:r>
        <w:rPr>
          <w:rFonts w:hint="eastAsia"/>
          <w:lang w:val="en-GB"/>
        </w:rPr>
        <w:t xml:space="preserve">6.1 </w:t>
      </w:r>
      <w:r>
        <w:rPr>
          <w:rFonts w:hint="eastAsia"/>
        </w:rPr>
        <w:t>平均迎风面积比</w:t>
      </w:r>
      <w:r>
        <w:tab/>
      </w:r>
      <w:r>
        <w:fldChar w:fldCharType="begin"/>
      </w:r>
      <w:r>
        <w:instrText xml:space="preserve"> PAGEREF _Toc3487 </w:instrText>
      </w:r>
      <w:r>
        <w:fldChar w:fldCharType="separate"/>
      </w:r>
      <w:r>
        <w:t>8</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_Toc25594 </w:instrText>
      </w:r>
      <w:r>
        <w:fldChar w:fldCharType="separate"/>
      </w:r>
      <w:r>
        <w:rPr>
          <w:rFonts w:hint="eastAsia"/>
          <w:lang w:val="en-GB"/>
        </w:rPr>
        <w:t xml:space="preserve">6.2 </w:t>
      </w:r>
      <w:r>
        <w:rPr>
          <w:rFonts w:hint="eastAsia"/>
        </w:rPr>
        <w:t>活动场地遮阳覆盖率</w:t>
      </w:r>
      <w:r>
        <w:tab/>
      </w:r>
      <w:r>
        <w:fldChar w:fldCharType="begin"/>
      </w:r>
      <w:r>
        <w:instrText xml:space="preserve"> PAGEREF _Toc25594 </w:instrText>
      </w:r>
      <w:r>
        <w:fldChar w:fldCharType="separate"/>
      </w:r>
      <w:r>
        <w:t>8</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_Toc31364 </w:instrText>
      </w:r>
      <w:r>
        <w:fldChar w:fldCharType="separate"/>
      </w:r>
      <w:r>
        <w:rPr>
          <w:rFonts w:hint="eastAsia"/>
          <w:lang w:val="en-GB"/>
        </w:rPr>
        <w:t xml:space="preserve">6.3 </w:t>
      </w:r>
      <w:r>
        <w:rPr>
          <w:rFonts w:hint="eastAsia"/>
        </w:rPr>
        <w:t>底层通风架空率</w:t>
      </w:r>
      <w:r>
        <w:tab/>
      </w:r>
      <w:r>
        <w:fldChar w:fldCharType="begin"/>
      </w:r>
      <w:r>
        <w:instrText xml:space="preserve"> PAGEREF _Toc31364 </w:instrText>
      </w:r>
      <w:r>
        <w:fldChar w:fldCharType="separate"/>
      </w:r>
      <w:r>
        <w:t>8</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_Toc23688 </w:instrText>
      </w:r>
      <w:r>
        <w:fldChar w:fldCharType="separate"/>
      </w:r>
      <w:r>
        <w:rPr>
          <w:rFonts w:hint="eastAsia"/>
          <w:lang w:val="en-GB"/>
        </w:rPr>
        <w:t xml:space="preserve">6.4 </w:t>
      </w:r>
      <w:r>
        <w:rPr>
          <w:rFonts w:hint="eastAsia"/>
        </w:rPr>
        <w:t>绿化遮阳体叶面积指数</w:t>
      </w:r>
      <w:r>
        <w:tab/>
      </w:r>
      <w:r>
        <w:fldChar w:fldCharType="begin"/>
      </w:r>
      <w:r>
        <w:instrText xml:space="preserve"> PAGEREF _Toc23688 </w:instrText>
      </w:r>
      <w:r>
        <w:fldChar w:fldCharType="separate"/>
      </w:r>
      <w:r>
        <w:t>9</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_Toc11846 </w:instrText>
      </w:r>
      <w:r>
        <w:fldChar w:fldCharType="separate"/>
      </w:r>
      <w:r>
        <w:rPr>
          <w:rFonts w:hint="eastAsia"/>
          <w:lang w:val="en-GB"/>
        </w:rPr>
        <w:t xml:space="preserve">6.5 </w:t>
      </w:r>
      <w:r>
        <w:rPr>
          <w:rFonts w:hint="eastAsia"/>
        </w:rPr>
        <w:t>渗透蒸发指标</w:t>
      </w:r>
      <w:r>
        <w:tab/>
      </w:r>
      <w:r>
        <w:fldChar w:fldCharType="begin"/>
      </w:r>
      <w:r>
        <w:instrText xml:space="preserve"> PAGEREF _Toc11846 </w:instrText>
      </w:r>
      <w:r>
        <w:fldChar w:fldCharType="separate"/>
      </w:r>
      <w:r>
        <w:t>9</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_Toc22433 </w:instrText>
      </w:r>
      <w:r>
        <w:fldChar w:fldCharType="separate"/>
      </w:r>
      <w:r>
        <w:rPr>
          <w:rFonts w:hint="eastAsia"/>
          <w:lang w:val="en-GB"/>
        </w:rPr>
        <w:t xml:space="preserve">6.6 </w:t>
      </w:r>
      <w:r>
        <w:rPr>
          <w:rFonts w:hint="eastAsia"/>
        </w:rPr>
        <w:t>屋面绿化率</w:t>
      </w:r>
      <w:r>
        <w:tab/>
      </w:r>
      <w:r>
        <w:fldChar w:fldCharType="begin"/>
      </w:r>
      <w:r>
        <w:instrText xml:space="preserve"> PAGEREF _Toc22433 </w:instrText>
      </w:r>
      <w:r>
        <w:fldChar w:fldCharType="separate"/>
      </w:r>
      <w:r>
        <w:t>9</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_Toc11774 </w:instrText>
      </w:r>
      <w:r>
        <w:fldChar w:fldCharType="separate"/>
      </w:r>
      <w:r>
        <w:rPr>
          <w:rFonts w:hint="eastAsia"/>
        </w:rPr>
        <w:t>7 评价性设计</w:t>
      </w:r>
      <w:r>
        <w:tab/>
      </w:r>
      <w:r>
        <w:fldChar w:fldCharType="begin"/>
      </w:r>
      <w:r>
        <w:instrText xml:space="preserve"> PAGEREF _Toc11774 </w:instrText>
      </w:r>
      <w:r>
        <w:fldChar w:fldCharType="separate"/>
      </w:r>
      <w:r>
        <w:t>10</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_Toc26891 </w:instrText>
      </w:r>
      <w:r>
        <w:fldChar w:fldCharType="separate"/>
      </w:r>
      <w:r>
        <w:rPr>
          <w:rFonts w:hint="eastAsia"/>
          <w:lang w:val="en-GB"/>
        </w:rPr>
        <w:t xml:space="preserve">7.1 </w:t>
      </w:r>
      <w:r>
        <w:rPr>
          <w:rFonts w:hint="eastAsia"/>
        </w:rPr>
        <w:t>平均热岛强度</w:t>
      </w:r>
      <w:r>
        <w:tab/>
      </w:r>
      <w:r>
        <w:fldChar w:fldCharType="begin"/>
      </w:r>
      <w:r>
        <w:instrText xml:space="preserve"> PAGEREF _Toc26891 </w:instrText>
      </w:r>
      <w:r>
        <w:fldChar w:fldCharType="separate"/>
      </w:r>
      <w:r>
        <w:t>10</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_Toc7463 </w:instrText>
      </w:r>
      <w:r>
        <w:fldChar w:fldCharType="separate"/>
      </w:r>
      <w:r>
        <w:rPr>
          <w:rFonts w:hint="eastAsia"/>
          <w:lang w:val="en-GB"/>
        </w:rPr>
        <w:t xml:space="preserve">7.2 </w:t>
      </w:r>
      <w:r>
        <w:rPr>
          <w:rFonts w:hint="eastAsia"/>
        </w:rPr>
        <w:t>湿球黑球温度</w:t>
      </w:r>
      <w:r>
        <w:tab/>
      </w:r>
      <w:r>
        <w:fldChar w:fldCharType="begin"/>
      </w:r>
      <w:r>
        <w:instrText xml:space="preserve"> PAGEREF _Toc7463 </w:instrText>
      </w:r>
      <w:r>
        <w:fldChar w:fldCharType="separate"/>
      </w:r>
      <w:r>
        <w:t>10</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_Toc12792 </w:instrText>
      </w:r>
      <w:r>
        <w:fldChar w:fldCharType="separate"/>
      </w:r>
      <w:r>
        <w:rPr>
          <w:rFonts w:hint="eastAsia"/>
        </w:rPr>
        <w:t>8 结论</w:t>
      </w:r>
      <w:r>
        <w:tab/>
      </w:r>
      <w:r>
        <w:fldChar w:fldCharType="begin"/>
      </w:r>
      <w:r>
        <w:instrText xml:space="preserve"> PAGEREF _Toc12792 </w:instrText>
      </w:r>
      <w:r>
        <w:fldChar w:fldCharType="separate"/>
      </w:r>
      <w:r>
        <w:t>11</w:t>
      </w:r>
      <w:r>
        <w:fldChar w:fldCharType="end"/>
      </w:r>
      <w:r>
        <w:fldChar w:fldCharType="end"/>
      </w:r>
    </w:p>
    <w:p>
      <w:pPr>
        <w:pStyle w:val="16"/>
        <w:sectPr>
          <w:headerReference r:id="rId3" w:type="default"/>
          <w:footerReference r:id="rId4" w:type="default"/>
          <w:footerReference r:id="rId5" w:type="even"/>
          <w:pgSz w:w="11906" w:h="16838"/>
          <w:pgMar w:top="1440" w:right="1418" w:bottom="1440" w:left="1418" w:header="851" w:footer="992" w:gutter="0"/>
          <w:cols w:space="425" w:num="1"/>
          <w:docGrid w:type="lines" w:linePitch="312" w:charSpace="0"/>
        </w:sectPr>
      </w:pPr>
      <w:r>
        <w:fldChar w:fldCharType="end"/>
      </w:r>
    </w:p>
    <w:p>
      <w:pPr>
        <w:pStyle w:val="16"/>
      </w:pPr>
    </w:p>
    <w:p>
      <w:pPr>
        <w:pStyle w:val="2"/>
      </w:pPr>
      <w:bookmarkStart w:id="11" w:name="_Toc8889"/>
      <w:r>
        <w:rPr>
          <w:rFonts w:hint="eastAsia"/>
        </w:rPr>
        <w:t>住区概况</w:t>
      </w:r>
      <w:bookmarkEnd w:id="11"/>
    </w:p>
    <w:tbl>
      <w:tblPr>
        <w:tblStyle w:val="19"/>
        <w:tblpPr w:leftFromText="180" w:rightFromText="180" w:vertAnchor="text" w:horzAnchor="margin" w:tblpXSpec="center" w:tblpY="191"/>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2"/>
        <w:gridCol w:w="3114"/>
        <w:gridCol w:w="31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tcBorders>
              <w:bottom w:val="single" w:color="auto" w:sz="8" w:space="0"/>
            </w:tcBorders>
            <w:shd w:val="clear" w:color="auto" w:fill="E6E6E6"/>
          </w:tcPr>
          <w:p>
            <w:pPr>
              <w:pStyle w:val="3"/>
              <w:ind w:firstLine="0" w:firstLineChars="0"/>
              <w:rPr>
                <w:rFonts w:ascii="宋体" w:hAnsi="宋体"/>
                <w:lang w:val="en-US"/>
              </w:rPr>
            </w:pPr>
            <w:r>
              <w:rPr>
                <w:rFonts w:hint="eastAsia" w:ascii="宋体" w:hAnsi="宋体"/>
                <w:lang w:val="en-US"/>
              </w:rPr>
              <w:t>工程名称</w:t>
            </w:r>
          </w:p>
        </w:tc>
        <w:tc>
          <w:tcPr>
            <w:tcW w:w="6065" w:type="dxa"/>
            <w:gridSpan w:val="2"/>
          </w:tcPr>
          <w:p>
            <w:pPr>
              <w:pStyle w:val="3"/>
              <w:ind w:firstLine="0" w:firstLineChars="0"/>
              <w:rPr>
                <w:rFonts w:ascii="宋体" w:hAnsi="宋体"/>
                <w:lang w:val="en-US"/>
              </w:rPr>
            </w:pPr>
            <w:bookmarkStart w:id="12" w:name="工程名称1"/>
            <w:r>
              <w:rPr>
                <w:rFonts w:hint="eastAsia" w:ascii="宋体" w:hAnsi="宋体"/>
              </w:rPr>
              <w:t>XXX住宅小区</w:t>
            </w:r>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tcBorders>
              <w:top w:val="single" w:color="auto" w:sz="8" w:space="0"/>
            </w:tcBorders>
            <w:shd w:val="clear" w:color="auto" w:fill="E6E6E6"/>
          </w:tcPr>
          <w:p>
            <w:pPr>
              <w:pStyle w:val="3"/>
              <w:ind w:firstLine="0" w:firstLineChars="0"/>
              <w:rPr>
                <w:rFonts w:ascii="宋体" w:hAnsi="宋体"/>
                <w:lang w:val="en-US"/>
              </w:rPr>
            </w:pPr>
            <w:r>
              <w:rPr>
                <w:rFonts w:hint="eastAsia" w:ascii="宋体" w:hAnsi="宋体"/>
                <w:lang w:val="en-US"/>
              </w:rPr>
              <w:t>工程地点</w:t>
            </w:r>
          </w:p>
        </w:tc>
        <w:tc>
          <w:tcPr>
            <w:tcW w:w="6065" w:type="dxa"/>
            <w:gridSpan w:val="2"/>
          </w:tcPr>
          <w:p>
            <w:pPr>
              <w:pStyle w:val="3"/>
              <w:ind w:firstLine="0" w:firstLineChars="0"/>
              <w:rPr>
                <w:rFonts w:ascii="宋体" w:hAnsi="宋体"/>
                <w:lang w:val="en-US"/>
              </w:rPr>
            </w:pPr>
            <w:bookmarkStart w:id="13" w:name="工程地点"/>
            <w:r>
              <w:t>开封</w:t>
            </w:r>
            <w:bookmarkEnd w:id="1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pPr>
              <w:pStyle w:val="3"/>
              <w:ind w:firstLine="0" w:firstLineChars="0"/>
              <w:rPr>
                <w:rFonts w:ascii="宋体" w:hAnsi="宋体"/>
                <w:lang w:val="en-US"/>
              </w:rPr>
            </w:pPr>
            <w:r>
              <w:rPr>
                <w:rFonts w:hint="eastAsia" w:ascii="宋体" w:hAnsi="宋体"/>
                <w:lang w:val="en-US"/>
              </w:rPr>
              <w:t>地理位置</w:t>
            </w:r>
          </w:p>
        </w:tc>
        <w:tc>
          <w:tcPr>
            <w:tcW w:w="3032" w:type="dxa"/>
          </w:tcPr>
          <w:p>
            <w:pPr>
              <w:pStyle w:val="3"/>
              <w:ind w:firstLine="0" w:firstLineChars="0"/>
              <w:rPr>
                <w:rFonts w:ascii="宋体" w:hAnsi="宋体"/>
                <w:lang w:val="en-US"/>
              </w:rPr>
            </w:pPr>
            <w:r>
              <w:rPr>
                <w:rFonts w:hint="eastAsia" w:ascii="宋体" w:hAnsi="宋体"/>
                <w:lang w:val="en-US"/>
              </w:rPr>
              <w:t>北纬：</w:t>
            </w:r>
            <w:bookmarkStart w:id="14" w:name="纬度"/>
            <w:r>
              <w:t>34.78</w:t>
            </w:r>
            <w:bookmarkEnd w:id="14"/>
            <w:r>
              <w:rPr>
                <w:rFonts w:hint="eastAsia" w:ascii="宋体" w:hAnsi="宋体"/>
                <w:lang w:val="en-US"/>
              </w:rPr>
              <w:t>°</w:t>
            </w:r>
          </w:p>
        </w:tc>
        <w:tc>
          <w:tcPr>
            <w:tcW w:w="3033" w:type="dxa"/>
          </w:tcPr>
          <w:p>
            <w:pPr>
              <w:pStyle w:val="3"/>
              <w:ind w:firstLine="0" w:firstLineChars="0"/>
              <w:rPr>
                <w:rFonts w:ascii="宋体" w:hAnsi="宋体"/>
                <w:lang w:val="en-US"/>
              </w:rPr>
            </w:pPr>
            <w:r>
              <w:rPr>
                <w:rFonts w:hint="eastAsia" w:ascii="宋体" w:hAnsi="宋体"/>
                <w:lang w:val="en-US"/>
              </w:rPr>
              <w:t>东经：</w:t>
            </w:r>
            <w:bookmarkStart w:id="15" w:name="经度"/>
            <w:r>
              <w:t>114.35</w:t>
            </w:r>
            <w:bookmarkEnd w:id="15"/>
            <w:r>
              <w:rPr>
                <w:rFonts w:hint="eastAsia" w:ascii="宋体" w:hAnsi="宋体"/>
                <w:lang w:val="en-US"/>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pPr>
              <w:pStyle w:val="3"/>
              <w:ind w:firstLine="0" w:firstLineChars="0"/>
              <w:rPr>
                <w:rFonts w:ascii="宋体" w:hAnsi="宋体"/>
                <w:lang w:val="en-US"/>
              </w:rPr>
            </w:pPr>
            <w:r>
              <w:rPr>
                <w:rFonts w:hint="eastAsia" w:ascii="宋体" w:hAnsi="宋体"/>
                <w:lang w:val="en-US"/>
              </w:rPr>
              <w:t>建筑气候区</w:t>
            </w:r>
          </w:p>
        </w:tc>
        <w:tc>
          <w:tcPr>
            <w:tcW w:w="6065" w:type="dxa"/>
            <w:gridSpan w:val="2"/>
          </w:tcPr>
          <w:p>
            <w:pPr>
              <w:pStyle w:val="3"/>
              <w:ind w:firstLine="0" w:firstLineChars="0"/>
              <w:rPr>
                <w:rFonts w:ascii="宋体" w:hAnsi="宋体"/>
                <w:lang w:val="en-US"/>
              </w:rPr>
            </w:pPr>
            <w:bookmarkStart w:id="16" w:name="气候区"/>
            <w:r>
              <w:t>IIA</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pPr>
              <w:pStyle w:val="3"/>
              <w:ind w:firstLine="0" w:firstLineChars="0"/>
              <w:rPr>
                <w:rFonts w:ascii="宋体" w:hAnsi="宋体"/>
                <w:lang w:val="en-US"/>
              </w:rPr>
            </w:pPr>
            <w:r>
              <w:rPr>
                <w:rFonts w:hint="eastAsia" w:ascii="宋体" w:hAnsi="宋体"/>
                <w:lang w:val="en-US"/>
              </w:rPr>
              <w:t>主导风向</w:t>
            </w:r>
          </w:p>
        </w:tc>
        <w:tc>
          <w:tcPr>
            <w:tcW w:w="6065" w:type="dxa"/>
            <w:gridSpan w:val="2"/>
          </w:tcPr>
          <w:p>
            <w:pPr>
              <w:pStyle w:val="3"/>
              <w:ind w:firstLine="0" w:firstLineChars="0"/>
              <w:rPr>
                <w:rFonts w:ascii="宋体" w:hAnsi="宋体"/>
                <w:lang w:val="en-US"/>
              </w:rPr>
            </w:pPr>
            <w:bookmarkStart w:id="17" w:name="主导风向"/>
            <w:r>
              <w:t>西南偏南</w:t>
            </w:r>
            <w:bookmarkEnd w:id="17"/>
          </w:p>
        </w:tc>
      </w:tr>
    </w:tbl>
    <w:p>
      <w:pPr>
        <w:pStyle w:val="3"/>
        <w:ind w:firstLine="420"/>
        <w:rPr>
          <w:lang w:val="en-US"/>
        </w:rPr>
      </w:pPr>
    </w:p>
    <w:p>
      <w:pPr>
        <w:pStyle w:val="3"/>
        <w:ind w:firstLine="420"/>
        <w:jc w:val="center"/>
        <w:rPr>
          <w:lang w:val="en-US"/>
        </w:rPr>
      </w:pPr>
      <w:bookmarkStart w:id="18" w:name="总图鸟瞰图"/>
      <w:bookmarkEnd w:id="18"/>
      <w:r>
        <w:drawing>
          <wp:inline distT="0" distB="0" distL="0" distR="0">
            <wp:extent cx="5667375" cy="389572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8"/>
                    <a:stretch>
                      <a:fillRect/>
                    </a:stretch>
                  </pic:blipFill>
                  <pic:spPr>
                    <a:xfrm>
                      <a:off x="0" y="0"/>
                      <a:ext cx="5667375" cy="3895725"/>
                    </a:xfrm>
                    <a:prstGeom prst="rect">
                      <a:avLst/>
                    </a:prstGeom>
                  </pic:spPr>
                </pic:pic>
              </a:graphicData>
            </a:graphic>
          </wp:inline>
        </w:drawing>
      </w:r>
    </w:p>
    <w:p>
      <w:pPr>
        <w:pStyle w:val="3"/>
        <w:ind w:firstLine="420"/>
        <w:jc w:val="center"/>
        <w:rPr>
          <w:lang w:val="en-US"/>
        </w:rPr>
      </w:pPr>
      <w:bookmarkStart w:id="19" w:name="OLE_LINK3"/>
      <w:bookmarkStart w:id="20" w:name="OLE_LINK4"/>
      <w:r>
        <w:rPr>
          <w:rFonts w:hint="eastAsia" w:ascii="宋体" w:hAnsi="宋体"/>
        </w:rPr>
        <w:t>图</w:t>
      </w:r>
      <w:r>
        <w:rPr>
          <w:rFonts w:ascii="宋体" w:hAnsi="宋体"/>
        </w:rPr>
        <w:t>1</w:t>
      </w:r>
      <w:r>
        <w:rPr>
          <w:rFonts w:hint="eastAsia" w:ascii="宋体" w:hAnsi="宋体"/>
        </w:rPr>
        <w:t>.1 场地鸟瞰图</w:t>
      </w:r>
      <w:bookmarkEnd w:id="19"/>
      <w:bookmarkEnd w:id="20"/>
    </w:p>
    <w:p>
      <w:pPr>
        <w:pStyle w:val="3"/>
        <w:ind w:firstLine="420"/>
        <w:rPr>
          <w:lang w:val="en-US"/>
        </w:rPr>
      </w:pPr>
    </w:p>
    <w:p>
      <w:pPr>
        <w:pStyle w:val="3"/>
        <w:ind w:firstLine="420"/>
        <w:jc w:val="center"/>
        <w:rPr>
          <w:lang w:val="en-US"/>
        </w:rPr>
      </w:pPr>
      <w:bookmarkStart w:id="21" w:name="总图平面图"/>
      <w:bookmarkEnd w:id="21"/>
      <w:r>
        <w:drawing>
          <wp:inline distT="0" distB="0" distL="0" distR="0">
            <wp:extent cx="4657725" cy="4257675"/>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9"/>
                    <a:stretch>
                      <a:fillRect/>
                    </a:stretch>
                  </pic:blipFill>
                  <pic:spPr>
                    <a:xfrm>
                      <a:off x="0" y="0"/>
                      <a:ext cx="4658214" cy="4258122"/>
                    </a:xfrm>
                    <a:prstGeom prst="rect">
                      <a:avLst/>
                    </a:prstGeom>
                  </pic:spPr>
                </pic:pic>
              </a:graphicData>
            </a:graphic>
          </wp:inline>
        </w:drawing>
      </w:r>
    </w:p>
    <w:p>
      <w:pPr>
        <w:pStyle w:val="3"/>
        <w:ind w:firstLine="420"/>
        <w:jc w:val="center"/>
        <w:rPr>
          <w:lang w:val="en-US"/>
        </w:rPr>
      </w:pPr>
      <w:r>
        <w:rPr>
          <w:rFonts w:hint="eastAsia" w:ascii="宋体" w:hAnsi="宋体"/>
        </w:rPr>
        <w:t>图</w:t>
      </w:r>
      <w:r>
        <w:rPr>
          <w:rFonts w:ascii="宋体" w:hAnsi="宋体"/>
        </w:rPr>
        <w:t>1</w:t>
      </w:r>
      <w:r>
        <w:rPr>
          <w:rFonts w:hint="eastAsia" w:ascii="宋体" w:hAnsi="宋体"/>
        </w:rPr>
        <w:t>.</w:t>
      </w:r>
      <w:r>
        <w:rPr>
          <w:rFonts w:ascii="宋体" w:hAnsi="宋体"/>
        </w:rPr>
        <w:t>2</w:t>
      </w:r>
      <w:r>
        <w:rPr>
          <w:rFonts w:hint="eastAsia" w:ascii="宋体" w:hAnsi="宋体"/>
        </w:rPr>
        <w:t xml:space="preserve"> 场地平面图</w:t>
      </w:r>
    </w:p>
    <w:p>
      <w:pPr>
        <w:pStyle w:val="2"/>
      </w:pPr>
      <w:bookmarkStart w:id="22" w:name="_Toc10887"/>
      <w:bookmarkStart w:id="23" w:name="TitleFormat"/>
      <w:r>
        <w:rPr>
          <w:rFonts w:hint="eastAsia"/>
        </w:rPr>
        <w:t>设计依据</w:t>
      </w:r>
      <w:bookmarkEnd w:id="22"/>
    </w:p>
    <w:bookmarkEnd w:id="23"/>
    <w:p>
      <w:pPr>
        <w:widowControl w:val="0"/>
        <w:jc w:val="both"/>
        <w:rPr>
          <w:kern w:val="2"/>
          <w:szCs w:val="24"/>
          <w:lang w:val="en-US"/>
        </w:rPr>
      </w:pPr>
      <w:bookmarkStart w:id="24" w:name="计算依据"/>
      <w:bookmarkEnd w:id="24"/>
      <w:r>
        <w:rPr>
          <w:rFonts w:hint="eastAsia"/>
          <w:kern w:val="2"/>
          <w:szCs w:val="24"/>
          <w:lang w:val="en-US"/>
        </w:rPr>
        <w:t>《城市居住区热环境设计标准》（JGJ 286-2013）</w:t>
      </w:r>
    </w:p>
    <w:p>
      <w:pPr>
        <w:pStyle w:val="2"/>
      </w:pPr>
      <w:bookmarkStart w:id="25" w:name="_Toc18690"/>
      <w:r>
        <w:rPr>
          <w:rFonts w:hint="eastAsia"/>
        </w:rPr>
        <w:t>计算规定</w:t>
      </w:r>
      <w:bookmarkEnd w:id="25"/>
    </w:p>
    <w:p>
      <w:pPr>
        <w:pStyle w:val="3"/>
        <w:ind w:firstLine="420"/>
        <w:rPr>
          <w:rFonts w:ascii="Arial" w:hAnsi="Arial" w:cs="Arial"/>
          <w:color w:val="333333"/>
          <w:shd w:val="clear" w:color="auto" w:fill="FFFFFF"/>
        </w:rPr>
      </w:pPr>
      <w:r>
        <w:rPr>
          <w:rFonts w:hint="eastAsia"/>
          <w:kern w:val="2"/>
          <w:szCs w:val="24"/>
          <w:lang w:val="en-US"/>
        </w:rPr>
        <w:t>《城市居住区</w:t>
      </w:r>
      <w:r>
        <w:rPr>
          <w:rFonts w:hint="eastAsia" w:ascii="Arial" w:hAnsi="Arial" w:cs="Arial"/>
          <w:color w:val="333333"/>
          <w:shd w:val="clear" w:color="auto" w:fill="FFFFFF"/>
        </w:rPr>
        <w:t>热环境设计标准》的指标体系包括必须满足的强制性条文，在此基础上采用</w:t>
      </w:r>
      <w:r>
        <w:rPr>
          <w:rFonts w:ascii="Arial" w:hAnsi="Arial" w:cs="Arial"/>
          <w:color w:val="333333"/>
          <w:shd w:val="clear" w:color="auto" w:fill="FFFFFF"/>
        </w:rPr>
        <w:t>规定性设计或评价性设计。</w:t>
      </w:r>
    </w:p>
    <w:p>
      <w:pPr>
        <w:pStyle w:val="4"/>
      </w:pPr>
      <w:bookmarkStart w:id="26" w:name="_Toc12177"/>
      <w:r>
        <w:rPr>
          <w:rFonts w:hint="eastAsia"/>
        </w:rPr>
        <w:t>强制条文</w:t>
      </w:r>
      <w:bookmarkEnd w:id="26"/>
    </w:p>
    <w:p>
      <w:pPr>
        <w:pStyle w:val="3"/>
        <w:spacing w:line="360" w:lineRule="auto"/>
        <w:ind w:firstLine="420"/>
        <w:rPr>
          <w:kern w:val="2"/>
          <w:szCs w:val="24"/>
          <w:lang w:val="en-US"/>
        </w:rPr>
      </w:pPr>
      <w:r>
        <w:rPr>
          <w:rFonts w:hint="eastAsia"/>
          <w:kern w:val="2"/>
          <w:szCs w:val="24"/>
          <w:lang w:val="en-US"/>
        </w:rPr>
        <w:t>（1）</w:t>
      </w:r>
      <w:r>
        <w:rPr>
          <w:kern w:val="2"/>
          <w:szCs w:val="24"/>
          <w:lang w:val="en-US"/>
        </w:rPr>
        <w:t>4</w:t>
      </w:r>
      <w:r>
        <w:rPr>
          <w:rFonts w:hint="eastAsia"/>
          <w:kern w:val="2"/>
          <w:szCs w:val="24"/>
          <w:lang w:val="en-US"/>
        </w:rPr>
        <w:t>.1.1</w:t>
      </w:r>
      <w:r>
        <w:rPr>
          <w:kern w:val="2"/>
          <w:szCs w:val="24"/>
          <w:lang w:val="en-US"/>
        </w:rPr>
        <w:t xml:space="preserve"> 居住区的夏季平均迎风面积比应符合表4．1．1的规定。</w:t>
      </w:r>
    </w:p>
    <w:p>
      <w:pPr>
        <w:pStyle w:val="18"/>
        <w:shd w:val="clear" w:color="auto" w:fill="FFFFFF"/>
        <w:spacing w:before="0" w:beforeAutospacing="0" w:after="0" w:afterAutospacing="0" w:line="360" w:lineRule="auto"/>
        <w:ind w:firstLine="420"/>
        <w:jc w:val="center"/>
        <w:rPr>
          <w:rStyle w:val="22"/>
          <w:rFonts w:ascii="Arial" w:hAnsi="Arial" w:cs="Arial"/>
          <w:color w:val="333333"/>
          <w:sz w:val="21"/>
          <w:szCs w:val="21"/>
        </w:rPr>
      </w:pPr>
      <w:r>
        <w:rPr>
          <w:rStyle w:val="22"/>
          <w:rFonts w:ascii="Arial" w:hAnsi="Arial" w:cs="Arial"/>
          <w:color w:val="333333"/>
          <w:sz w:val="21"/>
          <w:szCs w:val="21"/>
        </w:rPr>
        <w:t>表4．1．1 居住区的夏季平均迎风面积比（ζ</w:t>
      </w:r>
      <w:r>
        <w:rPr>
          <w:rStyle w:val="22"/>
          <w:rFonts w:ascii="Arial" w:hAnsi="Arial" w:cs="Arial"/>
          <w:color w:val="333333"/>
          <w:sz w:val="21"/>
          <w:szCs w:val="21"/>
          <w:vertAlign w:val="subscript"/>
        </w:rPr>
        <w:t>s</w:t>
      </w:r>
      <w:r>
        <w:rPr>
          <w:rStyle w:val="22"/>
          <w:rFonts w:ascii="Arial" w:hAnsi="Arial" w:cs="Arial"/>
          <w:color w:val="333333"/>
          <w:sz w:val="21"/>
          <w:szCs w:val="21"/>
        </w:rPr>
        <w:t>）限值</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1"/>
        <w:gridCol w:w="2321"/>
        <w:gridCol w:w="2322"/>
        <w:gridCol w:w="2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建筑气候区</w:t>
            </w:r>
          </w:p>
        </w:tc>
        <w:tc>
          <w:tcPr>
            <w:tcW w:w="2321" w:type="dxa"/>
          </w:tcPr>
          <w:p>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I、II、VI、VII</w:t>
            </w:r>
          </w:p>
        </w:tc>
        <w:tc>
          <w:tcPr>
            <w:tcW w:w="2322" w:type="dxa"/>
          </w:tcPr>
          <w:p>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III、V</w:t>
            </w:r>
          </w:p>
        </w:tc>
        <w:tc>
          <w:tcPr>
            <w:tcW w:w="2322" w:type="dxa"/>
          </w:tcPr>
          <w:p>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IV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平均迎风面积比</w:t>
            </w:r>
          </w:p>
        </w:tc>
        <w:tc>
          <w:tcPr>
            <w:tcW w:w="2321" w:type="dxa"/>
          </w:tcPr>
          <w:p>
            <w:pPr>
              <w:pStyle w:val="18"/>
              <w:spacing w:before="0" w:beforeAutospacing="0" w:after="0" w:afterAutospacing="0" w:line="360"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w:t>
            </w:r>
            <w:r>
              <w:rPr>
                <w:rFonts w:hint="eastAsia" w:ascii="Times New Roman" w:hAnsi="Times New Roman" w:cs="Times New Roman"/>
                <w:bCs/>
                <w:kern w:val="2"/>
                <w:sz w:val="21"/>
                <w:szCs w:val="21"/>
              </w:rPr>
              <w:t>0.85</w:t>
            </w:r>
          </w:p>
        </w:tc>
        <w:tc>
          <w:tcPr>
            <w:tcW w:w="2322" w:type="dxa"/>
          </w:tcPr>
          <w:p>
            <w:pPr>
              <w:pStyle w:val="18"/>
              <w:spacing w:before="0" w:beforeAutospacing="0" w:after="0" w:afterAutospacing="0" w:line="360"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w:t>
            </w:r>
            <w:r>
              <w:rPr>
                <w:rFonts w:hint="eastAsia" w:ascii="Times New Roman" w:hAnsi="Times New Roman" w:cs="Times New Roman"/>
                <w:bCs/>
                <w:kern w:val="2"/>
                <w:sz w:val="21"/>
                <w:szCs w:val="21"/>
              </w:rPr>
              <w:t>0.80</w:t>
            </w:r>
          </w:p>
        </w:tc>
        <w:tc>
          <w:tcPr>
            <w:tcW w:w="2322" w:type="dxa"/>
          </w:tcPr>
          <w:p>
            <w:pPr>
              <w:pStyle w:val="18"/>
              <w:spacing w:before="0" w:beforeAutospacing="0" w:after="0" w:afterAutospacing="0" w:line="360"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w:t>
            </w:r>
            <w:r>
              <w:rPr>
                <w:rFonts w:hint="eastAsia" w:ascii="Times New Roman" w:hAnsi="Times New Roman" w:cs="Times New Roman"/>
                <w:bCs/>
                <w:kern w:val="2"/>
                <w:sz w:val="21"/>
                <w:szCs w:val="21"/>
              </w:rPr>
              <w:t>0.70</w:t>
            </w:r>
          </w:p>
        </w:tc>
      </w:tr>
    </w:tbl>
    <w:p>
      <w:pPr>
        <w:pStyle w:val="18"/>
        <w:shd w:val="clear" w:color="auto" w:fill="FFFFFF"/>
        <w:spacing w:before="0" w:beforeAutospacing="0" w:after="0" w:afterAutospacing="0"/>
        <w:jc w:val="center"/>
        <w:rPr>
          <w:rFonts w:ascii="Arial" w:hAnsi="Arial" w:cs="Arial"/>
          <w:color w:val="333333"/>
          <w:sz w:val="21"/>
          <w:szCs w:val="21"/>
        </w:rPr>
      </w:pPr>
    </w:p>
    <w:p>
      <w:pPr>
        <w:pStyle w:val="18"/>
        <w:shd w:val="clear" w:color="auto" w:fill="FFFFFF"/>
        <w:spacing w:before="0" w:beforeAutospacing="0" w:after="0" w:afterAutospacing="0"/>
        <w:ind w:firstLine="420"/>
        <w:rPr>
          <w:rFonts w:ascii="Times New Roman" w:hAnsi="Times New Roman" w:cs="Times New Roman"/>
          <w:kern w:val="2"/>
          <w:sz w:val="21"/>
        </w:rPr>
      </w:pPr>
      <w:r>
        <w:rPr>
          <w:rFonts w:hint="eastAsia" w:ascii="Times New Roman" w:hAnsi="Times New Roman" w:cs="Times New Roman"/>
          <w:kern w:val="2"/>
          <w:sz w:val="21"/>
        </w:rPr>
        <w:t>（2）</w:t>
      </w:r>
      <w:r>
        <w:rPr>
          <w:rFonts w:ascii="Times New Roman" w:hAnsi="Times New Roman" w:cs="Times New Roman"/>
          <w:bCs/>
          <w:kern w:val="2"/>
        </w:rPr>
        <w:t>4</w:t>
      </w:r>
      <w:r>
        <w:rPr>
          <w:rFonts w:hint="eastAsia" w:ascii="Times New Roman" w:hAnsi="Times New Roman" w:cs="Times New Roman"/>
          <w:bCs/>
          <w:kern w:val="2"/>
        </w:rPr>
        <w:t>.2.1</w:t>
      </w:r>
      <w:r>
        <w:rPr>
          <w:rFonts w:ascii="Times New Roman" w:hAnsi="Times New Roman" w:cs="Times New Roman"/>
          <w:bCs/>
          <w:kern w:val="2"/>
        </w:rPr>
        <w:t>居住区夏季户外活动场地应有遮阳，遮阳覆盖率不应小于表4．2．1的规定。</w:t>
      </w:r>
    </w:p>
    <w:p>
      <w:pPr>
        <w:pStyle w:val="18"/>
        <w:shd w:val="clear" w:color="auto" w:fill="FFFFFF"/>
        <w:spacing w:before="0" w:beforeAutospacing="0" w:after="0" w:afterAutospacing="0"/>
        <w:ind w:firstLine="420"/>
        <w:jc w:val="center"/>
        <w:rPr>
          <w:rStyle w:val="22"/>
          <w:rFonts w:ascii="Arial" w:hAnsi="Arial" w:cs="Arial"/>
          <w:color w:val="333333"/>
          <w:sz w:val="21"/>
          <w:szCs w:val="21"/>
        </w:rPr>
      </w:pPr>
      <w:r>
        <w:rPr>
          <w:rStyle w:val="22"/>
          <w:rFonts w:ascii="Arial" w:hAnsi="Arial" w:cs="Arial"/>
          <w:color w:val="333333"/>
          <w:sz w:val="21"/>
          <w:szCs w:val="21"/>
        </w:rPr>
        <w:t>表4．2．1 居住区活动场地的遮阳覆盖率限值(％)</w:t>
      </w:r>
    </w:p>
    <w:tbl>
      <w:tblPr>
        <w:tblStyle w:val="20"/>
        <w:tblW w:w="0" w:type="auto"/>
        <w:tblInd w:w="15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9"/>
        <w:gridCol w:w="2258"/>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vMerge w:val="restart"/>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场地</w:t>
            </w:r>
          </w:p>
        </w:tc>
        <w:tc>
          <w:tcPr>
            <w:tcW w:w="4526" w:type="dxa"/>
            <w:gridSpan w:val="2"/>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建筑气候区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vMerge w:val="continue"/>
          </w:tcPr>
          <w:p>
            <w:pPr>
              <w:pStyle w:val="18"/>
              <w:spacing w:before="0" w:beforeAutospacing="0" w:after="0" w:afterAutospacing="0" w:line="360" w:lineRule="auto"/>
              <w:jc w:val="center"/>
              <w:rPr>
                <w:rFonts w:ascii="Times New Roman" w:hAnsi="Times New Roman" w:cs="Times New Roman"/>
                <w:kern w:val="2"/>
                <w:sz w:val="21"/>
                <w:szCs w:val="21"/>
              </w:rPr>
            </w:pPr>
          </w:p>
        </w:tc>
        <w:tc>
          <w:tcPr>
            <w:tcW w:w="225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bCs/>
                <w:kern w:val="2"/>
                <w:sz w:val="21"/>
                <w:szCs w:val="21"/>
              </w:rPr>
              <w:t>I、II、VI、VII</w:t>
            </w:r>
          </w:p>
        </w:tc>
        <w:tc>
          <w:tcPr>
            <w:tcW w:w="226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bCs/>
                <w:kern w:val="2"/>
                <w:sz w:val="21"/>
                <w:szCs w:val="21"/>
              </w:rPr>
              <w:t>III、IV、V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广场</w:t>
            </w:r>
          </w:p>
        </w:tc>
        <w:tc>
          <w:tcPr>
            <w:tcW w:w="225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10</w:t>
            </w:r>
          </w:p>
        </w:tc>
        <w:tc>
          <w:tcPr>
            <w:tcW w:w="226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游憩场</w:t>
            </w:r>
          </w:p>
        </w:tc>
        <w:tc>
          <w:tcPr>
            <w:tcW w:w="225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15</w:t>
            </w:r>
          </w:p>
        </w:tc>
        <w:tc>
          <w:tcPr>
            <w:tcW w:w="226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停车场</w:t>
            </w:r>
          </w:p>
        </w:tc>
        <w:tc>
          <w:tcPr>
            <w:tcW w:w="225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15</w:t>
            </w:r>
          </w:p>
        </w:tc>
        <w:tc>
          <w:tcPr>
            <w:tcW w:w="226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人行道</w:t>
            </w:r>
          </w:p>
        </w:tc>
        <w:tc>
          <w:tcPr>
            <w:tcW w:w="225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25</w:t>
            </w:r>
          </w:p>
        </w:tc>
        <w:tc>
          <w:tcPr>
            <w:tcW w:w="226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50</w:t>
            </w:r>
          </w:p>
        </w:tc>
      </w:tr>
    </w:tbl>
    <w:p>
      <w:pPr>
        <w:pStyle w:val="4"/>
      </w:pPr>
      <w:bookmarkStart w:id="27" w:name="_Toc19154"/>
      <w:r>
        <w:rPr>
          <w:rFonts w:hint="eastAsia"/>
        </w:rPr>
        <w:t>规定性设计</w:t>
      </w:r>
      <w:bookmarkEnd w:id="27"/>
    </w:p>
    <w:p>
      <w:pPr>
        <w:pStyle w:val="18"/>
        <w:shd w:val="clear" w:color="auto" w:fill="FFFFFF"/>
        <w:spacing w:before="0" w:beforeAutospacing="0" w:after="0" w:afterAutospacing="0" w:line="360" w:lineRule="auto"/>
        <w:rPr>
          <w:rFonts w:ascii="Times New Roman" w:hAnsi="Times New Roman" w:cs="Times New Roman"/>
          <w:bCs/>
          <w:kern w:val="2"/>
        </w:rPr>
      </w:pPr>
      <w:r>
        <w:rPr>
          <w:rFonts w:hint="eastAsia" w:ascii="Times New Roman" w:hAnsi="Times New Roman" w:cs="Times New Roman"/>
          <w:bCs/>
          <w:kern w:val="2"/>
        </w:rPr>
        <w:t>（1）4.1.4：在Ⅲ、Ⅳ、Ⅴ建筑气候区，当夏季主导风向上的建筑物迎风面宽度超过80m时，该建筑底层的通风架空率不应小于10％。</w:t>
      </w:r>
    </w:p>
    <w:p>
      <w:pPr>
        <w:pStyle w:val="18"/>
        <w:shd w:val="clear" w:color="auto" w:fill="FFFFFF"/>
        <w:spacing w:before="0" w:beforeAutospacing="0" w:after="0" w:afterAutospacing="0" w:line="360" w:lineRule="auto"/>
        <w:rPr>
          <w:rFonts w:ascii="Times New Roman" w:hAnsi="Times New Roman" w:cs="Times New Roman"/>
          <w:bCs/>
          <w:kern w:val="2"/>
        </w:rPr>
      </w:pPr>
      <w:r>
        <w:rPr>
          <w:rFonts w:hint="eastAsia" w:ascii="Times New Roman" w:hAnsi="Times New Roman" w:cs="Times New Roman"/>
          <w:bCs/>
          <w:kern w:val="2"/>
        </w:rPr>
        <w:t>（2）4.2.3：</w:t>
      </w:r>
      <w:r>
        <w:rPr>
          <w:rFonts w:ascii="Times New Roman" w:hAnsi="Times New Roman" w:cs="Times New Roman"/>
          <w:bCs/>
          <w:kern w:val="2"/>
        </w:rPr>
        <w:t>绿化遮阳体的叶面积指数不应小于3</w:t>
      </w:r>
      <w:r>
        <w:rPr>
          <w:rFonts w:hint="eastAsia" w:ascii="Times New Roman" w:hAnsi="Times New Roman" w:cs="Times New Roman"/>
          <w:bCs/>
          <w:kern w:val="2"/>
        </w:rPr>
        <w:t>.0</w:t>
      </w:r>
      <w:r>
        <w:rPr>
          <w:rFonts w:ascii="Times New Roman" w:hAnsi="Times New Roman" w:cs="Times New Roman"/>
          <w:bCs/>
          <w:kern w:val="2"/>
        </w:rPr>
        <w:t>。</w:t>
      </w:r>
    </w:p>
    <w:p>
      <w:pPr>
        <w:pStyle w:val="18"/>
        <w:shd w:val="clear" w:color="auto" w:fill="FFFFFF"/>
        <w:spacing w:before="0" w:beforeAutospacing="0" w:after="0" w:afterAutospacing="0" w:line="360" w:lineRule="auto"/>
        <w:rPr>
          <w:rFonts w:ascii="Times New Roman" w:hAnsi="Times New Roman" w:cs="Times New Roman"/>
          <w:bCs/>
          <w:kern w:val="2"/>
        </w:rPr>
      </w:pPr>
      <w:r>
        <w:rPr>
          <w:rFonts w:hint="eastAsia" w:ascii="Times New Roman" w:hAnsi="Times New Roman" w:cs="Times New Roman"/>
          <w:bCs/>
          <w:kern w:val="2"/>
        </w:rPr>
        <w:t>（3）4.3.1：居住区户外活动场地和人行道路地面应有雨水渗透与蒸发能力，渗透与蒸发指标不应低于表4.3.1的规定。</w:t>
      </w:r>
    </w:p>
    <w:p>
      <w:pPr>
        <w:pStyle w:val="18"/>
        <w:shd w:val="clear" w:color="auto" w:fill="FFFFFF"/>
        <w:spacing w:before="0" w:beforeAutospacing="0" w:after="0" w:afterAutospacing="0"/>
        <w:ind w:firstLine="420"/>
        <w:jc w:val="center"/>
        <w:rPr>
          <w:rStyle w:val="22"/>
          <w:rFonts w:ascii="Arial" w:hAnsi="Arial" w:cs="Arial"/>
          <w:color w:val="333333"/>
          <w:sz w:val="21"/>
          <w:szCs w:val="21"/>
        </w:rPr>
      </w:pPr>
      <w:r>
        <w:rPr>
          <w:rStyle w:val="22"/>
          <w:rFonts w:ascii="Arial" w:hAnsi="Arial" w:cs="Arial"/>
          <w:color w:val="333333"/>
          <w:sz w:val="21"/>
          <w:szCs w:val="21"/>
        </w:rPr>
        <w:t>表4．</w:t>
      </w:r>
      <w:r>
        <w:rPr>
          <w:rStyle w:val="22"/>
          <w:rFonts w:hint="eastAsia" w:ascii="Arial" w:hAnsi="Arial" w:cs="Arial"/>
          <w:color w:val="333333"/>
          <w:sz w:val="21"/>
          <w:szCs w:val="21"/>
        </w:rPr>
        <w:t>3</w:t>
      </w:r>
      <w:r>
        <w:rPr>
          <w:rStyle w:val="22"/>
          <w:rFonts w:ascii="Arial" w:hAnsi="Arial" w:cs="Arial"/>
          <w:color w:val="333333"/>
          <w:sz w:val="21"/>
          <w:szCs w:val="21"/>
        </w:rPr>
        <w:t>．1 居住区</w:t>
      </w:r>
      <w:r>
        <w:rPr>
          <w:rStyle w:val="22"/>
          <w:rFonts w:hint="eastAsia" w:ascii="Arial" w:hAnsi="Arial" w:cs="Arial"/>
          <w:color w:val="333333"/>
          <w:sz w:val="21"/>
          <w:szCs w:val="21"/>
        </w:rPr>
        <w:t>地面渗透蒸发指标</w:t>
      </w:r>
    </w:p>
    <w:tbl>
      <w:tblPr>
        <w:tblStyle w:val="19"/>
        <w:tblW w:w="9747" w:type="dxa"/>
        <w:tblInd w:w="0" w:type="dxa"/>
        <w:tblLayout w:type="autofit"/>
        <w:tblCellMar>
          <w:top w:w="0" w:type="dxa"/>
          <w:left w:w="0" w:type="dxa"/>
          <w:bottom w:w="0" w:type="dxa"/>
          <w:right w:w="0" w:type="dxa"/>
        </w:tblCellMar>
      </w:tblPr>
      <w:tblGrid>
        <w:gridCol w:w="1116"/>
        <w:gridCol w:w="1456"/>
        <w:gridCol w:w="1439"/>
        <w:gridCol w:w="1278"/>
        <w:gridCol w:w="1536"/>
        <w:gridCol w:w="1505"/>
        <w:gridCol w:w="1417"/>
      </w:tblGrid>
      <w:tr>
        <w:tblPrEx>
          <w:tblCellMar>
            <w:top w:w="0" w:type="dxa"/>
            <w:left w:w="0" w:type="dxa"/>
            <w:bottom w:w="0" w:type="dxa"/>
            <w:right w:w="0" w:type="dxa"/>
          </w:tblCellMar>
        </w:tblPrEx>
        <w:trPr>
          <w:trHeight w:val="403" w:hRule="atLeast"/>
        </w:trPr>
        <w:tc>
          <w:tcPr>
            <w:tcW w:w="1116"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360" w:lineRule="auto"/>
              <w:jc w:val="center"/>
              <w:rPr>
                <w:bCs/>
                <w:kern w:val="2"/>
                <w:szCs w:val="21"/>
                <w:lang w:val="en-US"/>
              </w:rPr>
            </w:pPr>
            <w:r>
              <w:rPr>
                <w:rFonts w:hint="eastAsia"/>
                <w:bCs/>
                <w:kern w:val="2"/>
                <w:szCs w:val="21"/>
                <w:lang w:val="en-US"/>
              </w:rPr>
              <w:t>地面</w:t>
            </w:r>
          </w:p>
        </w:tc>
        <w:tc>
          <w:tcPr>
            <w:tcW w:w="4173" w:type="dxa"/>
            <w:gridSpan w:val="3"/>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360" w:lineRule="auto"/>
              <w:jc w:val="center"/>
              <w:rPr>
                <w:bCs/>
                <w:kern w:val="2"/>
                <w:szCs w:val="21"/>
                <w:lang w:val="en-US"/>
              </w:rPr>
            </w:pPr>
            <w:r>
              <w:rPr>
                <w:rFonts w:hint="eastAsia"/>
                <w:bCs/>
                <w:kern w:val="2"/>
                <w:szCs w:val="21"/>
                <w:lang w:val="en-US"/>
              </w:rPr>
              <w:t>I、II、VI、VII气候区</w:t>
            </w:r>
          </w:p>
        </w:tc>
        <w:tc>
          <w:tcPr>
            <w:tcW w:w="4458" w:type="dxa"/>
            <w:gridSpan w:val="3"/>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360" w:lineRule="auto"/>
              <w:jc w:val="center"/>
              <w:rPr>
                <w:bCs/>
                <w:kern w:val="2"/>
                <w:szCs w:val="21"/>
                <w:lang w:val="en-US"/>
              </w:rPr>
            </w:pPr>
            <w:r>
              <w:rPr>
                <w:rFonts w:hint="eastAsia"/>
                <w:bCs/>
                <w:kern w:val="2"/>
                <w:szCs w:val="21"/>
                <w:lang w:val="en-US"/>
              </w:rPr>
              <w:t>III、IV、V气候区</w:t>
            </w:r>
          </w:p>
        </w:tc>
      </w:tr>
      <w:tr>
        <w:tblPrEx>
          <w:tblCellMar>
            <w:top w:w="0" w:type="dxa"/>
            <w:left w:w="0" w:type="dxa"/>
            <w:bottom w:w="0" w:type="dxa"/>
            <w:right w:w="0" w:type="dxa"/>
          </w:tblCellMar>
        </w:tblPrEx>
        <w:trPr>
          <w:trHeight w:val="1108" w:hRule="atLeast"/>
        </w:trPr>
        <w:tc>
          <w:tcPr>
            <w:tcW w:w="0" w:type="auto"/>
            <w:vMerge w:val="continue"/>
            <w:tcBorders>
              <w:top w:val="single" w:color="000000" w:sz="8" w:space="0"/>
              <w:left w:val="single" w:color="000000" w:sz="8" w:space="0"/>
              <w:bottom w:val="single" w:color="000000" w:sz="8" w:space="0"/>
              <w:right w:val="single" w:color="000000" w:sz="8" w:space="0"/>
            </w:tcBorders>
            <w:vAlign w:val="center"/>
          </w:tcPr>
          <w:p>
            <w:pPr>
              <w:spacing w:line="360" w:lineRule="auto"/>
              <w:jc w:val="center"/>
              <w:rPr>
                <w:bCs/>
                <w:kern w:val="2"/>
                <w:szCs w:val="21"/>
                <w:lang w:val="en-US"/>
              </w:rPr>
            </w:pPr>
          </w:p>
        </w:tc>
        <w:tc>
          <w:tcPr>
            <w:tcW w:w="145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360" w:lineRule="auto"/>
              <w:jc w:val="center"/>
              <w:rPr>
                <w:bCs/>
                <w:kern w:val="2"/>
                <w:szCs w:val="21"/>
                <w:lang w:val="en-US"/>
              </w:rPr>
            </w:pPr>
            <w:r>
              <w:rPr>
                <w:rFonts w:hint="eastAsia"/>
                <w:bCs/>
                <w:kern w:val="2"/>
                <w:szCs w:val="21"/>
                <w:lang w:val="en-US"/>
              </w:rPr>
              <w:t>渗透面积比率β（%）</w:t>
            </w:r>
          </w:p>
        </w:tc>
        <w:tc>
          <w:tcPr>
            <w:tcW w:w="1439"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360" w:lineRule="auto"/>
              <w:jc w:val="center"/>
              <w:rPr>
                <w:bCs/>
                <w:kern w:val="2"/>
                <w:szCs w:val="21"/>
                <w:lang w:val="en-US"/>
              </w:rPr>
            </w:pPr>
            <w:r>
              <w:rPr>
                <w:rFonts w:hint="eastAsia"/>
                <w:bCs/>
                <w:kern w:val="2"/>
                <w:szCs w:val="21"/>
                <w:lang w:val="en-US"/>
              </w:rPr>
              <w:t>地面透水系数k（mm/s）</w:t>
            </w:r>
          </w:p>
        </w:tc>
        <w:tc>
          <w:tcPr>
            <w:tcW w:w="1278"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360" w:lineRule="auto"/>
              <w:jc w:val="center"/>
              <w:rPr>
                <w:bCs/>
                <w:kern w:val="2"/>
                <w:szCs w:val="21"/>
                <w:lang w:val="en-US"/>
              </w:rPr>
            </w:pPr>
            <w:r>
              <w:rPr>
                <w:rFonts w:hint="eastAsia"/>
                <w:bCs/>
                <w:kern w:val="2"/>
                <w:szCs w:val="21"/>
                <w:lang w:val="en-US"/>
              </w:rPr>
              <w:t>蒸发量m（kg/㎡·d）</w:t>
            </w:r>
          </w:p>
        </w:tc>
        <w:tc>
          <w:tcPr>
            <w:tcW w:w="153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360" w:lineRule="auto"/>
              <w:jc w:val="center"/>
              <w:rPr>
                <w:bCs/>
                <w:kern w:val="2"/>
                <w:szCs w:val="21"/>
                <w:lang w:val="en-US"/>
              </w:rPr>
            </w:pPr>
            <w:r>
              <w:rPr>
                <w:rFonts w:hint="eastAsia"/>
                <w:bCs/>
                <w:kern w:val="2"/>
                <w:szCs w:val="21"/>
                <w:lang w:val="en-US"/>
              </w:rPr>
              <w:t>渗透面积比率β（%）</w:t>
            </w:r>
          </w:p>
        </w:tc>
        <w:tc>
          <w:tcPr>
            <w:tcW w:w="1505"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360" w:lineRule="auto"/>
              <w:jc w:val="center"/>
              <w:rPr>
                <w:bCs/>
                <w:kern w:val="2"/>
                <w:szCs w:val="21"/>
                <w:lang w:val="en-US"/>
              </w:rPr>
            </w:pPr>
            <w:r>
              <w:rPr>
                <w:rFonts w:hint="eastAsia"/>
                <w:bCs/>
                <w:kern w:val="2"/>
                <w:szCs w:val="21"/>
                <w:lang w:val="en-US"/>
              </w:rPr>
              <w:t>地面透水系数k（mm/s）</w:t>
            </w:r>
          </w:p>
        </w:tc>
        <w:tc>
          <w:tcPr>
            <w:tcW w:w="1417"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360" w:lineRule="auto"/>
              <w:jc w:val="center"/>
              <w:rPr>
                <w:bCs/>
                <w:kern w:val="2"/>
                <w:szCs w:val="21"/>
                <w:lang w:val="en-US"/>
              </w:rPr>
            </w:pPr>
            <w:r>
              <w:rPr>
                <w:rFonts w:hint="eastAsia"/>
                <w:bCs/>
                <w:kern w:val="2"/>
                <w:szCs w:val="21"/>
                <w:lang w:val="en-US"/>
              </w:rPr>
              <w:t>蒸发量m（kg/㎡·d）</w:t>
            </w:r>
          </w:p>
        </w:tc>
      </w:tr>
      <w:tr>
        <w:tblPrEx>
          <w:tblCellMar>
            <w:top w:w="0" w:type="dxa"/>
            <w:left w:w="0" w:type="dxa"/>
            <w:bottom w:w="0" w:type="dxa"/>
            <w:right w:w="0" w:type="dxa"/>
          </w:tblCellMar>
        </w:tblPrEx>
        <w:trPr>
          <w:trHeight w:val="403" w:hRule="atLeast"/>
        </w:trPr>
        <w:tc>
          <w:tcPr>
            <w:tcW w:w="111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360" w:lineRule="auto"/>
              <w:jc w:val="center"/>
              <w:rPr>
                <w:bCs/>
                <w:kern w:val="2"/>
                <w:szCs w:val="21"/>
                <w:lang w:val="en-US"/>
              </w:rPr>
            </w:pPr>
            <w:r>
              <w:rPr>
                <w:rFonts w:hint="eastAsia"/>
                <w:bCs/>
                <w:kern w:val="2"/>
                <w:szCs w:val="21"/>
                <w:lang w:val="en-US"/>
              </w:rPr>
              <w:t>广场</w:t>
            </w:r>
          </w:p>
        </w:tc>
        <w:tc>
          <w:tcPr>
            <w:tcW w:w="145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360" w:lineRule="auto"/>
              <w:jc w:val="center"/>
              <w:rPr>
                <w:bCs/>
                <w:kern w:val="2"/>
                <w:szCs w:val="21"/>
                <w:lang w:val="en-US"/>
              </w:rPr>
            </w:pPr>
            <w:r>
              <w:rPr>
                <w:rFonts w:hint="eastAsia"/>
                <w:bCs/>
                <w:kern w:val="2"/>
                <w:szCs w:val="21"/>
                <w:lang w:val="en-US"/>
              </w:rPr>
              <w:t>40</w:t>
            </w:r>
          </w:p>
        </w:tc>
        <w:tc>
          <w:tcPr>
            <w:tcW w:w="1439"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360" w:lineRule="auto"/>
              <w:jc w:val="center"/>
              <w:rPr>
                <w:bCs/>
                <w:kern w:val="2"/>
                <w:szCs w:val="21"/>
                <w:lang w:val="en-US"/>
              </w:rPr>
            </w:pPr>
            <w:r>
              <w:rPr>
                <w:rFonts w:hint="eastAsia"/>
                <w:bCs/>
                <w:kern w:val="2"/>
                <w:szCs w:val="21"/>
                <w:lang w:val="en-US"/>
              </w:rPr>
              <w:t>3</w:t>
            </w:r>
          </w:p>
        </w:tc>
        <w:tc>
          <w:tcPr>
            <w:tcW w:w="1278"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360" w:lineRule="auto"/>
              <w:jc w:val="center"/>
              <w:rPr>
                <w:bCs/>
                <w:kern w:val="2"/>
                <w:szCs w:val="21"/>
                <w:lang w:val="en-US"/>
              </w:rPr>
            </w:pPr>
            <w:r>
              <w:rPr>
                <w:rFonts w:hint="eastAsia"/>
                <w:bCs/>
                <w:kern w:val="2"/>
                <w:szCs w:val="21"/>
                <w:lang w:val="en-US"/>
              </w:rPr>
              <w:t>1.6</w:t>
            </w:r>
          </w:p>
        </w:tc>
        <w:tc>
          <w:tcPr>
            <w:tcW w:w="153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360" w:lineRule="auto"/>
              <w:jc w:val="center"/>
              <w:rPr>
                <w:bCs/>
                <w:kern w:val="2"/>
                <w:szCs w:val="21"/>
                <w:lang w:val="en-US"/>
              </w:rPr>
            </w:pPr>
            <w:r>
              <w:rPr>
                <w:rFonts w:hint="eastAsia"/>
                <w:bCs/>
                <w:kern w:val="2"/>
                <w:szCs w:val="21"/>
                <w:lang w:val="en-US"/>
              </w:rPr>
              <w:t>50</w:t>
            </w:r>
          </w:p>
        </w:tc>
        <w:tc>
          <w:tcPr>
            <w:tcW w:w="1505"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360" w:lineRule="auto"/>
              <w:jc w:val="center"/>
              <w:rPr>
                <w:rFonts w:ascii="Arial" w:hAnsi="Arial" w:cs="Arial"/>
                <w:sz w:val="36"/>
                <w:szCs w:val="36"/>
                <w:lang w:val="en-US"/>
              </w:rPr>
            </w:pPr>
            <w:r>
              <w:rPr>
                <w:rFonts w:hint="eastAsia" w:ascii="微软雅黑" w:hAnsi="微软雅黑" w:cs="Arial" w:eastAsiaTheme="minorEastAsia"/>
                <w:color w:val="000000" w:themeColor="text1"/>
                <w:kern w:val="2"/>
                <w:sz w:val="24"/>
                <w:szCs w:val="24"/>
                <w:lang w:val="en-US"/>
                <w14:textFill>
                  <w14:solidFill>
                    <w14:schemeClr w14:val="tx1"/>
                  </w14:solidFill>
                </w14:textFill>
              </w:rPr>
              <w:t>3</w:t>
            </w:r>
          </w:p>
        </w:tc>
        <w:tc>
          <w:tcPr>
            <w:tcW w:w="1417"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360" w:lineRule="auto"/>
              <w:jc w:val="center"/>
              <w:rPr>
                <w:bCs/>
                <w:kern w:val="2"/>
                <w:szCs w:val="21"/>
                <w:lang w:val="en-US"/>
              </w:rPr>
            </w:pPr>
            <w:r>
              <w:rPr>
                <w:rFonts w:hint="eastAsia"/>
                <w:bCs/>
                <w:kern w:val="2"/>
                <w:szCs w:val="21"/>
                <w:lang w:val="en-US"/>
              </w:rPr>
              <w:t>1.3</w:t>
            </w:r>
          </w:p>
        </w:tc>
      </w:tr>
      <w:tr>
        <w:tblPrEx>
          <w:tblCellMar>
            <w:top w:w="0" w:type="dxa"/>
            <w:left w:w="0" w:type="dxa"/>
            <w:bottom w:w="0" w:type="dxa"/>
            <w:right w:w="0" w:type="dxa"/>
          </w:tblCellMar>
        </w:tblPrEx>
        <w:trPr>
          <w:trHeight w:val="403" w:hRule="atLeast"/>
        </w:trPr>
        <w:tc>
          <w:tcPr>
            <w:tcW w:w="111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360" w:lineRule="auto"/>
              <w:jc w:val="center"/>
              <w:rPr>
                <w:bCs/>
                <w:kern w:val="2"/>
                <w:szCs w:val="21"/>
                <w:lang w:val="en-US"/>
              </w:rPr>
            </w:pPr>
            <w:r>
              <w:rPr>
                <w:rFonts w:hint="eastAsia"/>
                <w:bCs/>
                <w:kern w:val="2"/>
                <w:szCs w:val="21"/>
                <w:lang w:val="en-US"/>
              </w:rPr>
              <w:t>游憩场</w:t>
            </w:r>
          </w:p>
        </w:tc>
        <w:tc>
          <w:tcPr>
            <w:tcW w:w="145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360" w:lineRule="auto"/>
              <w:jc w:val="center"/>
              <w:rPr>
                <w:bCs/>
                <w:kern w:val="2"/>
                <w:szCs w:val="21"/>
                <w:lang w:val="en-US"/>
              </w:rPr>
            </w:pPr>
            <w:r>
              <w:rPr>
                <w:rFonts w:hint="eastAsia"/>
                <w:bCs/>
                <w:kern w:val="2"/>
                <w:szCs w:val="21"/>
                <w:lang w:val="en-US"/>
              </w:rPr>
              <w:t>50</w:t>
            </w:r>
          </w:p>
        </w:tc>
        <w:tc>
          <w:tcPr>
            <w:tcW w:w="0" w:type="auto"/>
            <w:vMerge w:val="continue"/>
            <w:tcBorders>
              <w:top w:val="single" w:color="000000" w:sz="8" w:space="0"/>
              <w:left w:val="single" w:color="000000" w:sz="8" w:space="0"/>
              <w:bottom w:val="single" w:color="000000" w:sz="8" w:space="0"/>
              <w:right w:val="single" w:color="000000" w:sz="8" w:space="0"/>
            </w:tcBorders>
            <w:vAlign w:val="center"/>
          </w:tcPr>
          <w:p>
            <w:pPr>
              <w:rPr>
                <w:bCs/>
                <w:kern w:val="2"/>
                <w:szCs w:val="21"/>
                <w:lang w:val="en-US"/>
              </w:rPr>
            </w:pPr>
          </w:p>
        </w:tc>
        <w:tc>
          <w:tcPr>
            <w:tcW w:w="0" w:type="auto"/>
            <w:vMerge w:val="continue"/>
            <w:tcBorders>
              <w:top w:val="single" w:color="000000" w:sz="8" w:space="0"/>
              <w:left w:val="single" w:color="000000" w:sz="8" w:space="0"/>
              <w:bottom w:val="single" w:color="000000" w:sz="8" w:space="0"/>
              <w:right w:val="single" w:color="000000" w:sz="8" w:space="0"/>
            </w:tcBorders>
            <w:vAlign w:val="center"/>
          </w:tcPr>
          <w:p>
            <w:pPr>
              <w:rPr>
                <w:bCs/>
                <w:kern w:val="2"/>
                <w:szCs w:val="21"/>
                <w:lang w:val="en-US"/>
              </w:rPr>
            </w:pPr>
          </w:p>
        </w:tc>
        <w:tc>
          <w:tcPr>
            <w:tcW w:w="153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360" w:lineRule="auto"/>
              <w:jc w:val="center"/>
              <w:rPr>
                <w:bCs/>
                <w:kern w:val="2"/>
                <w:szCs w:val="21"/>
                <w:lang w:val="en-US"/>
              </w:rPr>
            </w:pPr>
            <w:r>
              <w:rPr>
                <w:rFonts w:hint="eastAsia"/>
                <w:bCs/>
                <w:kern w:val="2"/>
                <w:szCs w:val="21"/>
                <w:lang w:val="en-US"/>
              </w:rPr>
              <w:t>60</w:t>
            </w:r>
          </w:p>
        </w:tc>
        <w:tc>
          <w:tcPr>
            <w:tcW w:w="1505" w:type="dxa"/>
            <w:vMerge w:val="continue"/>
            <w:tcBorders>
              <w:top w:val="single" w:color="000000" w:sz="8" w:space="0"/>
              <w:left w:val="single" w:color="000000" w:sz="8" w:space="0"/>
              <w:bottom w:val="single" w:color="000000" w:sz="8" w:space="0"/>
              <w:right w:val="single" w:color="000000" w:sz="8" w:space="0"/>
            </w:tcBorders>
            <w:vAlign w:val="center"/>
          </w:tcPr>
          <w:p>
            <w:pPr>
              <w:rPr>
                <w:rFonts w:ascii="Arial" w:hAnsi="Arial" w:cs="Arial"/>
                <w:sz w:val="36"/>
                <w:szCs w:val="36"/>
                <w:lang w:val="en-US"/>
              </w:rPr>
            </w:pPr>
          </w:p>
        </w:tc>
        <w:tc>
          <w:tcPr>
            <w:tcW w:w="1417" w:type="dxa"/>
            <w:vMerge w:val="continue"/>
            <w:tcBorders>
              <w:top w:val="single" w:color="000000" w:sz="8" w:space="0"/>
              <w:left w:val="single" w:color="000000" w:sz="8" w:space="0"/>
              <w:bottom w:val="single" w:color="000000" w:sz="8" w:space="0"/>
              <w:right w:val="single" w:color="000000" w:sz="8" w:space="0"/>
            </w:tcBorders>
            <w:vAlign w:val="center"/>
          </w:tcPr>
          <w:p>
            <w:pPr>
              <w:rPr>
                <w:rFonts w:ascii="Arial" w:hAnsi="Arial" w:cs="Arial"/>
                <w:sz w:val="36"/>
                <w:szCs w:val="36"/>
                <w:lang w:val="en-US"/>
              </w:rPr>
            </w:pPr>
          </w:p>
        </w:tc>
      </w:tr>
      <w:tr>
        <w:tblPrEx>
          <w:tblCellMar>
            <w:top w:w="0" w:type="dxa"/>
            <w:left w:w="0" w:type="dxa"/>
            <w:bottom w:w="0" w:type="dxa"/>
            <w:right w:w="0" w:type="dxa"/>
          </w:tblCellMar>
        </w:tblPrEx>
        <w:trPr>
          <w:trHeight w:val="403" w:hRule="atLeast"/>
        </w:trPr>
        <w:tc>
          <w:tcPr>
            <w:tcW w:w="111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360" w:lineRule="auto"/>
              <w:jc w:val="center"/>
              <w:rPr>
                <w:bCs/>
                <w:kern w:val="2"/>
                <w:szCs w:val="21"/>
                <w:lang w:val="en-US"/>
              </w:rPr>
            </w:pPr>
            <w:r>
              <w:rPr>
                <w:rFonts w:hint="eastAsia"/>
                <w:bCs/>
                <w:kern w:val="2"/>
                <w:szCs w:val="21"/>
                <w:lang w:val="en-US"/>
              </w:rPr>
              <w:t>停车场</w:t>
            </w:r>
          </w:p>
        </w:tc>
        <w:tc>
          <w:tcPr>
            <w:tcW w:w="145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360" w:lineRule="auto"/>
              <w:jc w:val="center"/>
              <w:rPr>
                <w:bCs/>
                <w:kern w:val="2"/>
                <w:szCs w:val="21"/>
                <w:lang w:val="en-US"/>
              </w:rPr>
            </w:pPr>
            <w:r>
              <w:rPr>
                <w:rFonts w:hint="eastAsia"/>
                <w:bCs/>
                <w:kern w:val="2"/>
                <w:szCs w:val="21"/>
                <w:lang w:val="en-US"/>
              </w:rPr>
              <w:t>60</w:t>
            </w:r>
          </w:p>
        </w:tc>
        <w:tc>
          <w:tcPr>
            <w:tcW w:w="0" w:type="auto"/>
            <w:vMerge w:val="continue"/>
            <w:tcBorders>
              <w:top w:val="single" w:color="000000" w:sz="8" w:space="0"/>
              <w:left w:val="single" w:color="000000" w:sz="8" w:space="0"/>
              <w:bottom w:val="single" w:color="000000" w:sz="8" w:space="0"/>
              <w:right w:val="single" w:color="000000" w:sz="8" w:space="0"/>
            </w:tcBorders>
            <w:vAlign w:val="center"/>
          </w:tcPr>
          <w:p>
            <w:pPr>
              <w:rPr>
                <w:bCs/>
                <w:kern w:val="2"/>
                <w:szCs w:val="21"/>
                <w:lang w:val="en-US"/>
              </w:rPr>
            </w:pPr>
          </w:p>
        </w:tc>
        <w:tc>
          <w:tcPr>
            <w:tcW w:w="0" w:type="auto"/>
            <w:vMerge w:val="continue"/>
            <w:tcBorders>
              <w:top w:val="single" w:color="000000" w:sz="8" w:space="0"/>
              <w:left w:val="single" w:color="000000" w:sz="8" w:space="0"/>
              <w:bottom w:val="single" w:color="000000" w:sz="8" w:space="0"/>
              <w:right w:val="single" w:color="000000" w:sz="8" w:space="0"/>
            </w:tcBorders>
            <w:vAlign w:val="center"/>
          </w:tcPr>
          <w:p>
            <w:pPr>
              <w:rPr>
                <w:bCs/>
                <w:kern w:val="2"/>
                <w:szCs w:val="21"/>
                <w:lang w:val="en-US"/>
              </w:rPr>
            </w:pPr>
          </w:p>
        </w:tc>
        <w:tc>
          <w:tcPr>
            <w:tcW w:w="153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360" w:lineRule="auto"/>
              <w:jc w:val="center"/>
              <w:rPr>
                <w:bCs/>
                <w:kern w:val="2"/>
                <w:szCs w:val="21"/>
                <w:lang w:val="en-US"/>
              </w:rPr>
            </w:pPr>
            <w:r>
              <w:rPr>
                <w:rFonts w:hint="eastAsia"/>
                <w:bCs/>
                <w:kern w:val="2"/>
                <w:szCs w:val="21"/>
                <w:lang w:val="en-US"/>
              </w:rPr>
              <w:t>70</w:t>
            </w:r>
          </w:p>
        </w:tc>
        <w:tc>
          <w:tcPr>
            <w:tcW w:w="1505" w:type="dxa"/>
            <w:vMerge w:val="continue"/>
            <w:tcBorders>
              <w:top w:val="single" w:color="000000" w:sz="8" w:space="0"/>
              <w:left w:val="single" w:color="000000" w:sz="8" w:space="0"/>
              <w:bottom w:val="single" w:color="000000" w:sz="8" w:space="0"/>
              <w:right w:val="single" w:color="000000" w:sz="8" w:space="0"/>
            </w:tcBorders>
            <w:vAlign w:val="center"/>
          </w:tcPr>
          <w:p>
            <w:pPr>
              <w:rPr>
                <w:rFonts w:ascii="Arial" w:hAnsi="Arial" w:cs="Arial"/>
                <w:sz w:val="36"/>
                <w:szCs w:val="36"/>
                <w:lang w:val="en-US"/>
              </w:rPr>
            </w:pPr>
          </w:p>
        </w:tc>
        <w:tc>
          <w:tcPr>
            <w:tcW w:w="1417" w:type="dxa"/>
            <w:vMerge w:val="continue"/>
            <w:tcBorders>
              <w:top w:val="single" w:color="000000" w:sz="8" w:space="0"/>
              <w:left w:val="single" w:color="000000" w:sz="8" w:space="0"/>
              <w:bottom w:val="single" w:color="000000" w:sz="8" w:space="0"/>
              <w:right w:val="single" w:color="000000" w:sz="8" w:space="0"/>
            </w:tcBorders>
            <w:vAlign w:val="center"/>
          </w:tcPr>
          <w:p>
            <w:pPr>
              <w:rPr>
                <w:rFonts w:ascii="Arial" w:hAnsi="Arial" w:cs="Arial"/>
                <w:sz w:val="36"/>
                <w:szCs w:val="36"/>
                <w:lang w:val="en-US"/>
              </w:rPr>
            </w:pPr>
          </w:p>
        </w:tc>
      </w:tr>
      <w:tr>
        <w:tblPrEx>
          <w:tblCellMar>
            <w:top w:w="0" w:type="dxa"/>
            <w:left w:w="0" w:type="dxa"/>
            <w:bottom w:w="0" w:type="dxa"/>
            <w:right w:w="0" w:type="dxa"/>
          </w:tblCellMar>
        </w:tblPrEx>
        <w:trPr>
          <w:trHeight w:val="403" w:hRule="atLeast"/>
        </w:trPr>
        <w:tc>
          <w:tcPr>
            <w:tcW w:w="111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360" w:lineRule="auto"/>
              <w:jc w:val="center"/>
              <w:rPr>
                <w:bCs/>
                <w:kern w:val="2"/>
                <w:szCs w:val="21"/>
                <w:lang w:val="en-US"/>
              </w:rPr>
            </w:pPr>
            <w:r>
              <w:rPr>
                <w:rFonts w:hint="eastAsia"/>
                <w:bCs/>
                <w:kern w:val="2"/>
                <w:szCs w:val="21"/>
                <w:lang w:val="en-US"/>
              </w:rPr>
              <w:t>人行道</w:t>
            </w:r>
          </w:p>
        </w:tc>
        <w:tc>
          <w:tcPr>
            <w:tcW w:w="145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360" w:lineRule="auto"/>
              <w:jc w:val="center"/>
              <w:rPr>
                <w:bCs/>
                <w:kern w:val="2"/>
                <w:szCs w:val="21"/>
                <w:lang w:val="en-US"/>
              </w:rPr>
            </w:pPr>
            <w:r>
              <w:rPr>
                <w:rFonts w:hint="eastAsia"/>
                <w:bCs/>
                <w:kern w:val="2"/>
                <w:szCs w:val="21"/>
                <w:lang w:val="en-US"/>
              </w:rPr>
              <w:t>50</w:t>
            </w:r>
          </w:p>
        </w:tc>
        <w:tc>
          <w:tcPr>
            <w:tcW w:w="0" w:type="auto"/>
            <w:vMerge w:val="continue"/>
            <w:tcBorders>
              <w:top w:val="single" w:color="000000" w:sz="8" w:space="0"/>
              <w:left w:val="single" w:color="000000" w:sz="8" w:space="0"/>
              <w:bottom w:val="single" w:color="000000" w:sz="8" w:space="0"/>
              <w:right w:val="single" w:color="000000" w:sz="8" w:space="0"/>
            </w:tcBorders>
            <w:vAlign w:val="center"/>
          </w:tcPr>
          <w:p>
            <w:pPr>
              <w:rPr>
                <w:bCs/>
                <w:kern w:val="2"/>
                <w:szCs w:val="21"/>
                <w:lang w:val="en-US"/>
              </w:rPr>
            </w:pPr>
          </w:p>
        </w:tc>
        <w:tc>
          <w:tcPr>
            <w:tcW w:w="0" w:type="auto"/>
            <w:vMerge w:val="continue"/>
            <w:tcBorders>
              <w:top w:val="single" w:color="000000" w:sz="8" w:space="0"/>
              <w:left w:val="single" w:color="000000" w:sz="8" w:space="0"/>
              <w:bottom w:val="single" w:color="000000" w:sz="8" w:space="0"/>
              <w:right w:val="single" w:color="000000" w:sz="8" w:space="0"/>
            </w:tcBorders>
            <w:vAlign w:val="center"/>
          </w:tcPr>
          <w:p>
            <w:pPr>
              <w:rPr>
                <w:bCs/>
                <w:kern w:val="2"/>
                <w:szCs w:val="21"/>
                <w:lang w:val="en-US"/>
              </w:rPr>
            </w:pPr>
          </w:p>
        </w:tc>
        <w:tc>
          <w:tcPr>
            <w:tcW w:w="1536"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360" w:lineRule="auto"/>
              <w:jc w:val="center"/>
              <w:rPr>
                <w:bCs/>
                <w:kern w:val="2"/>
                <w:szCs w:val="21"/>
                <w:lang w:val="en-US"/>
              </w:rPr>
            </w:pPr>
            <w:r>
              <w:rPr>
                <w:rFonts w:hint="eastAsia"/>
                <w:bCs/>
                <w:kern w:val="2"/>
                <w:szCs w:val="21"/>
                <w:lang w:val="en-US"/>
              </w:rPr>
              <w:t>60</w:t>
            </w:r>
          </w:p>
        </w:tc>
        <w:tc>
          <w:tcPr>
            <w:tcW w:w="1505" w:type="dxa"/>
            <w:vMerge w:val="continue"/>
            <w:tcBorders>
              <w:top w:val="single" w:color="000000" w:sz="8" w:space="0"/>
              <w:left w:val="single" w:color="000000" w:sz="8" w:space="0"/>
              <w:bottom w:val="single" w:color="000000" w:sz="8" w:space="0"/>
              <w:right w:val="single" w:color="000000" w:sz="8" w:space="0"/>
            </w:tcBorders>
            <w:vAlign w:val="center"/>
          </w:tcPr>
          <w:p>
            <w:pPr>
              <w:rPr>
                <w:rFonts w:ascii="Arial" w:hAnsi="Arial" w:cs="Arial"/>
                <w:sz w:val="36"/>
                <w:szCs w:val="36"/>
                <w:lang w:val="en-US"/>
              </w:rPr>
            </w:pPr>
          </w:p>
        </w:tc>
        <w:tc>
          <w:tcPr>
            <w:tcW w:w="1417" w:type="dxa"/>
            <w:vMerge w:val="continue"/>
            <w:tcBorders>
              <w:top w:val="single" w:color="000000" w:sz="8" w:space="0"/>
              <w:left w:val="single" w:color="000000" w:sz="8" w:space="0"/>
              <w:bottom w:val="single" w:color="000000" w:sz="8" w:space="0"/>
              <w:right w:val="single" w:color="000000" w:sz="8" w:space="0"/>
            </w:tcBorders>
            <w:vAlign w:val="center"/>
          </w:tcPr>
          <w:p>
            <w:pPr>
              <w:rPr>
                <w:rFonts w:ascii="Arial" w:hAnsi="Arial" w:cs="Arial"/>
                <w:sz w:val="36"/>
                <w:szCs w:val="36"/>
                <w:lang w:val="en-US"/>
              </w:rPr>
            </w:pPr>
          </w:p>
        </w:tc>
      </w:tr>
    </w:tbl>
    <w:p>
      <w:pPr>
        <w:pStyle w:val="18"/>
        <w:shd w:val="clear" w:color="auto" w:fill="FFFFFF"/>
        <w:spacing w:before="0" w:beforeAutospacing="0" w:after="0" w:afterAutospacing="0" w:line="360" w:lineRule="auto"/>
        <w:rPr>
          <w:rFonts w:ascii="Times New Roman" w:hAnsi="Times New Roman" w:cs="Times New Roman"/>
          <w:bCs/>
          <w:kern w:val="2"/>
        </w:rPr>
      </w:pPr>
      <w:r>
        <w:rPr>
          <w:rFonts w:hint="eastAsia" w:ascii="Times New Roman" w:hAnsi="Times New Roman" w:cs="Times New Roman"/>
          <w:bCs/>
          <w:kern w:val="2"/>
        </w:rPr>
        <w:t>（4）居住区内建筑屋面的绿化面积不应低于可绿化屋面面积的50％。</w:t>
      </w:r>
    </w:p>
    <w:p>
      <w:pPr>
        <w:pStyle w:val="3"/>
        <w:ind w:firstLine="199" w:firstLineChars="95"/>
        <w:rPr>
          <w:lang w:val="en-US"/>
        </w:rPr>
      </w:pPr>
      <w:r>
        <w:rPr>
          <w:rFonts w:hint="eastAsia"/>
          <w:lang w:val="en-US"/>
        </w:rPr>
        <w:t>当以上4条有任意一条不能满足时候，需要进行评价性设计。</w:t>
      </w:r>
    </w:p>
    <w:p>
      <w:pPr>
        <w:pStyle w:val="4"/>
      </w:pPr>
      <w:bookmarkStart w:id="28" w:name="_Toc3442"/>
      <w:r>
        <w:rPr>
          <w:rFonts w:hint="eastAsia"/>
        </w:rPr>
        <w:t>评价性设计</w:t>
      </w:r>
      <w:bookmarkEnd w:id="28"/>
    </w:p>
    <w:p>
      <w:pPr>
        <w:pStyle w:val="3"/>
        <w:ind w:firstLine="480"/>
        <w:rPr>
          <w:bCs/>
          <w:kern w:val="2"/>
          <w:sz w:val="24"/>
          <w:szCs w:val="24"/>
          <w:lang w:val="en-US"/>
        </w:rPr>
      </w:pPr>
      <w:r>
        <w:rPr>
          <w:rFonts w:hint="eastAsia"/>
          <w:bCs/>
          <w:kern w:val="2"/>
          <w:sz w:val="24"/>
          <w:szCs w:val="24"/>
          <w:lang w:val="en-US"/>
        </w:rPr>
        <w:t>当进行评价性设计时，应采用逐时湿球黑球温度和平均热岛强度作为居住区热环境的设计指标，设计指标应符合下列规定：</w:t>
      </w:r>
    </w:p>
    <w:p>
      <w:pPr>
        <w:pStyle w:val="18"/>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bCs/>
          <w:kern w:val="2"/>
        </w:rPr>
        <w:tab/>
      </w:r>
      <w:r>
        <w:rPr>
          <w:rFonts w:hint="eastAsia" w:ascii="Times New Roman" w:hAnsi="Times New Roman" w:cs="Times New Roman"/>
          <w:bCs/>
          <w:kern w:val="2"/>
        </w:rPr>
        <w:t>1 居住区夏季逐时湿球黑球温度不应大于33℃；</w:t>
      </w:r>
    </w:p>
    <w:p>
      <w:pPr>
        <w:pStyle w:val="18"/>
        <w:shd w:val="clear" w:color="auto" w:fill="FFFFFF"/>
        <w:spacing w:before="0" w:beforeAutospacing="0" w:after="0" w:afterAutospacing="0" w:line="360" w:lineRule="auto"/>
        <w:rPr>
          <w:rFonts w:ascii="Times New Roman" w:hAnsi="Times New Roman" w:cs="Times New Roman"/>
          <w:bCs/>
          <w:kern w:val="2"/>
        </w:rPr>
      </w:pPr>
      <w:r>
        <w:rPr>
          <w:rFonts w:hint="eastAsia" w:ascii="Times New Roman" w:hAnsi="Times New Roman" w:cs="Times New Roman"/>
          <w:bCs/>
          <w:kern w:val="2"/>
        </w:rPr>
        <w:tab/>
      </w:r>
      <w:r>
        <w:rPr>
          <w:rFonts w:hint="eastAsia" w:ascii="Times New Roman" w:hAnsi="Times New Roman" w:cs="Times New Roman"/>
          <w:bCs/>
          <w:kern w:val="2"/>
        </w:rPr>
        <w:t>2 居住区夏季平均热岛强度不应大于1.5℃。</w:t>
      </w:r>
    </w:p>
    <w:p>
      <w:pPr>
        <w:pStyle w:val="2"/>
      </w:pPr>
      <w:bookmarkStart w:id="29" w:name="_Toc17623"/>
      <w:r>
        <w:rPr>
          <w:rFonts w:hint="eastAsia"/>
        </w:rPr>
        <w:t>计算参数</w:t>
      </w:r>
      <w:bookmarkEnd w:id="29"/>
    </w:p>
    <w:p>
      <w:pPr>
        <w:pStyle w:val="4"/>
      </w:pPr>
      <w:bookmarkStart w:id="30" w:name="_Toc11150"/>
      <w:r>
        <w:rPr>
          <w:rFonts w:hint="eastAsia"/>
        </w:rPr>
        <w:t>典型气象日气象参数</w:t>
      </w:r>
      <w:bookmarkEnd w:id="30"/>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284"/>
        <w:gridCol w:w="1341"/>
        <w:gridCol w:w="1341"/>
        <w:gridCol w:w="1341"/>
        <w:gridCol w:w="1341"/>
        <w:gridCol w:w="1341"/>
        <w:gridCol w:w="134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时刻</w:t>
            </w:r>
          </w:p>
        </w:tc>
        <w:tc>
          <w:tcPr>
            <w:shd w:val="clear" w:color="auto" w:fill="E6E6E6"/>
            <w:vAlign w:val="center"/>
          </w:tcPr>
          <w:p>
            <w:pPr>
              <w:jc w:val="center"/>
            </w:pPr>
            <w:r>
              <w:t>干球温度</w:t>
            </w:r>
            <w:r>
              <w:br w:type="textWrapping"/>
            </w:r>
            <w:r>
              <w:t>(℃)</w:t>
            </w:r>
          </w:p>
        </w:tc>
        <w:tc>
          <w:tcPr>
            <w:shd w:val="clear" w:color="auto" w:fill="E6E6E6"/>
            <w:vAlign w:val="center"/>
          </w:tcPr>
          <w:p>
            <w:pPr>
              <w:jc w:val="center"/>
            </w:pPr>
            <w:r>
              <w:t>相对湿度(%)</w:t>
            </w:r>
          </w:p>
        </w:tc>
        <w:tc>
          <w:tcPr>
            <w:shd w:val="clear" w:color="auto" w:fill="E6E6E6"/>
            <w:vAlign w:val="center"/>
          </w:tcPr>
          <w:p>
            <w:pPr>
              <w:jc w:val="center"/>
            </w:pPr>
            <w:r>
              <w:t>水平总辐射照度</w:t>
            </w:r>
            <w:r>
              <w:br w:type="textWrapping"/>
            </w:r>
            <w:r>
              <w:t>(W/㎡)</w:t>
            </w:r>
          </w:p>
        </w:tc>
        <w:tc>
          <w:tcPr>
            <w:shd w:val="clear" w:color="auto" w:fill="E6E6E6"/>
            <w:vAlign w:val="center"/>
          </w:tcPr>
          <w:p>
            <w:pPr>
              <w:jc w:val="center"/>
            </w:pPr>
            <w:r>
              <w:t>水平散射辐射照度</w:t>
            </w:r>
            <w:r>
              <w:br w:type="textWrapping"/>
            </w:r>
            <w:r>
              <w:t>(W/㎡)</w:t>
            </w:r>
          </w:p>
        </w:tc>
        <w:tc>
          <w:tcPr>
            <w:shd w:val="clear" w:color="auto" w:fill="E6E6E6"/>
            <w:vAlign w:val="center"/>
          </w:tcPr>
          <w:p>
            <w:pPr>
              <w:jc w:val="center"/>
            </w:pPr>
            <w:r>
              <w:t>风速(m/s)</w:t>
            </w:r>
          </w:p>
        </w:tc>
        <w:tc>
          <w:tcPr>
            <w:shd w:val="clear" w:color="auto" w:fill="E6E6E6"/>
            <w:vAlign w:val="center"/>
          </w:tcPr>
          <w:p>
            <w:pPr>
              <w:jc w:val="center"/>
            </w:pPr>
            <w:r>
              <w:t>主导风向</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0</w:t>
            </w:r>
          </w:p>
        </w:tc>
        <w:tc>
          <w:tcPr>
            <w:vAlign w:val="center"/>
          </w:tcPr>
          <w:p>
            <w:pPr>
              <w:jc w:val="center"/>
            </w:pPr>
            <w:r>
              <w:t>29.3</w:t>
            </w:r>
          </w:p>
        </w:tc>
        <w:tc>
          <w:tcPr>
            <w:vAlign w:val="center"/>
          </w:tcPr>
          <w:p>
            <w:pPr>
              <w:jc w:val="center"/>
            </w:pPr>
            <w:r>
              <w:t>68</w:t>
            </w:r>
          </w:p>
        </w:tc>
        <w:tc>
          <w:tcPr>
            <w:vAlign w:val="center"/>
          </w:tcPr>
          <w:p>
            <w:pPr>
              <w:jc w:val="center"/>
            </w:pPr>
            <w:r>
              <w:t>0.00</w:t>
            </w:r>
          </w:p>
        </w:tc>
        <w:tc>
          <w:tcPr>
            <w:vAlign w:val="center"/>
          </w:tcPr>
          <w:p>
            <w:pPr>
              <w:jc w:val="center"/>
            </w:pPr>
            <w:r>
              <w:t>0.00</w:t>
            </w:r>
          </w:p>
        </w:tc>
        <w:tc>
          <w:tcPr>
            <w:vAlign w:val="center"/>
          </w:tcPr>
          <w:p>
            <w:pPr>
              <w:jc w:val="center"/>
            </w:pPr>
            <w:r>
              <w:t>3.7</w:t>
            </w:r>
          </w:p>
        </w:tc>
        <w:tc>
          <w:tcPr>
            <w:vMerge w:val="restart"/>
            <w:vAlign w:val="center"/>
          </w:tcPr>
          <w:p>
            <w:pPr>
              <w:jc w:val="center"/>
            </w:pPr>
            <w:r>
              <w:t>西南偏南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w:t>
            </w:r>
          </w:p>
        </w:tc>
        <w:tc>
          <w:tcPr>
            <w:vAlign w:val="center"/>
          </w:tcPr>
          <w:p>
            <w:pPr>
              <w:jc w:val="center"/>
            </w:pPr>
            <w:r>
              <w:t>29.0</w:t>
            </w:r>
          </w:p>
        </w:tc>
        <w:tc>
          <w:tcPr>
            <w:vAlign w:val="center"/>
          </w:tcPr>
          <w:p>
            <w:pPr>
              <w:jc w:val="center"/>
            </w:pPr>
            <w:r>
              <w:t>69</w:t>
            </w:r>
          </w:p>
        </w:tc>
        <w:tc>
          <w:tcPr>
            <w:vAlign w:val="center"/>
          </w:tcPr>
          <w:p>
            <w:pPr>
              <w:jc w:val="center"/>
            </w:pPr>
            <w:r>
              <w:t>0.00</w:t>
            </w:r>
          </w:p>
        </w:tc>
        <w:tc>
          <w:tcPr>
            <w:vAlign w:val="center"/>
          </w:tcPr>
          <w:p>
            <w:pPr>
              <w:jc w:val="center"/>
            </w:pPr>
            <w:r>
              <w:t>0.00</w:t>
            </w:r>
          </w:p>
        </w:tc>
        <w:tc>
          <w:tcPr>
            <w:vAlign w:val="center"/>
          </w:tcPr>
          <w:p>
            <w:pPr>
              <w:jc w:val="center"/>
            </w:pPr>
            <w:r>
              <w:t>4.0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w:t>
            </w:r>
          </w:p>
        </w:tc>
        <w:tc>
          <w:tcPr>
            <w:vAlign w:val="center"/>
          </w:tcPr>
          <w:p>
            <w:pPr>
              <w:jc w:val="center"/>
            </w:pPr>
            <w:r>
              <w:t>28.8</w:t>
            </w:r>
          </w:p>
        </w:tc>
        <w:tc>
          <w:tcPr>
            <w:vAlign w:val="center"/>
          </w:tcPr>
          <w:p>
            <w:pPr>
              <w:jc w:val="center"/>
            </w:pPr>
            <w:r>
              <w:t>69</w:t>
            </w:r>
          </w:p>
        </w:tc>
        <w:tc>
          <w:tcPr>
            <w:vAlign w:val="center"/>
          </w:tcPr>
          <w:p>
            <w:pPr>
              <w:jc w:val="center"/>
            </w:pPr>
            <w:r>
              <w:t>0.00</w:t>
            </w:r>
          </w:p>
        </w:tc>
        <w:tc>
          <w:tcPr>
            <w:vAlign w:val="center"/>
          </w:tcPr>
          <w:p>
            <w:pPr>
              <w:jc w:val="center"/>
            </w:pPr>
            <w:r>
              <w:t>0.00</w:t>
            </w:r>
          </w:p>
        </w:tc>
        <w:tc>
          <w:tcPr>
            <w:vAlign w:val="center"/>
          </w:tcPr>
          <w:p>
            <w:pPr>
              <w:jc w:val="center"/>
            </w:pPr>
            <w:r>
              <w:t>3.7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3</w:t>
            </w:r>
          </w:p>
        </w:tc>
        <w:tc>
          <w:tcPr>
            <w:vAlign w:val="center"/>
          </w:tcPr>
          <w:p>
            <w:pPr>
              <w:jc w:val="center"/>
            </w:pPr>
            <w:r>
              <w:t>28.8</w:t>
            </w:r>
          </w:p>
        </w:tc>
        <w:tc>
          <w:tcPr>
            <w:vAlign w:val="center"/>
          </w:tcPr>
          <w:p>
            <w:pPr>
              <w:jc w:val="center"/>
            </w:pPr>
            <w:r>
              <w:t>69</w:t>
            </w:r>
          </w:p>
        </w:tc>
        <w:tc>
          <w:tcPr>
            <w:vAlign w:val="center"/>
          </w:tcPr>
          <w:p>
            <w:pPr>
              <w:jc w:val="center"/>
            </w:pPr>
            <w:r>
              <w:t>0.00</w:t>
            </w:r>
          </w:p>
        </w:tc>
        <w:tc>
          <w:tcPr>
            <w:vAlign w:val="center"/>
          </w:tcPr>
          <w:p>
            <w:pPr>
              <w:jc w:val="center"/>
            </w:pPr>
            <w:r>
              <w:t>0.00</w:t>
            </w:r>
          </w:p>
        </w:tc>
        <w:tc>
          <w:tcPr>
            <w:vAlign w:val="center"/>
          </w:tcPr>
          <w:p>
            <w:pPr>
              <w:jc w:val="center"/>
            </w:pPr>
            <w:r>
              <w:t>3.3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4</w:t>
            </w:r>
          </w:p>
        </w:tc>
        <w:tc>
          <w:tcPr>
            <w:vAlign w:val="center"/>
          </w:tcPr>
          <w:p>
            <w:pPr>
              <w:jc w:val="center"/>
            </w:pPr>
            <w:r>
              <w:t>28.9</w:t>
            </w:r>
          </w:p>
        </w:tc>
        <w:tc>
          <w:tcPr>
            <w:vAlign w:val="center"/>
          </w:tcPr>
          <w:p>
            <w:pPr>
              <w:jc w:val="center"/>
            </w:pPr>
            <w:r>
              <w:t>68</w:t>
            </w:r>
          </w:p>
        </w:tc>
        <w:tc>
          <w:tcPr>
            <w:vAlign w:val="center"/>
          </w:tcPr>
          <w:p>
            <w:pPr>
              <w:jc w:val="center"/>
            </w:pPr>
            <w:r>
              <w:t>0.00</w:t>
            </w:r>
          </w:p>
        </w:tc>
        <w:tc>
          <w:tcPr>
            <w:vAlign w:val="center"/>
          </w:tcPr>
          <w:p>
            <w:pPr>
              <w:jc w:val="center"/>
            </w:pPr>
            <w:r>
              <w:t>0.00</w:t>
            </w:r>
          </w:p>
        </w:tc>
        <w:tc>
          <w:tcPr>
            <w:vAlign w:val="center"/>
          </w:tcPr>
          <w:p>
            <w:pPr>
              <w:jc w:val="center"/>
            </w:pPr>
            <w:r>
              <w:t>3.0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5</w:t>
            </w:r>
          </w:p>
        </w:tc>
        <w:tc>
          <w:tcPr>
            <w:vAlign w:val="center"/>
          </w:tcPr>
          <w:p>
            <w:pPr>
              <w:jc w:val="center"/>
            </w:pPr>
            <w:r>
              <w:t>29.2</w:t>
            </w:r>
          </w:p>
        </w:tc>
        <w:tc>
          <w:tcPr>
            <w:vAlign w:val="center"/>
          </w:tcPr>
          <w:p>
            <w:pPr>
              <w:jc w:val="center"/>
            </w:pPr>
            <w:r>
              <w:t>67</w:t>
            </w:r>
          </w:p>
        </w:tc>
        <w:tc>
          <w:tcPr>
            <w:vAlign w:val="center"/>
          </w:tcPr>
          <w:p>
            <w:pPr>
              <w:jc w:val="center"/>
            </w:pPr>
            <w:r>
              <w:t>19.44</w:t>
            </w:r>
          </w:p>
        </w:tc>
        <w:tc>
          <w:tcPr>
            <w:vAlign w:val="center"/>
          </w:tcPr>
          <w:p>
            <w:pPr>
              <w:jc w:val="center"/>
            </w:pPr>
            <w:r>
              <w:t>19.44</w:t>
            </w:r>
          </w:p>
        </w:tc>
        <w:tc>
          <w:tcPr>
            <w:vAlign w:val="center"/>
          </w:tcPr>
          <w:p>
            <w:pPr>
              <w:jc w:val="center"/>
            </w:pPr>
            <w:r>
              <w:t>2.7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6</w:t>
            </w:r>
          </w:p>
        </w:tc>
        <w:tc>
          <w:tcPr>
            <w:vAlign w:val="center"/>
          </w:tcPr>
          <w:p>
            <w:pPr>
              <w:jc w:val="center"/>
            </w:pPr>
            <w:r>
              <w:t>29.7</w:t>
            </w:r>
          </w:p>
        </w:tc>
        <w:tc>
          <w:tcPr>
            <w:vAlign w:val="center"/>
          </w:tcPr>
          <w:p>
            <w:pPr>
              <w:jc w:val="center"/>
            </w:pPr>
            <w:r>
              <w:t>66</w:t>
            </w:r>
          </w:p>
        </w:tc>
        <w:tc>
          <w:tcPr>
            <w:vAlign w:val="center"/>
          </w:tcPr>
          <w:p>
            <w:pPr>
              <w:jc w:val="center"/>
            </w:pPr>
            <w:r>
              <w:t>105.56</w:t>
            </w:r>
          </w:p>
        </w:tc>
        <w:tc>
          <w:tcPr>
            <w:vAlign w:val="center"/>
          </w:tcPr>
          <w:p>
            <w:pPr>
              <w:jc w:val="center"/>
            </w:pPr>
            <w:r>
              <w:t>77.78</w:t>
            </w:r>
          </w:p>
        </w:tc>
        <w:tc>
          <w:tcPr>
            <w:vAlign w:val="center"/>
          </w:tcPr>
          <w:p>
            <w:pPr>
              <w:jc w:val="center"/>
            </w:pPr>
            <w:r>
              <w:t>2.3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7</w:t>
            </w:r>
          </w:p>
        </w:tc>
        <w:tc>
          <w:tcPr>
            <w:vAlign w:val="center"/>
          </w:tcPr>
          <w:p>
            <w:pPr>
              <w:jc w:val="center"/>
            </w:pPr>
            <w:r>
              <w:t>30.4</w:t>
            </w:r>
          </w:p>
        </w:tc>
        <w:tc>
          <w:tcPr>
            <w:vAlign w:val="center"/>
          </w:tcPr>
          <w:p>
            <w:pPr>
              <w:jc w:val="center"/>
            </w:pPr>
            <w:r>
              <w:t>64</w:t>
            </w:r>
          </w:p>
        </w:tc>
        <w:tc>
          <w:tcPr>
            <w:vAlign w:val="center"/>
          </w:tcPr>
          <w:p>
            <w:pPr>
              <w:jc w:val="center"/>
            </w:pPr>
            <w:r>
              <w:t>211.11</w:t>
            </w:r>
          </w:p>
        </w:tc>
        <w:tc>
          <w:tcPr>
            <w:vAlign w:val="center"/>
          </w:tcPr>
          <w:p>
            <w:pPr>
              <w:jc w:val="center"/>
            </w:pPr>
            <w:r>
              <w:t>138.89</w:t>
            </w:r>
          </w:p>
        </w:tc>
        <w:tc>
          <w:tcPr>
            <w:vAlign w:val="center"/>
          </w:tcPr>
          <w:p>
            <w:pPr>
              <w:jc w:val="center"/>
            </w:pPr>
            <w:r>
              <w:t>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8</w:t>
            </w:r>
          </w:p>
        </w:tc>
        <w:tc>
          <w:tcPr>
            <w:vAlign w:val="center"/>
          </w:tcPr>
          <w:p>
            <w:pPr>
              <w:jc w:val="center"/>
            </w:pPr>
            <w:r>
              <w:t>31.3</w:t>
            </w:r>
          </w:p>
        </w:tc>
        <w:tc>
          <w:tcPr>
            <w:vAlign w:val="center"/>
          </w:tcPr>
          <w:p>
            <w:pPr>
              <w:jc w:val="center"/>
            </w:pPr>
            <w:r>
              <w:t>62</w:t>
            </w:r>
          </w:p>
        </w:tc>
        <w:tc>
          <w:tcPr>
            <w:vAlign w:val="center"/>
          </w:tcPr>
          <w:p>
            <w:pPr>
              <w:jc w:val="center"/>
            </w:pPr>
            <w:r>
              <w:t>319.44</w:t>
            </w:r>
          </w:p>
        </w:tc>
        <w:tc>
          <w:tcPr>
            <w:vAlign w:val="center"/>
          </w:tcPr>
          <w:p>
            <w:pPr>
              <w:jc w:val="center"/>
            </w:pPr>
            <w:r>
              <w:t>191.67</w:t>
            </w:r>
          </w:p>
        </w:tc>
        <w:tc>
          <w:tcPr>
            <w:vAlign w:val="center"/>
          </w:tcPr>
          <w:p>
            <w:pPr>
              <w:jc w:val="center"/>
            </w:pPr>
            <w:r>
              <w:t>2.5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9</w:t>
            </w:r>
          </w:p>
        </w:tc>
        <w:tc>
          <w:tcPr>
            <w:vAlign w:val="center"/>
          </w:tcPr>
          <w:p>
            <w:pPr>
              <w:jc w:val="center"/>
            </w:pPr>
            <w:r>
              <w:t>32.2</w:t>
            </w:r>
          </w:p>
        </w:tc>
        <w:tc>
          <w:tcPr>
            <w:vAlign w:val="center"/>
          </w:tcPr>
          <w:p>
            <w:pPr>
              <w:jc w:val="center"/>
            </w:pPr>
            <w:r>
              <w:t>60</w:t>
            </w:r>
          </w:p>
        </w:tc>
        <w:tc>
          <w:tcPr>
            <w:vAlign w:val="center"/>
          </w:tcPr>
          <w:p>
            <w:pPr>
              <w:jc w:val="center"/>
            </w:pPr>
            <w:r>
              <w:t>425.00</w:t>
            </w:r>
          </w:p>
        </w:tc>
        <w:tc>
          <w:tcPr>
            <w:vAlign w:val="center"/>
          </w:tcPr>
          <w:p>
            <w:pPr>
              <w:jc w:val="center"/>
            </w:pPr>
            <w:r>
              <w:t>236.11</w:t>
            </w:r>
          </w:p>
        </w:tc>
        <w:tc>
          <w:tcPr>
            <w:vAlign w:val="center"/>
          </w:tcPr>
          <w:p>
            <w:pPr>
              <w:jc w:val="center"/>
            </w:pPr>
            <w:r>
              <w:t>3.0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10</w:t>
            </w:r>
          </w:p>
        </w:tc>
        <w:tc>
          <w:tcPr>
            <w:vAlign w:val="center"/>
          </w:tcPr>
          <w:p>
            <w:pPr>
              <w:jc w:val="center"/>
            </w:pPr>
            <w:r>
              <w:t>33.1</w:t>
            </w:r>
          </w:p>
        </w:tc>
        <w:tc>
          <w:tcPr>
            <w:vAlign w:val="center"/>
          </w:tcPr>
          <w:p>
            <w:pPr>
              <w:jc w:val="center"/>
            </w:pPr>
            <w:r>
              <w:t>57</w:t>
            </w:r>
          </w:p>
        </w:tc>
        <w:tc>
          <w:tcPr>
            <w:vAlign w:val="center"/>
          </w:tcPr>
          <w:p>
            <w:pPr>
              <w:jc w:val="center"/>
            </w:pPr>
            <w:r>
              <w:t>508.33</w:t>
            </w:r>
          </w:p>
        </w:tc>
        <w:tc>
          <w:tcPr>
            <w:vAlign w:val="center"/>
          </w:tcPr>
          <w:p>
            <w:pPr>
              <w:jc w:val="center"/>
            </w:pPr>
            <w:r>
              <w:t>269.44</w:t>
            </w:r>
          </w:p>
        </w:tc>
        <w:tc>
          <w:tcPr>
            <w:vAlign w:val="center"/>
          </w:tcPr>
          <w:p>
            <w:pPr>
              <w:jc w:val="center"/>
            </w:pPr>
            <w:r>
              <w:t>3.5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11</w:t>
            </w:r>
          </w:p>
        </w:tc>
        <w:tc>
          <w:tcPr>
            <w:vAlign w:val="center"/>
          </w:tcPr>
          <w:p>
            <w:pPr>
              <w:jc w:val="center"/>
            </w:pPr>
            <w:r>
              <w:t>33.9</w:t>
            </w:r>
          </w:p>
        </w:tc>
        <w:tc>
          <w:tcPr>
            <w:vAlign w:val="center"/>
          </w:tcPr>
          <w:p>
            <w:pPr>
              <w:jc w:val="center"/>
            </w:pPr>
            <w:r>
              <w:t>56</w:t>
            </w:r>
          </w:p>
        </w:tc>
        <w:tc>
          <w:tcPr>
            <w:vAlign w:val="center"/>
          </w:tcPr>
          <w:p>
            <w:pPr>
              <w:jc w:val="center"/>
            </w:pPr>
            <w:r>
              <w:t>561.11</w:t>
            </w:r>
          </w:p>
        </w:tc>
        <w:tc>
          <w:tcPr>
            <w:vAlign w:val="center"/>
          </w:tcPr>
          <w:p>
            <w:pPr>
              <w:jc w:val="center"/>
            </w:pPr>
            <w:r>
              <w:t>288.89</w:t>
            </w:r>
          </w:p>
        </w:tc>
        <w:tc>
          <w:tcPr>
            <w:vAlign w:val="center"/>
          </w:tcPr>
          <w:p>
            <w:pPr>
              <w:jc w:val="center"/>
            </w:pPr>
            <w:r>
              <w:t>4.0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12</w:t>
            </w:r>
          </w:p>
        </w:tc>
        <w:tc>
          <w:tcPr>
            <w:vAlign w:val="center"/>
          </w:tcPr>
          <w:p>
            <w:pPr>
              <w:jc w:val="center"/>
            </w:pPr>
            <w:r>
              <w:t>34.5</w:t>
            </w:r>
          </w:p>
        </w:tc>
        <w:tc>
          <w:tcPr>
            <w:vAlign w:val="center"/>
          </w:tcPr>
          <w:p>
            <w:pPr>
              <w:jc w:val="center"/>
            </w:pPr>
            <w:r>
              <w:t>54</w:t>
            </w:r>
          </w:p>
        </w:tc>
        <w:tc>
          <w:tcPr>
            <w:vAlign w:val="center"/>
          </w:tcPr>
          <w:p>
            <w:pPr>
              <w:jc w:val="center"/>
            </w:pPr>
            <w:r>
              <w:t>575.00</w:t>
            </w:r>
          </w:p>
        </w:tc>
        <w:tc>
          <w:tcPr>
            <w:vAlign w:val="center"/>
          </w:tcPr>
          <w:p>
            <w:pPr>
              <w:jc w:val="center"/>
            </w:pPr>
            <w:r>
              <w:t>294.44</w:t>
            </w:r>
          </w:p>
        </w:tc>
        <w:tc>
          <w:tcPr>
            <w:vAlign w:val="center"/>
          </w:tcPr>
          <w:p>
            <w:pPr>
              <w:jc w:val="center"/>
            </w:pPr>
            <w:r>
              <w:t>4.5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13</w:t>
            </w:r>
          </w:p>
        </w:tc>
        <w:tc>
          <w:tcPr>
            <w:vAlign w:val="center"/>
          </w:tcPr>
          <w:p>
            <w:pPr>
              <w:jc w:val="center"/>
            </w:pPr>
            <w:r>
              <w:t>34.8</w:t>
            </w:r>
          </w:p>
        </w:tc>
        <w:tc>
          <w:tcPr>
            <w:vAlign w:val="center"/>
          </w:tcPr>
          <w:p>
            <w:pPr>
              <w:jc w:val="center"/>
            </w:pPr>
            <w:r>
              <w:t>54</w:t>
            </w:r>
          </w:p>
        </w:tc>
        <w:tc>
          <w:tcPr>
            <w:vAlign w:val="center"/>
          </w:tcPr>
          <w:p>
            <w:pPr>
              <w:jc w:val="center"/>
            </w:pPr>
            <w:r>
              <w:t>547.22</w:t>
            </w:r>
          </w:p>
        </w:tc>
        <w:tc>
          <w:tcPr>
            <w:vAlign w:val="center"/>
          </w:tcPr>
          <w:p>
            <w:pPr>
              <w:jc w:val="center"/>
            </w:pPr>
            <w:r>
              <w:t>286.11</w:t>
            </w:r>
          </w:p>
        </w:tc>
        <w:tc>
          <w:tcPr>
            <w:vAlign w:val="center"/>
          </w:tcPr>
          <w:p>
            <w:pPr>
              <w:jc w:val="center"/>
            </w:pPr>
            <w:r>
              <w:t>5.0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14</w:t>
            </w:r>
          </w:p>
        </w:tc>
        <w:tc>
          <w:tcPr>
            <w:vAlign w:val="center"/>
          </w:tcPr>
          <w:p>
            <w:pPr>
              <w:jc w:val="center"/>
            </w:pPr>
            <w:r>
              <w:t>34.7</w:t>
            </w:r>
          </w:p>
        </w:tc>
        <w:tc>
          <w:tcPr>
            <w:vAlign w:val="center"/>
          </w:tcPr>
          <w:p>
            <w:pPr>
              <w:jc w:val="center"/>
            </w:pPr>
            <w:r>
              <w:t>54</w:t>
            </w:r>
          </w:p>
        </w:tc>
        <w:tc>
          <w:tcPr>
            <w:vAlign w:val="center"/>
          </w:tcPr>
          <w:p>
            <w:pPr>
              <w:jc w:val="center"/>
            </w:pPr>
            <w:r>
              <w:t>480.56</w:t>
            </w:r>
          </w:p>
        </w:tc>
        <w:tc>
          <w:tcPr>
            <w:vAlign w:val="center"/>
          </w:tcPr>
          <w:p>
            <w:pPr>
              <w:jc w:val="center"/>
            </w:pPr>
            <w:r>
              <w:t>258.33</w:t>
            </w:r>
          </w:p>
        </w:tc>
        <w:tc>
          <w:tcPr>
            <w:vAlign w:val="center"/>
          </w:tcPr>
          <w:p>
            <w:pPr>
              <w:jc w:val="center"/>
            </w:pPr>
            <w:r>
              <w:t>4.5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15</w:t>
            </w:r>
          </w:p>
        </w:tc>
        <w:tc>
          <w:tcPr>
            <w:vAlign w:val="center"/>
          </w:tcPr>
          <w:p>
            <w:pPr>
              <w:jc w:val="center"/>
            </w:pPr>
            <w:r>
              <w:t>34.2</w:t>
            </w:r>
          </w:p>
        </w:tc>
        <w:tc>
          <w:tcPr>
            <w:vAlign w:val="center"/>
          </w:tcPr>
          <w:p>
            <w:pPr>
              <w:jc w:val="center"/>
            </w:pPr>
            <w:r>
              <w:t>56</w:t>
            </w:r>
          </w:p>
        </w:tc>
        <w:tc>
          <w:tcPr>
            <w:vAlign w:val="center"/>
          </w:tcPr>
          <w:p>
            <w:pPr>
              <w:jc w:val="center"/>
            </w:pPr>
            <w:r>
              <w:t>386.11</w:t>
            </w:r>
          </w:p>
        </w:tc>
        <w:tc>
          <w:tcPr>
            <w:vAlign w:val="center"/>
          </w:tcPr>
          <w:p>
            <w:pPr>
              <w:jc w:val="center"/>
            </w:pPr>
            <w:r>
              <w:t>216.67</w:t>
            </w:r>
          </w:p>
        </w:tc>
        <w:tc>
          <w:tcPr>
            <w:vAlign w:val="center"/>
          </w:tcPr>
          <w:p>
            <w:pPr>
              <w:jc w:val="center"/>
            </w:pPr>
            <w:r>
              <w:t>4.0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16</w:t>
            </w:r>
          </w:p>
        </w:tc>
        <w:tc>
          <w:tcPr>
            <w:vAlign w:val="center"/>
          </w:tcPr>
          <w:p>
            <w:pPr>
              <w:jc w:val="center"/>
            </w:pPr>
            <w:r>
              <w:t>33.6</w:t>
            </w:r>
          </w:p>
        </w:tc>
        <w:tc>
          <w:tcPr>
            <w:vAlign w:val="center"/>
          </w:tcPr>
          <w:p>
            <w:pPr>
              <w:jc w:val="center"/>
            </w:pPr>
            <w:r>
              <w:t>58</w:t>
            </w:r>
          </w:p>
        </w:tc>
        <w:tc>
          <w:tcPr>
            <w:vAlign w:val="center"/>
          </w:tcPr>
          <w:p>
            <w:pPr>
              <w:jc w:val="center"/>
            </w:pPr>
            <w:r>
              <w:t>277.78</w:t>
            </w:r>
          </w:p>
        </w:tc>
        <w:tc>
          <w:tcPr>
            <w:vAlign w:val="center"/>
          </w:tcPr>
          <w:p>
            <w:pPr>
              <w:jc w:val="center"/>
            </w:pPr>
            <w:r>
              <w:t>166.67</w:t>
            </w:r>
          </w:p>
        </w:tc>
        <w:tc>
          <w:tcPr>
            <w:vAlign w:val="center"/>
          </w:tcPr>
          <w:p>
            <w:pPr>
              <w:jc w:val="center"/>
            </w:pPr>
            <w:r>
              <w:t>3.5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17</w:t>
            </w:r>
          </w:p>
        </w:tc>
        <w:tc>
          <w:tcPr>
            <w:vAlign w:val="center"/>
          </w:tcPr>
          <w:p>
            <w:pPr>
              <w:jc w:val="center"/>
            </w:pPr>
            <w:r>
              <w:t>32.7</w:t>
            </w:r>
          </w:p>
        </w:tc>
        <w:tc>
          <w:tcPr>
            <w:vAlign w:val="center"/>
          </w:tcPr>
          <w:p>
            <w:pPr>
              <w:jc w:val="center"/>
            </w:pPr>
            <w:r>
              <w:t>60</w:t>
            </w:r>
          </w:p>
        </w:tc>
        <w:tc>
          <w:tcPr>
            <w:vAlign w:val="center"/>
          </w:tcPr>
          <w:p>
            <w:pPr>
              <w:jc w:val="center"/>
            </w:pPr>
            <w:r>
              <w:t>169.44</w:t>
            </w:r>
          </w:p>
        </w:tc>
        <w:tc>
          <w:tcPr>
            <w:vAlign w:val="center"/>
          </w:tcPr>
          <w:p>
            <w:pPr>
              <w:jc w:val="center"/>
            </w:pPr>
            <w:r>
              <w:t>111.11</w:t>
            </w:r>
          </w:p>
        </w:tc>
        <w:tc>
          <w:tcPr>
            <w:vAlign w:val="center"/>
          </w:tcPr>
          <w:p>
            <w:pPr>
              <w:jc w:val="center"/>
            </w:pPr>
            <w:r>
              <w:t>3.0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18</w:t>
            </w:r>
          </w:p>
        </w:tc>
        <w:tc>
          <w:tcPr>
            <w:vAlign w:val="center"/>
          </w:tcPr>
          <w:p>
            <w:pPr>
              <w:jc w:val="center"/>
            </w:pPr>
            <w:r>
              <w:t>31.9</w:t>
            </w:r>
          </w:p>
        </w:tc>
        <w:tc>
          <w:tcPr>
            <w:vAlign w:val="center"/>
          </w:tcPr>
          <w:p>
            <w:pPr>
              <w:jc w:val="center"/>
            </w:pPr>
            <w:r>
              <w:t>62</w:t>
            </w:r>
          </w:p>
        </w:tc>
        <w:tc>
          <w:tcPr>
            <w:vAlign w:val="center"/>
          </w:tcPr>
          <w:p>
            <w:pPr>
              <w:jc w:val="center"/>
            </w:pPr>
            <w:r>
              <w:t>72.22</w:t>
            </w:r>
          </w:p>
        </w:tc>
        <w:tc>
          <w:tcPr>
            <w:vAlign w:val="center"/>
          </w:tcPr>
          <w:p>
            <w:pPr>
              <w:jc w:val="center"/>
            </w:pPr>
            <w:r>
              <w:t>50.00</w:t>
            </w:r>
          </w:p>
        </w:tc>
        <w:tc>
          <w:tcPr>
            <w:vAlign w:val="center"/>
          </w:tcPr>
          <w:p>
            <w:pPr>
              <w:jc w:val="center"/>
            </w:pPr>
            <w:r>
              <w:t>2.5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19</w:t>
            </w:r>
          </w:p>
        </w:tc>
        <w:tc>
          <w:tcPr>
            <w:vAlign w:val="center"/>
          </w:tcPr>
          <w:p>
            <w:pPr>
              <w:jc w:val="center"/>
            </w:pPr>
            <w:r>
              <w:t>31.1</w:t>
            </w:r>
          </w:p>
        </w:tc>
        <w:tc>
          <w:tcPr>
            <w:vAlign w:val="center"/>
          </w:tcPr>
          <w:p>
            <w:pPr>
              <w:jc w:val="center"/>
            </w:pPr>
            <w:r>
              <w:t>64</w:t>
            </w:r>
          </w:p>
        </w:tc>
        <w:tc>
          <w:tcPr>
            <w:vAlign w:val="center"/>
          </w:tcPr>
          <w:p>
            <w:pPr>
              <w:jc w:val="center"/>
            </w:pPr>
            <w:r>
              <w:t>0.00</w:t>
            </w:r>
          </w:p>
        </w:tc>
        <w:tc>
          <w:tcPr>
            <w:vAlign w:val="center"/>
          </w:tcPr>
          <w:p>
            <w:pPr>
              <w:jc w:val="center"/>
            </w:pPr>
            <w:r>
              <w:t>0.00</w:t>
            </w:r>
          </w:p>
        </w:tc>
        <w:tc>
          <w:tcPr>
            <w:vAlign w:val="center"/>
          </w:tcPr>
          <w:p>
            <w:pPr>
              <w:jc w:val="center"/>
            </w:pPr>
            <w:r>
              <w:t>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20</w:t>
            </w:r>
          </w:p>
        </w:tc>
        <w:tc>
          <w:tcPr>
            <w:vAlign w:val="center"/>
          </w:tcPr>
          <w:p>
            <w:pPr>
              <w:jc w:val="center"/>
            </w:pPr>
            <w:r>
              <w:t>30.4</w:t>
            </w:r>
          </w:p>
        </w:tc>
        <w:tc>
          <w:tcPr>
            <w:vAlign w:val="center"/>
          </w:tcPr>
          <w:p>
            <w:pPr>
              <w:jc w:val="center"/>
            </w:pPr>
            <w:r>
              <w:t>66</w:t>
            </w:r>
          </w:p>
        </w:tc>
        <w:tc>
          <w:tcPr>
            <w:vAlign w:val="center"/>
          </w:tcPr>
          <w:p>
            <w:pPr>
              <w:jc w:val="center"/>
            </w:pPr>
            <w:r>
              <w:t>0.00</w:t>
            </w:r>
          </w:p>
        </w:tc>
        <w:tc>
          <w:tcPr>
            <w:vAlign w:val="center"/>
          </w:tcPr>
          <w:p>
            <w:pPr>
              <w:jc w:val="center"/>
            </w:pPr>
            <w:r>
              <w:t>0.00</w:t>
            </w:r>
          </w:p>
        </w:tc>
        <w:tc>
          <w:tcPr>
            <w:vAlign w:val="center"/>
          </w:tcPr>
          <w:p>
            <w:pPr>
              <w:jc w:val="center"/>
            </w:pPr>
            <w:r>
              <w:t>2.2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21</w:t>
            </w:r>
          </w:p>
        </w:tc>
        <w:tc>
          <w:tcPr>
            <w:vAlign w:val="center"/>
          </w:tcPr>
          <w:p>
            <w:pPr>
              <w:jc w:val="center"/>
            </w:pPr>
            <w:r>
              <w:t>29.9</w:t>
            </w:r>
          </w:p>
        </w:tc>
        <w:tc>
          <w:tcPr>
            <w:vAlign w:val="center"/>
          </w:tcPr>
          <w:p>
            <w:pPr>
              <w:jc w:val="center"/>
            </w:pPr>
            <w:r>
              <w:t>67</w:t>
            </w:r>
          </w:p>
        </w:tc>
        <w:tc>
          <w:tcPr>
            <w:vAlign w:val="center"/>
          </w:tcPr>
          <w:p>
            <w:pPr>
              <w:jc w:val="center"/>
            </w:pPr>
            <w:r>
              <w:t>0.00</w:t>
            </w:r>
          </w:p>
        </w:tc>
        <w:tc>
          <w:tcPr>
            <w:vAlign w:val="center"/>
          </w:tcPr>
          <w:p>
            <w:pPr>
              <w:jc w:val="center"/>
            </w:pPr>
            <w:r>
              <w:t>0.00</w:t>
            </w:r>
          </w:p>
        </w:tc>
        <w:tc>
          <w:tcPr>
            <w:vAlign w:val="center"/>
          </w:tcPr>
          <w:p>
            <w:pPr>
              <w:jc w:val="center"/>
            </w:pPr>
            <w:r>
              <w:t>2.3</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22</w:t>
            </w:r>
          </w:p>
        </w:tc>
        <w:tc>
          <w:tcPr>
            <w:vAlign w:val="center"/>
          </w:tcPr>
          <w:p>
            <w:pPr>
              <w:jc w:val="center"/>
            </w:pPr>
            <w:r>
              <w:t>29.5</w:t>
            </w:r>
          </w:p>
        </w:tc>
        <w:tc>
          <w:tcPr>
            <w:vAlign w:val="center"/>
          </w:tcPr>
          <w:p>
            <w:pPr>
              <w:jc w:val="center"/>
            </w:pPr>
            <w:r>
              <w:t>68</w:t>
            </w:r>
          </w:p>
        </w:tc>
        <w:tc>
          <w:tcPr>
            <w:vAlign w:val="center"/>
          </w:tcPr>
          <w:p>
            <w:pPr>
              <w:jc w:val="center"/>
            </w:pPr>
            <w:r>
              <w:t>0.00</w:t>
            </w:r>
          </w:p>
        </w:tc>
        <w:tc>
          <w:tcPr>
            <w:vAlign w:val="center"/>
          </w:tcPr>
          <w:p>
            <w:pPr>
              <w:jc w:val="center"/>
            </w:pPr>
            <w:r>
              <w:t>0.00</w:t>
            </w:r>
          </w:p>
        </w:tc>
        <w:tc>
          <w:tcPr>
            <w:vAlign w:val="center"/>
          </w:tcPr>
          <w:p>
            <w:pPr>
              <w:jc w:val="center"/>
            </w:pPr>
            <w:r>
              <w:t>2.5</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23</w:t>
            </w:r>
          </w:p>
        </w:tc>
        <w:tc>
          <w:tcPr>
            <w:vAlign w:val="center"/>
          </w:tcPr>
          <w:p>
            <w:pPr>
              <w:jc w:val="center"/>
            </w:pPr>
            <w:r>
              <w:t>29.2</w:t>
            </w:r>
          </w:p>
        </w:tc>
        <w:tc>
          <w:tcPr>
            <w:vAlign w:val="center"/>
          </w:tcPr>
          <w:p>
            <w:pPr>
              <w:jc w:val="center"/>
            </w:pPr>
            <w:r>
              <w:t>69</w:t>
            </w:r>
          </w:p>
        </w:tc>
        <w:tc>
          <w:tcPr>
            <w:vAlign w:val="center"/>
          </w:tcPr>
          <w:p>
            <w:pPr>
              <w:jc w:val="center"/>
            </w:pPr>
            <w:r>
              <w:t>0.00</w:t>
            </w:r>
          </w:p>
        </w:tc>
        <w:tc>
          <w:tcPr>
            <w:vAlign w:val="center"/>
          </w:tcPr>
          <w:p>
            <w:pPr>
              <w:jc w:val="center"/>
            </w:pPr>
            <w:r>
              <w:t>0.00</w:t>
            </w:r>
          </w:p>
        </w:tc>
        <w:tc>
          <w:tcPr>
            <w:vAlign w:val="center"/>
          </w:tcPr>
          <w:p>
            <w:pPr>
              <w:jc w:val="center"/>
            </w:pPr>
            <w:r>
              <w:t>2.7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日平均</w:t>
            </w:r>
          </w:p>
        </w:tc>
        <w:tc>
          <w:tcPr>
            <w:vAlign w:val="center"/>
          </w:tcPr>
          <w:p>
            <w:pPr>
              <w:jc w:val="center"/>
            </w:pPr>
            <w:r>
              <w:t>31.3</w:t>
            </w:r>
          </w:p>
        </w:tc>
        <w:tc>
          <w:tcPr>
            <w:vAlign w:val="center"/>
          </w:tcPr>
          <w:p>
            <w:pPr>
              <w:jc w:val="center"/>
            </w:pPr>
            <w:r>
              <w:t>63</w:t>
            </w:r>
          </w:p>
        </w:tc>
        <w:tc>
          <w:tcPr>
            <w:vAlign w:val="center"/>
          </w:tcPr>
          <w:p>
            <w:pPr>
              <w:jc w:val="center"/>
            </w:pPr>
            <w:r>
              <w:t>194.10</w:t>
            </w:r>
          </w:p>
        </w:tc>
        <w:tc>
          <w:tcPr>
            <w:vAlign w:val="center"/>
          </w:tcPr>
          <w:p>
            <w:pPr>
              <w:jc w:val="center"/>
            </w:pPr>
            <w:r>
              <w:t>108.56</w:t>
            </w:r>
          </w:p>
        </w:tc>
        <w:tc>
          <w:tcPr>
            <w:vAlign w:val="center"/>
          </w:tcPr>
          <w:p>
            <w:pPr>
              <w:jc w:val="center"/>
            </w:pPr>
            <w:r>
              <w:t>3.2</w:t>
            </w:r>
          </w:p>
        </w:tc>
        <w:tc>
          <w:tcPr>
            <w:vMerge w:val="continue"/>
            <w:vAlign w:val="center"/>
          </w:tcPr>
          <w:p>
            <w:pPr>
              <w:jc w:val="center"/>
            </w:pPr>
          </w:p>
        </w:tc>
      </w:tr>
    </w:tbl>
    <w:p>
      <w:pPr>
        <w:pStyle w:val="3"/>
        <w:ind w:firstLine="0" w:firstLineChars="0"/>
        <w:rPr>
          <w:lang w:val="en-US"/>
        </w:rPr>
      </w:pPr>
      <w:bookmarkStart w:id="31" w:name="气象参数"/>
      <w:bookmarkEnd w:id="31"/>
    </w:p>
    <w:p>
      <w:pPr>
        <w:pStyle w:val="4"/>
      </w:pPr>
      <w:bookmarkStart w:id="32" w:name="_Toc28834"/>
      <w:r>
        <w:rPr>
          <w:rFonts w:hint="eastAsia"/>
        </w:rPr>
        <w:t>渗透面夏季逐时蒸发量</w:t>
      </w:r>
      <w:bookmarkEnd w:id="32"/>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6"/>
        <w:gridCol w:w="1866"/>
        <w:gridCol w:w="1866"/>
        <w:gridCol w:w="1866"/>
        <w:gridCol w:w="186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时刻</w:t>
            </w:r>
          </w:p>
        </w:tc>
        <w:tc>
          <w:tcPr>
            <w:shd w:val="clear" w:color="auto" w:fill="E6E6E6"/>
            <w:vAlign w:val="center"/>
          </w:tcPr>
          <w:p>
            <w:pPr>
              <w:jc w:val="center"/>
            </w:pPr>
            <w:r>
              <w:t>水面(kg/(㎡.h))</w:t>
            </w:r>
          </w:p>
        </w:tc>
        <w:tc>
          <w:tcPr>
            <w:shd w:val="clear" w:color="auto" w:fill="E6E6E6"/>
            <w:vAlign w:val="center"/>
          </w:tcPr>
          <w:p>
            <w:pPr>
              <w:jc w:val="center"/>
            </w:pPr>
            <w:r>
              <w:t>绿地(kg/(㎡.h))</w:t>
            </w:r>
          </w:p>
        </w:tc>
        <w:tc>
          <w:tcPr>
            <w:shd w:val="clear" w:color="auto" w:fill="E6E6E6"/>
            <w:vAlign w:val="center"/>
          </w:tcPr>
          <w:p>
            <w:pPr>
              <w:jc w:val="center"/>
            </w:pPr>
            <w:r>
              <w:t>渗透型硬地</w:t>
            </w:r>
            <w:r>
              <w:br w:type="textWrapping"/>
            </w:r>
            <w:r>
              <w:t>(kg/(㎡.h))</w:t>
            </w:r>
          </w:p>
        </w:tc>
        <w:tc>
          <w:tcPr>
            <w:shd w:val="clear" w:color="auto" w:fill="E6E6E6"/>
            <w:vAlign w:val="center"/>
          </w:tcPr>
          <w:p>
            <w:pPr>
              <w:jc w:val="center"/>
            </w:pPr>
            <w:r>
              <w:t>绿化屋面</w:t>
            </w:r>
            <w:r>
              <w:br w:type="textWrapping"/>
            </w:r>
            <w:r>
              <w:t>(kg/(㎡.h))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0</w:t>
            </w:r>
          </w:p>
        </w:tc>
        <w:tc>
          <w:tcPr>
            <w:vAlign w:val="center"/>
          </w:tcPr>
          <w:p>
            <w:pPr>
              <w:jc w:val="center"/>
            </w:pPr>
            <w:r>
              <w:t>0.14</w:t>
            </w:r>
          </w:p>
        </w:tc>
        <w:tc>
          <w:tcPr>
            <w:vAlign w:val="center"/>
          </w:tcPr>
          <w:p>
            <w:pPr>
              <w:jc w:val="center"/>
            </w:pPr>
            <w:r>
              <w:t>0.28</w:t>
            </w:r>
          </w:p>
        </w:tc>
        <w:tc>
          <w:tcPr>
            <w:vAlign w:val="center"/>
          </w:tcPr>
          <w:p>
            <w:pPr>
              <w:jc w:val="center"/>
            </w:pPr>
            <w:r>
              <w:t>0.10</w:t>
            </w:r>
          </w:p>
        </w:tc>
        <w:tc>
          <w:tcPr>
            <w:vAlign w:val="center"/>
          </w:tcPr>
          <w:p>
            <w:pPr>
              <w:jc w:val="center"/>
            </w:pPr>
            <w:r>
              <w:t>0.22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w:t>
            </w:r>
          </w:p>
        </w:tc>
        <w:tc>
          <w:tcPr>
            <w:vAlign w:val="center"/>
          </w:tcPr>
          <w:p>
            <w:pPr>
              <w:jc w:val="center"/>
            </w:pPr>
            <w:r>
              <w:t>0.12</w:t>
            </w:r>
          </w:p>
        </w:tc>
        <w:tc>
          <w:tcPr>
            <w:vAlign w:val="center"/>
          </w:tcPr>
          <w:p>
            <w:pPr>
              <w:jc w:val="center"/>
            </w:pPr>
            <w:r>
              <w:t>0.20</w:t>
            </w:r>
          </w:p>
        </w:tc>
        <w:tc>
          <w:tcPr>
            <w:vAlign w:val="center"/>
          </w:tcPr>
          <w:p>
            <w:pPr>
              <w:jc w:val="center"/>
            </w:pPr>
            <w:r>
              <w:t>0.10</w:t>
            </w:r>
          </w:p>
        </w:tc>
        <w:tc>
          <w:tcPr>
            <w:vAlign w:val="center"/>
          </w:tcPr>
          <w:p>
            <w:pPr>
              <w:jc w:val="center"/>
            </w:pPr>
            <w:r>
              <w:t>0.16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w:t>
            </w:r>
          </w:p>
        </w:tc>
        <w:tc>
          <w:tcPr>
            <w:vAlign w:val="center"/>
          </w:tcPr>
          <w:p>
            <w:pPr>
              <w:jc w:val="center"/>
            </w:pPr>
            <w:r>
              <w:t>0.12</w:t>
            </w:r>
          </w:p>
        </w:tc>
        <w:tc>
          <w:tcPr>
            <w:vAlign w:val="center"/>
          </w:tcPr>
          <w:p>
            <w:pPr>
              <w:jc w:val="center"/>
            </w:pPr>
            <w:r>
              <w:t>0.19</w:t>
            </w:r>
          </w:p>
        </w:tc>
        <w:tc>
          <w:tcPr>
            <w:vAlign w:val="center"/>
          </w:tcPr>
          <w:p>
            <w:pPr>
              <w:jc w:val="center"/>
            </w:pPr>
            <w:r>
              <w:t>0.07</w:t>
            </w:r>
          </w:p>
        </w:tc>
        <w:tc>
          <w:tcPr>
            <w:vAlign w:val="center"/>
          </w:tcPr>
          <w:p>
            <w:pPr>
              <w:jc w:val="center"/>
            </w:pPr>
            <w:r>
              <w:t>0.16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3</w:t>
            </w:r>
          </w:p>
        </w:tc>
        <w:tc>
          <w:tcPr>
            <w:vAlign w:val="center"/>
          </w:tcPr>
          <w:p>
            <w:pPr>
              <w:jc w:val="center"/>
            </w:pPr>
            <w:r>
              <w:t>0.10</w:t>
            </w:r>
          </w:p>
        </w:tc>
        <w:tc>
          <w:tcPr>
            <w:vAlign w:val="center"/>
          </w:tcPr>
          <w:p>
            <w:pPr>
              <w:jc w:val="center"/>
            </w:pPr>
            <w:r>
              <w:t>0.18</w:t>
            </w:r>
          </w:p>
        </w:tc>
        <w:tc>
          <w:tcPr>
            <w:vAlign w:val="center"/>
          </w:tcPr>
          <w:p>
            <w:pPr>
              <w:jc w:val="center"/>
            </w:pPr>
            <w:r>
              <w:t>0.08</w:t>
            </w:r>
          </w:p>
        </w:tc>
        <w:tc>
          <w:tcPr>
            <w:vAlign w:val="center"/>
          </w:tcPr>
          <w:p>
            <w:pPr>
              <w:jc w:val="center"/>
            </w:pPr>
            <w:r>
              <w:t>0.15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4</w:t>
            </w:r>
          </w:p>
        </w:tc>
        <w:tc>
          <w:tcPr>
            <w:vAlign w:val="center"/>
          </w:tcPr>
          <w:p>
            <w:pPr>
              <w:jc w:val="center"/>
            </w:pPr>
            <w:r>
              <w:t>0.11</w:t>
            </w:r>
          </w:p>
        </w:tc>
        <w:tc>
          <w:tcPr>
            <w:vAlign w:val="center"/>
          </w:tcPr>
          <w:p>
            <w:pPr>
              <w:jc w:val="center"/>
            </w:pPr>
            <w:r>
              <w:t>0.21</w:t>
            </w:r>
          </w:p>
        </w:tc>
        <w:tc>
          <w:tcPr>
            <w:vAlign w:val="center"/>
          </w:tcPr>
          <w:p>
            <w:pPr>
              <w:jc w:val="center"/>
            </w:pPr>
            <w:r>
              <w:t>0.07</w:t>
            </w:r>
          </w:p>
        </w:tc>
        <w:tc>
          <w:tcPr>
            <w:vAlign w:val="center"/>
          </w:tcPr>
          <w:p>
            <w:pPr>
              <w:jc w:val="center"/>
            </w:pPr>
            <w:r>
              <w:t>0.17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5</w:t>
            </w:r>
          </w:p>
        </w:tc>
        <w:tc>
          <w:tcPr>
            <w:vAlign w:val="center"/>
          </w:tcPr>
          <w:p>
            <w:pPr>
              <w:jc w:val="center"/>
            </w:pPr>
            <w:r>
              <w:t>0.16</w:t>
            </w:r>
          </w:p>
        </w:tc>
        <w:tc>
          <w:tcPr>
            <w:vAlign w:val="center"/>
          </w:tcPr>
          <w:p>
            <w:pPr>
              <w:jc w:val="center"/>
            </w:pPr>
            <w:r>
              <w:t>0.26</w:t>
            </w:r>
          </w:p>
        </w:tc>
        <w:tc>
          <w:tcPr>
            <w:vAlign w:val="center"/>
          </w:tcPr>
          <w:p>
            <w:pPr>
              <w:jc w:val="center"/>
            </w:pPr>
            <w:r>
              <w:t>0.10</w:t>
            </w:r>
          </w:p>
        </w:tc>
        <w:tc>
          <w:tcPr>
            <w:vAlign w:val="center"/>
          </w:tcPr>
          <w:p>
            <w:pPr>
              <w:jc w:val="center"/>
            </w:pPr>
            <w:r>
              <w:t>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6</w:t>
            </w:r>
          </w:p>
        </w:tc>
        <w:tc>
          <w:tcPr>
            <w:vAlign w:val="center"/>
          </w:tcPr>
          <w:p>
            <w:pPr>
              <w:jc w:val="center"/>
            </w:pPr>
            <w:r>
              <w:t>0.28</w:t>
            </w:r>
          </w:p>
        </w:tc>
        <w:tc>
          <w:tcPr>
            <w:vAlign w:val="center"/>
          </w:tcPr>
          <w:p>
            <w:pPr>
              <w:jc w:val="center"/>
            </w:pPr>
            <w:r>
              <w:t>0.35</w:t>
            </w:r>
          </w:p>
        </w:tc>
        <w:tc>
          <w:tcPr>
            <w:vAlign w:val="center"/>
          </w:tcPr>
          <w:p>
            <w:pPr>
              <w:jc w:val="center"/>
            </w:pPr>
            <w:r>
              <w:t>0.12</w:t>
            </w:r>
          </w:p>
        </w:tc>
        <w:tc>
          <w:tcPr>
            <w:vAlign w:val="center"/>
          </w:tcPr>
          <w:p>
            <w:pPr>
              <w:jc w:val="center"/>
            </w:pPr>
            <w:r>
              <w:t>0.28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7</w:t>
            </w:r>
          </w:p>
        </w:tc>
        <w:tc>
          <w:tcPr>
            <w:vAlign w:val="center"/>
          </w:tcPr>
          <w:p>
            <w:pPr>
              <w:jc w:val="center"/>
            </w:pPr>
            <w:r>
              <w:t>0.45</w:t>
            </w:r>
          </w:p>
        </w:tc>
        <w:tc>
          <w:tcPr>
            <w:vAlign w:val="center"/>
          </w:tcPr>
          <w:p>
            <w:pPr>
              <w:jc w:val="center"/>
            </w:pPr>
            <w:r>
              <w:t>0.44</w:t>
            </w:r>
          </w:p>
        </w:tc>
        <w:tc>
          <w:tcPr>
            <w:vAlign w:val="center"/>
          </w:tcPr>
          <w:p>
            <w:pPr>
              <w:jc w:val="center"/>
            </w:pPr>
            <w:r>
              <w:t>0.14</w:t>
            </w:r>
          </w:p>
        </w:tc>
        <w:tc>
          <w:tcPr>
            <w:vAlign w:val="center"/>
          </w:tcPr>
          <w:p>
            <w:pPr>
              <w:jc w:val="center"/>
            </w:pPr>
            <w:r>
              <w:t>0.35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8</w:t>
            </w:r>
          </w:p>
        </w:tc>
        <w:tc>
          <w:tcPr>
            <w:vAlign w:val="center"/>
          </w:tcPr>
          <w:p>
            <w:pPr>
              <w:jc w:val="center"/>
            </w:pPr>
            <w:r>
              <w:t>0.65</w:t>
            </w:r>
          </w:p>
        </w:tc>
        <w:tc>
          <w:tcPr>
            <w:vAlign w:val="center"/>
          </w:tcPr>
          <w:p>
            <w:pPr>
              <w:jc w:val="center"/>
            </w:pPr>
            <w:r>
              <w:t>0.56</w:t>
            </w:r>
          </w:p>
        </w:tc>
        <w:tc>
          <w:tcPr>
            <w:vAlign w:val="center"/>
          </w:tcPr>
          <w:p>
            <w:pPr>
              <w:jc w:val="center"/>
            </w:pPr>
            <w:r>
              <w:t>0.14</w:t>
            </w:r>
          </w:p>
        </w:tc>
        <w:tc>
          <w:tcPr>
            <w:vAlign w:val="center"/>
          </w:tcPr>
          <w:p>
            <w:pPr>
              <w:jc w:val="center"/>
            </w:pPr>
            <w:r>
              <w:t>0.45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9</w:t>
            </w:r>
          </w:p>
        </w:tc>
        <w:tc>
          <w:tcPr>
            <w:vAlign w:val="center"/>
          </w:tcPr>
          <w:p>
            <w:pPr>
              <w:jc w:val="center"/>
            </w:pPr>
            <w:r>
              <w:t>0.86</w:t>
            </w:r>
          </w:p>
        </w:tc>
        <w:tc>
          <w:tcPr>
            <w:vAlign w:val="center"/>
          </w:tcPr>
          <w:p>
            <w:pPr>
              <w:jc w:val="center"/>
            </w:pPr>
            <w:r>
              <w:t>0.65</w:t>
            </w:r>
          </w:p>
        </w:tc>
        <w:tc>
          <w:tcPr>
            <w:vAlign w:val="center"/>
          </w:tcPr>
          <w:p>
            <w:pPr>
              <w:jc w:val="center"/>
            </w:pPr>
            <w:r>
              <w:t>0.14</w:t>
            </w:r>
          </w:p>
        </w:tc>
        <w:tc>
          <w:tcPr>
            <w:vAlign w:val="center"/>
          </w:tcPr>
          <w:p>
            <w:pPr>
              <w:jc w:val="center"/>
            </w:pPr>
            <w:r>
              <w:t>0.52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10</w:t>
            </w:r>
          </w:p>
        </w:tc>
        <w:tc>
          <w:tcPr>
            <w:vAlign w:val="center"/>
          </w:tcPr>
          <w:p>
            <w:pPr>
              <w:jc w:val="center"/>
            </w:pPr>
            <w:r>
              <w:t>1.02</w:t>
            </w:r>
          </w:p>
        </w:tc>
        <w:tc>
          <w:tcPr>
            <w:vAlign w:val="center"/>
          </w:tcPr>
          <w:p>
            <w:pPr>
              <w:jc w:val="center"/>
            </w:pPr>
            <w:r>
              <w:t>0.69</w:t>
            </w:r>
          </w:p>
        </w:tc>
        <w:tc>
          <w:tcPr>
            <w:vAlign w:val="center"/>
          </w:tcPr>
          <w:p>
            <w:pPr>
              <w:jc w:val="center"/>
            </w:pPr>
            <w:r>
              <w:t>0.14</w:t>
            </w:r>
          </w:p>
        </w:tc>
        <w:tc>
          <w:tcPr>
            <w:vAlign w:val="center"/>
          </w:tcPr>
          <w:p>
            <w:pPr>
              <w:jc w:val="center"/>
            </w:pPr>
            <w:r>
              <w:t>0.55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11</w:t>
            </w:r>
          </w:p>
        </w:tc>
        <w:tc>
          <w:tcPr>
            <w:vAlign w:val="center"/>
          </w:tcPr>
          <w:p>
            <w:pPr>
              <w:jc w:val="center"/>
            </w:pPr>
            <w:r>
              <w:t>1.15</w:t>
            </w:r>
          </w:p>
        </w:tc>
        <w:tc>
          <w:tcPr>
            <w:vAlign w:val="center"/>
          </w:tcPr>
          <w:p>
            <w:pPr>
              <w:jc w:val="center"/>
            </w:pPr>
            <w:r>
              <w:t>0.65</w:t>
            </w:r>
          </w:p>
        </w:tc>
        <w:tc>
          <w:tcPr>
            <w:vAlign w:val="center"/>
          </w:tcPr>
          <w:p>
            <w:pPr>
              <w:jc w:val="center"/>
            </w:pPr>
            <w:r>
              <w:t>0.12</w:t>
            </w:r>
          </w:p>
        </w:tc>
        <w:tc>
          <w:tcPr>
            <w:vAlign w:val="center"/>
          </w:tcPr>
          <w:p>
            <w:pPr>
              <w:jc w:val="center"/>
            </w:pPr>
            <w:r>
              <w:t>0.52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12</w:t>
            </w:r>
          </w:p>
        </w:tc>
        <w:tc>
          <w:tcPr>
            <w:vAlign w:val="center"/>
          </w:tcPr>
          <w:p>
            <w:pPr>
              <w:jc w:val="center"/>
            </w:pPr>
            <w:r>
              <w:t>1.18</w:t>
            </w:r>
          </w:p>
        </w:tc>
        <w:tc>
          <w:tcPr>
            <w:vAlign w:val="center"/>
          </w:tcPr>
          <w:p>
            <w:pPr>
              <w:jc w:val="center"/>
            </w:pPr>
            <w:r>
              <w:t>0.59</w:t>
            </w:r>
          </w:p>
        </w:tc>
        <w:tc>
          <w:tcPr>
            <w:vAlign w:val="center"/>
          </w:tcPr>
          <w:p>
            <w:pPr>
              <w:jc w:val="center"/>
            </w:pPr>
            <w:r>
              <w:t>0.09</w:t>
            </w:r>
          </w:p>
        </w:tc>
        <w:tc>
          <w:tcPr>
            <w:vAlign w:val="center"/>
          </w:tcPr>
          <w:p>
            <w:pPr>
              <w:jc w:val="center"/>
            </w:pPr>
            <w:r>
              <w:t>0.47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13</w:t>
            </w:r>
          </w:p>
        </w:tc>
        <w:tc>
          <w:tcPr>
            <w:vAlign w:val="center"/>
          </w:tcPr>
          <w:p>
            <w:pPr>
              <w:jc w:val="center"/>
            </w:pPr>
            <w:r>
              <w:t>1.15</w:t>
            </w:r>
          </w:p>
        </w:tc>
        <w:tc>
          <w:tcPr>
            <w:vAlign w:val="center"/>
          </w:tcPr>
          <w:p>
            <w:pPr>
              <w:jc w:val="center"/>
            </w:pPr>
            <w:r>
              <w:t>0.52</w:t>
            </w:r>
          </w:p>
        </w:tc>
        <w:tc>
          <w:tcPr>
            <w:vAlign w:val="center"/>
          </w:tcPr>
          <w:p>
            <w:pPr>
              <w:jc w:val="center"/>
            </w:pPr>
            <w:r>
              <w:t>0.07</w:t>
            </w:r>
          </w:p>
        </w:tc>
        <w:tc>
          <w:tcPr>
            <w:vAlign w:val="center"/>
          </w:tcPr>
          <w:p>
            <w:pPr>
              <w:jc w:val="center"/>
            </w:pPr>
            <w:r>
              <w:t>0.42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14</w:t>
            </w:r>
          </w:p>
        </w:tc>
        <w:tc>
          <w:tcPr>
            <w:vAlign w:val="center"/>
          </w:tcPr>
          <w:p>
            <w:pPr>
              <w:jc w:val="center"/>
            </w:pPr>
            <w:r>
              <w:t>1.05</w:t>
            </w:r>
          </w:p>
        </w:tc>
        <w:tc>
          <w:tcPr>
            <w:vAlign w:val="center"/>
          </w:tcPr>
          <w:p>
            <w:pPr>
              <w:jc w:val="center"/>
            </w:pPr>
            <w:r>
              <w:t>0.40</w:t>
            </w:r>
          </w:p>
        </w:tc>
        <w:tc>
          <w:tcPr>
            <w:vAlign w:val="center"/>
          </w:tcPr>
          <w:p>
            <w:pPr>
              <w:jc w:val="center"/>
            </w:pPr>
            <w:r>
              <w:t>0.07</w:t>
            </w:r>
          </w:p>
        </w:tc>
        <w:tc>
          <w:tcPr>
            <w:vAlign w:val="center"/>
          </w:tcPr>
          <w:p>
            <w:pPr>
              <w:jc w:val="center"/>
            </w:pPr>
            <w:r>
              <w:t>0.32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15</w:t>
            </w:r>
          </w:p>
        </w:tc>
        <w:tc>
          <w:tcPr>
            <w:vAlign w:val="center"/>
          </w:tcPr>
          <w:p>
            <w:pPr>
              <w:jc w:val="center"/>
            </w:pPr>
            <w:r>
              <w:t>0.93</w:t>
            </w:r>
          </w:p>
        </w:tc>
        <w:tc>
          <w:tcPr>
            <w:vAlign w:val="center"/>
          </w:tcPr>
          <w:p>
            <w:pPr>
              <w:jc w:val="center"/>
            </w:pPr>
            <w:r>
              <w:t>0.35</w:t>
            </w:r>
          </w:p>
        </w:tc>
        <w:tc>
          <w:tcPr>
            <w:vAlign w:val="center"/>
          </w:tcPr>
          <w:p>
            <w:pPr>
              <w:jc w:val="center"/>
            </w:pPr>
            <w:r>
              <w:t>0.04</w:t>
            </w:r>
          </w:p>
        </w:tc>
        <w:tc>
          <w:tcPr>
            <w:vAlign w:val="center"/>
          </w:tcPr>
          <w:p>
            <w:pPr>
              <w:jc w:val="center"/>
            </w:pPr>
            <w:r>
              <w:t>0.28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16</w:t>
            </w:r>
          </w:p>
        </w:tc>
        <w:tc>
          <w:tcPr>
            <w:vAlign w:val="center"/>
          </w:tcPr>
          <w:p>
            <w:pPr>
              <w:jc w:val="center"/>
            </w:pPr>
            <w:r>
              <w:t>0.75</w:t>
            </w:r>
          </w:p>
        </w:tc>
        <w:tc>
          <w:tcPr>
            <w:vAlign w:val="center"/>
          </w:tcPr>
          <w:p>
            <w:pPr>
              <w:jc w:val="center"/>
            </w:pPr>
            <w:r>
              <w:t>0.25</w:t>
            </w:r>
          </w:p>
        </w:tc>
        <w:tc>
          <w:tcPr>
            <w:vAlign w:val="center"/>
          </w:tcPr>
          <w:p>
            <w:pPr>
              <w:jc w:val="center"/>
            </w:pPr>
            <w:r>
              <w:t>0.03</w:t>
            </w:r>
          </w:p>
        </w:tc>
        <w:tc>
          <w:tcPr>
            <w:vAlign w:val="center"/>
          </w:tcPr>
          <w:p>
            <w:pPr>
              <w:jc w:val="center"/>
            </w:pPr>
            <w:r>
              <w:t>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17</w:t>
            </w:r>
          </w:p>
        </w:tc>
        <w:tc>
          <w:tcPr>
            <w:vAlign w:val="center"/>
          </w:tcPr>
          <w:p>
            <w:pPr>
              <w:jc w:val="center"/>
            </w:pPr>
            <w:r>
              <w:t>0.60</w:t>
            </w:r>
          </w:p>
        </w:tc>
        <w:tc>
          <w:tcPr>
            <w:vAlign w:val="center"/>
          </w:tcPr>
          <w:p>
            <w:pPr>
              <w:jc w:val="center"/>
            </w:pPr>
            <w:r>
              <w:t>0.21</w:t>
            </w:r>
          </w:p>
        </w:tc>
        <w:tc>
          <w:tcPr>
            <w:vAlign w:val="center"/>
          </w:tcPr>
          <w:p>
            <w:pPr>
              <w:jc w:val="center"/>
            </w:pPr>
            <w:r>
              <w:t>0.03</w:t>
            </w:r>
          </w:p>
        </w:tc>
        <w:tc>
          <w:tcPr>
            <w:vAlign w:val="center"/>
          </w:tcPr>
          <w:p>
            <w:pPr>
              <w:jc w:val="center"/>
            </w:pPr>
            <w:r>
              <w:t>0.17</w:t>
            </w:r>
          </w:p>
        </w:tc>
      </w:tr>
      <w:tr>
        <w:tblPrEx>
          <w:tblCellMar>
            <w:top w:w="0" w:type="dxa"/>
            <w:left w:w="108" w:type="dxa"/>
            <w:bottom w:w="0" w:type="dxa"/>
            <w:right w:w="108" w:type="dxa"/>
          </w:tblCellMar>
        </w:tblPrEx>
        <w:tc>
          <w:tcPr>
            <w:shd w:val="clear" w:color="auto" w:fill="E6E6E6"/>
            <w:vAlign w:val="center"/>
          </w:tcPr>
          <w:p>
            <w:pPr>
              <w:jc w:val="center"/>
            </w:pPr>
            <w:r>
              <w:t>18</w:t>
            </w:r>
          </w:p>
        </w:tc>
        <w:tc>
          <w:tcPr>
            <w:vAlign w:val="center"/>
          </w:tcPr>
          <w:p>
            <w:pPr>
              <w:jc w:val="center"/>
            </w:pPr>
            <w:r>
              <w:t>0.51</w:t>
            </w:r>
          </w:p>
        </w:tc>
        <w:tc>
          <w:tcPr>
            <w:vAlign w:val="center"/>
          </w:tcPr>
          <w:p>
            <w:pPr>
              <w:jc w:val="center"/>
            </w:pPr>
            <w:r>
              <w:t>0.17</w:t>
            </w:r>
          </w:p>
        </w:tc>
        <w:tc>
          <w:tcPr>
            <w:vAlign w:val="center"/>
          </w:tcPr>
          <w:p>
            <w:pPr>
              <w:jc w:val="center"/>
            </w:pPr>
            <w:r>
              <w:t>0.02</w:t>
            </w:r>
          </w:p>
        </w:tc>
        <w:tc>
          <w:tcPr>
            <w:vAlign w:val="center"/>
          </w:tcPr>
          <w:p>
            <w:pPr>
              <w:jc w:val="center"/>
            </w:pPr>
            <w:r>
              <w:t>0.14</w:t>
            </w:r>
          </w:p>
        </w:tc>
      </w:tr>
      <w:tr>
        <w:tblPrEx>
          <w:tblCellMar>
            <w:top w:w="0" w:type="dxa"/>
            <w:left w:w="108" w:type="dxa"/>
            <w:bottom w:w="0" w:type="dxa"/>
            <w:right w:w="108" w:type="dxa"/>
          </w:tblCellMar>
        </w:tblPrEx>
        <w:tc>
          <w:tcPr>
            <w:shd w:val="clear" w:color="auto" w:fill="E6E6E6"/>
            <w:vAlign w:val="center"/>
          </w:tcPr>
          <w:p>
            <w:pPr>
              <w:jc w:val="center"/>
            </w:pPr>
            <w:r>
              <w:t>19</w:t>
            </w:r>
          </w:p>
        </w:tc>
        <w:tc>
          <w:tcPr>
            <w:vAlign w:val="center"/>
          </w:tcPr>
          <w:p>
            <w:pPr>
              <w:jc w:val="center"/>
            </w:pPr>
            <w:r>
              <w:t>0.33</w:t>
            </w:r>
          </w:p>
        </w:tc>
        <w:tc>
          <w:tcPr>
            <w:vAlign w:val="center"/>
          </w:tcPr>
          <w:p>
            <w:pPr>
              <w:jc w:val="center"/>
            </w:pPr>
            <w:r>
              <w:t>0.14</w:t>
            </w:r>
          </w:p>
        </w:tc>
        <w:tc>
          <w:tcPr>
            <w:vAlign w:val="center"/>
          </w:tcPr>
          <w:p>
            <w:pPr>
              <w:jc w:val="center"/>
            </w:pPr>
            <w:r>
              <w:t>0.01</w:t>
            </w:r>
          </w:p>
        </w:tc>
        <w:tc>
          <w:tcPr>
            <w:vAlign w:val="center"/>
          </w:tcPr>
          <w:p>
            <w:pPr>
              <w:jc w:val="center"/>
            </w:pPr>
            <w:r>
              <w:t>0.11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20</w:t>
            </w:r>
          </w:p>
        </w:tc>
        <w:tc>
          <w:tcPr>
            <w:vAlign w:val="center"/>
          </w:tcPr>
          <w:p>
            <w:pPr>
              <w:jc w:val="center"/>
            </w:pPr>
            <w:r>
              <w:t>0.29</w:t>
            </w:r>
          </w:p>
        </w:tc>
        <w:tc>
          <w:tcPr>
            <w:vAlign w:val="center"/>
          </w:tcPr>
          <w:p>
            <w:pPr>
              <w:jc w:val="center"/>
            </w:pPr>
            <w:r>
              <w:t>0.12</w:t>
            </w:r>
          </w:p>
        </w:tc>
        <w:tc>
          <w:tcPr>
            <w:vAlign w:val="center"/>
          </w:tcPr>
          <w:p>
            <w:pPr>
              <w:jc w:val="center"/>
            </w:pPr>
            <w:r>
              <w:t>0.00</w:t>
            </w:r>
          </w:p>
        </w:tc>
        <w:tc>
          <w:tcPr>
            <w:vAlign w:val="center"/>
          </w:tcPr>
          <w:p>
            <w:pPr>
              <w:jc w:val="center"/>
            </w:pPr>
            <w:r>
              <w:t>0.09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21</w:t>
            </w:r>
          </w:p>
        </w:tc>
        <w:tc>
          <w:tcPr>
            <w:vAlign w:val="center"/>
          </w:tcPr>
          <w:p>
            <w:pPr>
              <w:jc w:val="center"/>
            </w:pPr>
            <w:r>
              <w:t>0.22</w:t>
            </w:r>
          </w:p>
        </w:tc>
        <w:tc>
          <w:tcPr>
            <w:vAlign w:val="center"/>
          </w:tcPr>
          <w:p>
            <w:pPr>
              <w:jc w:val="center"/>
            </w:pPr>
            <w:r>
              <w:t>0.11</w:t>
            </w:r>
          </w:p>
        </w:tc>
        <w:tc>
          <w:tcPr>
            <w:vAlign w:val="center"/>
          </w:tcPr>
          <w:p>
            <w:pPr>
              <w:jc w:val="center"/>
            </w:pPr>
            <w:r>
              <w:t>0.01</w:t>
            </w:r>
          </w:p>
        </w:tc>
        <w:tc>
          <w:tcPr>
            <w:vAlign w:val="center"/>
          </w:tcPr>
          <w:p>
            <w:pPr>
              <w:jc w:val="center"/>
            </w:pPr>
            <w:r>
              <w:t>0.09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22</w:t>
            </w:r>
          </w:p>
        </w:tc>
        <w:tc>
          <w:tcPr>
            <w:vAlign w:val="center"/>
          </w:tcPr>
          <w:p>
            <w:pPr>
              <w:jc w:val="center"/>
            </w:pPr>
            <w:r>
              <w:t>0.18</w:t>
            </w:r>
          </w:p>
        </w:tc>
        <w:tc>
          <w:tcPr>
            <w:vAlign w:val="center"/>
          </w:tcPr>
          <w:p>
            <w:pPr>
              <w:jc w:val="center"/>
            </w:pPr>
            <w:r>
              <w:t>0.08</w:t>
            </w:r>
          </w:p>
        </w:tc>
        <w:tc>
          <w:tcPr>
            <w:vAlign w:val="center"/>
          </w:tcPr>
          <w:p>
            <w:pPr>
              <w:jc w:val="center"/>
            </w:pPr>
            <w:r>
              <w:t>0.01</w:t>
            </w:r>
          </w:p>
        </w:tc>
        <w:tc>
          <w:tcPr>
            <w:vAlign w:val="center"/>
          </w:tcPr>
          <w:p>
            <w:pPr>
              <w:jc w:val="center"/>
            </w:pPr>
            <w:r>
              <w:t>0.06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23</w:t>
            </w:r>
          </w:p>
        </w:tc>
        <w:tc>
          <w:tcPr>
            <w:vAlign w:val="center"/>
          </w:tcPr>
          <w:p>
            <w:pPr>
              <w:jc w:val="center"/>
            </w:pPr>
            <w:r>
              <w:t>0.15</w:t>
            </w:r>
          </w:p>
        </w:tc>
        <w:tc>
          <w:tcPr>
            <w:vAlign w:val="center"/>
          </w:tcPr>
          <w:p>
            <w:pPr>
              <w:jc w:val="center"/>
            </w:pPr>
            <w:r>
              <w:t>0.10</w:t>
            </w:r>
          </w:p>
        </w:tc>
        <w:tc>
          <w:tcPr>
            <w:vAlign w:val="center"/>
          </w:tcPr>
          <w:p>
            <w:pPr>
              <w:jc w:val="center"/>
            </w:pPr>
            <w:r>
              <w:t>0.00</w:t>
            </w:r>
          </w:p>
        </w:tc>
        <w:tc>
          <w:tcPr>
            <w:vAlign w:val="center"/>
          </w:tcPr>
          <w:p>
            <w:pPr>
              <w:jc w:val="center"/>
            </w:pPr>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日累计(kg/(㎡.d))</w:t>
            </w:r>
          </w:p>
        </w:tc>
        <w:tc>
          <w:tcPr>
            <w:vAlign w:val="center"/>
          </w:tcPr>
          <w:p>
            <w:pPr>
              <w:jc w:val="center"/>
            </w:pPr>
            <w:r>
              <w:t>12.50</w:t>
            </w:r>
          </w:p>
        </w:tc>
        <w:tc>
          <w:tcPr>
            <w:vAlign w:val="center"/>
          </w:tcPr>
          <w:p>
            <w:pPr>
              <w:jc w:val="center"/>
            </w:pPr>
            <w:r>
              <w:t>7.70</w:t>
            </w:r>
          </w:p>
        </w:tc>
        <w:tc>
          <w:tcPr>
            <w:vAlign w:val="center"/>
          </w:tcPr>
          <w:p>
            <w:pPr>
              <w:jc w:val="center"/>
            </w:pPr>
            <w:r>
              <w:t>1.70</w:t>
            </w:r>
          </w:p>
        </w:tc>
        <w:tc>
          <w:tcPr>
            <w:vAlign w:val="center"/>
          </w:tcPr>
          <w:p>
            <w:pPr>
              <w:jc w:val="center"/>
            </w:pPr>
            <w:r>
              <w:t>6.16</w:t>
            </w:r>
          </w:p>
        </w:tc>
      </w:tr>
    </w:tbl>
    <w:p>
      <w:pPr>
        <w:pStyle w:val="3"/>
        <w:ind w:firstLine="0" w:firstLineChars="0"/>
        <w:rPr>
          <w:lang w:val="en-US"/>
        </w:rPr>
      </w:pPr>
      <w:bookmarkStart w:id="33" w:name="蒸发量参数"/>
      <w:bookmarkEnd w:id="33"/>
    </w:p>
    <w:p>
      <w:pPr>
        <w:pStyle w:val="2"/>
      </w:pPr>
      <w:bookmarkStart w:id="34" w:name="_Toc5608"/>
      <w:r>
        <w:rPr>
          <w:rFonts w:hint="eastAsia"/>
        </w:rPr>
        <w:t>住区指标概览</w:t>
      </w:r>
      <w:bookmarkEnd w:id="34"/>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6"/>
        <w:gridCol w:w="466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指标</w:t>
            </w:r>
          </w:p>
        </w:tc>
        <w:tc>
          <w:tcPr>
            <w:shd w:val="clear" w:color="auto" w:fill="E6E6E6"/>
            <w:vAlign w:val="center"/>
          </w:tcPr>
          <w:p>
            <w:pPr>
              <w:jc w:val="center"/>
            </w:pPr>
            <w:r>
              <w:t>值</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地块面积(㎡)</w:t>
            </w:r>
          </w:p>
        </w:tc>
        <w:tc>
          <w:tcPr>
            <w:vAlign w:val="center"/>
          </w:tcPr>
          <w:p>
            <w:r>
              <w:t>40834.63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建筑密度</w:t>
            </w:r>
          </w:p>
        </w:tc>
        <w:tc>
          <w:tcPr>
            <w:vAlign w:val="center"/>
          </w:tcPr>
          <w:p>
            <w:r>
              <w:t>0.16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室外面积(㎡)</w:t>
            </w:r>
          </w:p>
        </w:tc>
        <w:tc>
          <w:tcPr>
            <w:vAlign w:val="center"/>
          </w:tcPr>
          <w:p>
            <w:r>
              <w:t>34414.16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广场面积(㎡)</w:t>
            </w:r>
          </w:p>
        </w:tc>
        <w:tc>
          <w:tcPr>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道路面积(㎡)</w:t>
            </w:r>
          </w:p>
        </w:tc>
        <w:tc>
          <w:tcPr>
            <w:vAlign w:val="center"/>
          </w:tcPr>
          <w:p>
            <w:r>
              <w:t>6130.58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绿地面积(㎡)</w:t>
            </w:r>
          </w:p>
        </w:tc>
        <w:tc>
          <w:tcPr>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水面面积(㎡)</w:t>
            </w:r>
          </w:p>
        </w:tc>
        <w:tc>
          <w:tcPr>
            <w:vAlign w:val="center"/>
          </w:tcPr>
          <w:p>
            <w:r>
              <w:t>1075.62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绿化屋面面积(㎡)</w:t>
            </w:r>
          </w:p>
        </w:tc>
        <w:tc>
          <w:tcPr>
            <w:vAlign w:val="center"/>
          </w:tcPr>
          <w:p>
            <w:r>
              <w:t>4066.35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乔木爬藤面积(㎡)</w:t>
            </w:r>
          </w:p>
        </w:tc>
        <w:tc>
          <w:tcPr>
            <w:vAlign w:val="center"/>
          </w:tcPr>
          <w:p>
            <w:r>
              <w:t>19794.41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亭廊面积(㎡)</w:t>
            </w:r>
          </w:p>
        </w:tc>
        <w:tc>
          <w:tcPr>
            <w:vAlign w:val="center"/>
          </w:tcPr>
          <w:p>
            <w:r>
              <w:t>130.17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渗透型硬地面积(㎡)</w:t>
            </w:r>
          </w:p>
        </w:tc>
        <w:tc>
          <w:tcPr>
            <w:vAlign w:val="center"/>
          </w:tcPr>
          <w:p>
            <w:r>
              <w:t>6902.26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地表平均太阳辐射吸收系数</w:t>
            </w:r>
          </w:p>
        </w:tc>
        <w:tc>
          <w:tcPr>
            <w:vAlign w:val="center"/>
          </w:tcPr>
          <w:p>
            <w:r>
              <w:t>0.77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地面粗糙系数</w:t>
            </w:r>
          </w:p>
        </w:tc>
        <w:tc>
          <w:tcPr>
            <w:vAlign w:val="center"/>
          </w:tcPr>
          <w:p>
            <w:r>
              <w:t>0.22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平均迎风面积比</w:t>
            </w:r>
          </w:p>
        </w:tc>
        <w:tc>
          <w:tcPr>
            <w:vAlign w:val="center"/>
          </w:tcPr>
          <w:p>
            <w:r>
              <w:t>0.93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CTTC居住区热时间常数(h)</w:t>
            </w:r>
          </w:p>
        </w:tc>
        <w:tc>
          <w:tcPr>
            <w:vAlign w:val="center"/>
          </w:tcPr>
          <w:p>
            <w:r>
              <w:t>11.65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绿化遮阳覆盖率(%)</w:t>
            </w:r>
          </w:p>
        </w:tc>
        <w:tc>
          <w:tcPr>
            <w:vAlign w:val="center"/>
          </w:tcPr>
          <w:p>
            <w:r>
              <w:t>58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构筑物遮阳覆盖率(%)</w:t>
            </w:r>
          </w:p>
        </w:tc>
        <w:tc>
          <w:tcPr>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平均天空角系数</w:t>
            </w:r>
          </w:p>
        </w:tc>
        <w:tc>
          <w:tcPr>
            <w:vAlign w:val="center"/>
          </w:tcPr>
          <w:p>
            <w:r>
              <w:t>0.85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通风架空率(%)</w:t>
            </w:r>
          </w:p>
        </w:tc>
        <w:tc>
          <w:tcPr>
            <w:vAlign w:val="center"/>
          </w:tcPr>
          <w:p>
            <w:r>
              <w:t>0</w:t>
            </w:r>
          </w:p>
        </w:tc>
      </w:tr>
    </w:tbl>
    <w:p>
      <w:pPr>
        <w:pStyle w:val="3"/>
        <w:ind w:firstLine="420"/>
        <w:rPr>
          <w:lang w:val="en-US"/>
        </w:rPr>
      </w:pPr>
      <w:bookmarkStart w:id="35" w:name="住区指标概览"/>
      <w:bookmarkEnd w:id="35"/>
    </w:p>
    <w:p>
      <w:pPr>
        <w:pStyle w:val="2"/>
      </w:pPr>
      <w:bookmarkStart w:id="36" w:name="_Toc26626"/>
      <w:r>
        <w:rPr>
          <w:rFonts w:hint="eastAsia"/>
        </w:rPr>
        <w:t>规定性设计指标</w:t>
      </w:r>
      <w:bookmarkEnd w:id="36"/>
    </w:p>
    <w:p>
      <w:pPr>
        <w:pStyle w:val="4"/>
      </w:pPr>
      <w:bookmarkStart w:id="37" w:name="_Toc3487"/>
      <w:r>
        <w:rPr>
          <w:rFonts w:hint="eastAsia"/>
        </w:rPr>
        <w:t>平均迎风面积比</w:t>
      </w:r>
      <w:bookmarkEnd w:id="37"/>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6"/>
        <w:gridCol w:w="1866"/>
        <w:gridCol w:w="1866"/>
        <w:gridCol w:w="1866"/>
        <w:gridCol w:w="186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建筑名称</w:t>
            </w:r>
          </w:p>
        </w:tc>
        <w:tc>
          <w:tcPr>
            <w:shd w:val="clear" w:color="auto" w:fill="E6E6E6"/>
            <w:vAlign w:val="center"/>
          </w:tcPr>
          <w:p>
            <w:pPr>
              <w:jc w:val="center"/>
            </w:pPr>
            <w:r>
              <w:t>迎风面积(㎡)</w:t>
            </w:r>
          </w:p>
        </w:tc>
        <w:tc>
          <w:tcPr>
            <w:shd w:val="clear" w:color="auto" w:fill="E6E6E6"/>
            <w:vAlign w:val="center"/>
          </w:tcPr>
          <w:p>
            <w:pPr>
              <w:jc w:val="center"/>
            </w:pPr>
            <w:r>
              <w:t>最大可能</w:t>
            </w:r>
            <w:r>
              <w:br w:type="textWrapping"/>
            </w:r>
            <w:r>
              <w:t>迎风面积(㎡)</w:t>
            </w:r>
          </w:p>
        </w:tc>
        <w:tc>
          <w:tcPr>
            <w:shd w:val="clear" w:color="auto" w:fill="E6E6E6"/>
            <w:vAlign w:val="center"/>
          </w:tcPr>
          <w:p>
            <w:pPr>
              <w:jc w:val="center"/>
            </w:pPr>
            <w:r>
              <w:t>最大可能</w:t>
            </w:r>
            <w:r>
              <w:br w:type="textWrapping"/>
            </w:r>
            <w:r>
              <w:t>迎风方向(°)</w:t>
            </w:r>
          </w:p>
        </w:tc>
        <w:tc>
          <w:tcPr>
            <w:shd w:val="clear" w:color="auto" w:fill="E6E6E6"/>
            <w:vAlign w:val="center"/>
          </w:tcPr>
          <w:p>
            <w:pPr>
              <w:jc w:val="center"/>
            </w:pPr>
            <w:r>
              <w:t>迎风面积比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w:t>
            </w:r>
          </w:p>
        </w:tc>
        <w:tc>
          <w:tcPr>
            <w:vAlign w:val="center"/>
          </w:tcPr>
          <w:p>
            <w:r>
              <w:t>1709.88</w:t>
            </w:r>
          </w:p>
        </w:tc>
        <w:tc>
          <w:tcPr>
            <w:vAlign w:val="center"/>
          </w:tcPr>
          <w:p>
            <w:r>
              <w:t>1831.65</w:t>
            </w:r>
          </w:p>
        </w:tc>
        <w:tc>
          <w:tcPr>
            <w:vAlign w:val="center"/>
          </w:tcPr>
          <w:p>
            <w:r>
              <w:t>40.00</w:t>
            </w:r>
          </w:p>
        </w:tc>
        <w:tc>
          <w:tcPr>
            <w:vAlign w:val="center"/>
          </w:tcPr>
          <w:p>
            <w:r>
              <w:t>0.9335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平均迎风面积比</w:t>
            </w:r>
          </w:p>
        </w:tc>
        <w:tc>
          <w:tcPr>
            <w:gridSpan w:val="4"/>
            <w:vAlign w:val="center"/>
          </w:tcPr>
          <w:p>
            <w:r>
              <w:rPr>
                <w:b/>
                <w:color w:val="FF0000"/>
              </w:rPr>
              <w:t>0.934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依据</w:t>
            </w:r>
          </w:p>
        </w:tc>
        <w:tc>
          <w:tcPr>
            <w:gridSpan w:val="4"/>
            <w:vAlign w:val="center"/>
          </w:tcPr>
          <w:p>
            <w:r>
              <w:rPr>
                <w:b/>
              </w:rPr>
              <w:t>《城市居住区热环境设计标准》4.1.1条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标准要求</w:t>
            </w:r>
          </w:p>
        </w:tc>
        <w:tc>
          <w:tcPr>
            <w:gridSpan w:val="4"/>
            <w:vAlign w:val="center"/>
          </w:tcPr>
          <w:p>
            <w:r>
              <w:rPr>
                <w:b/>
              </w:rPr>
              <w:t>平均迎风面积比≤0.85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结论</w:t>
            </w:r>
          </w:p>
        </w:tc>
        <w:tc>
          <w:tcPr>
            <w:gridSpan w:val="4"/>
            <w:vAlign w:val="center"/>
          </w:tcPr>
          <w:p>
            <w:r>
              <w:rPr>
                <w:b/>
                <w:color w:val="FF0000"/>
              </w:rPr>
              <w:t>不满足</w:t>
            </w:r>
          </w:p>
        </w:tc>
      </w:tr>
    </w:tbl>
    <w:p>
      <w:pPr>
        <w:pStyle w:val="3"/>
        <w:ind w:firstLine="420"/>
        <w:rPr>
          <w:lang w:val="en-US"/>
        </w:rPr>
      </w:pPr>
      <w:bookmarkStart w:id="38" w:name="平均迎风面积比"/>
      <w:bookmarkEnd w:id="38"/>
    </w:p>
    <w:p>
      <w:pPr>
        <w:pStyle w:val="4"/>
      </w:pPr>
      <w:bookmarkStart w:id="39" w:name="_Toc25594"/>
      <w:r>
        <w:rPr>
          <w:rFonts w:hint="eastAsia"/>
        </w:rPr>
        <w:t>活动场地遮阳覆盖率</w:t>
      </w:r>
      <w:bookmarkEnd w:id="39"/>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6"/>
        <w:gridCol w:w="1866"/>
        <w:gridCol w:w="1866"/>
        <w:gridCol w:w="1866"/>
        <w:gridCol w:w="186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场地</w:t>
            </w:r>
          </w:p>
        </w:tc>
        <w:tc>
          <w:tcPr>
            <w:shd w:val="clear" w:color="auto" w:fill="E6E6E6"/>
            <w:vAlign w:val="center"/>
          </w:tcPr>
          <w:p>
            <w:pPr>
              <w:jc w:val="center"/>
            </w:pPr>
            <w:r>
              <w:t>遮阳面积(㎡)</w:t>
            </w:r>
          </w:p>
        </w:tc>
        <w:tc>
          <w:tcPr>
            <w:shd w:val="clear" w:color="auto" w:fill="E6E6E6"/>
            <w:vAlign w:val="center"/>
          </w:tcPr>
          <w:p>
            <w:pPr>
              <w:jc w:val="center"/>
            </w:pPr>
            <w:r>
              <w:t>场地面积(㎡)</w:t>
            </w:r>
          </w:p>
        </w:tc>
        <w:tc>
          <w:tcPr>
            <w:shd w:val="clear" w:color="auto" w:fill="E6E6E6"/>
            <w:vAlign w:val="center"/>
          </w:tcPr>
          <w:p>
            <w:pPr>
              <w:jc w:val="center"/>
            </w:pPr>
            <w:r>
              <w:t>遮阳覆盖率(%)</w:t>
            </w:r>
          </w:p>
        </w:tc>
        <w:tc>
          <w:tcPr>
            <w:shd w:val="clear" w:color="auto" w:fill="E6E6E6"/>
            <w:vAlign w:val="center"/>
          </w:tcPr>
          <w:p>
            <w:pPr>
              <w:jc w:val="center"/>
            </w:pPr>
            <w:r>
              <w:t>覆盖率限值(%)</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游憩场</w:t>
            </w:r>
          </w:p>
        </w:tc>
        <w:tc>
          <w:tcPr>
            <w:vAlign w:val="center"/>
          </w:tcPr>
          <w:p>
            <w:r>
              <w:t>0.0</w:t>
            </w:r>
          </w:p>
        </w:tc>
        <w:tc>
          <w:tcPr>
            <w:vAlign w:val="center"/>
          </w:tcPr>
          <w:p>
            <w:r>
              <w:t>771.7</w:t>
            </w:r>
          </w:p>
        </w:tc>
        <w:tc>
          <w:tcPr>
            <w:vAlign w:val="center"/>
          </w:tcPr>
          <w:p>
            <w:r>
              <w:rPr>
                <w:color w:val="FF0000"/>
              </w:rPr>
              <w:t>0</w:t>
            </w:r>
          </w:p>
        </w:tc>
        <w:tc>
          <w:tcPr>
            <w:vAlign w:val="center"/>
          </w:tcPr>
          <w:p>
            <w:r>
              <w:t>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人行道</w:t>
            </w:r>
          </w:p>
        </w:tc>
        <w:tc>
          <w:tcPr>
            <w:vAlign w:val="center"/>
          </w:tcPr>
          <w:p>
            <w:r>
              <w:t>0.1</w:t>
            </w:r>
          </w:p>
        </w:tc>
        <w:tc>
          <w:tcPr>
            <w:vAlign w:val="center"/>
          </w:tcPr>
          <w:p>
            <w:r>
              <w:t>6130.6</w:t>
            </w:r>
          </w:p>
        </w:tc>
        <w:tc>
          <w:tcPr>
            <w:vAlign w:val="center"/>
          </w:tcPr>
          <w:p>
            <w:r>
              <w:rPr>
                <w:color w:val="FF0000"/>
              </w:rPr>
              <w:t>0</w:t>
            </w:r>
          </w:p>
        </w:tc>
        <w:tc>
          <w:tcPr>
            <w:vAlign w:val="center"/>
          </w:tcPr>
          <w:p>
            <w:r>
              <w:t>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依据</w:t>
            </w:r>
          </w:p>
        </w:tc>
        <w:tc>
          <w:tcPr>
            <w:gridSpan w:val="4"/>
            <w:vAlign w:val="center"/>
          </w:tcPr>
          <w:p>
            <w:r>
              <w:rPr>
                <w:b/>
              </w:rPr>
              <w:t>《城市居住区热环境设计标准》4.2.1条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标准要求</w:t>
            </w:r>
          </w:p>
        </w:tc>
        <w:tc>
          <w:tcPr>
            <w:gridSpan w:val="4"/>
            <w:vAlign w:val="center"/>
          </w:tcPr>
          <w:p>
            <w:r>
              <w:rPr>
                <w:b/>
              </w:rPr>
              <w:t>各类活动场地遮阳覆盖率不得低于标准要求限值</w:t>
            </w:r>
          </w:p>
        </w:tc>
      </w:tr>
      <w:tr>
        <w:tblPrEx>
          <w:tblCellMar>
            <w:top w:w="0" w:type="dxa"/>
            <w:left w:w="108" w:type="dxa"/>
            <w:bottom w:w="0" w:type="dxa"/>
            <w:right w:w="108" w:type="dxa"/>
          </w:tblCellMar>
        </w:tblPrEx>
        <w:tc>
          <w:tcPr>
            <w:shd w:val="clear" w:color="auto" w:fill="E6E6E6"/>
            <w:vAlign w:val="center"/>
          </w:tcPr>
          <w:p>
            <w:r>
              <w:t>结论</w:t>
            </w:r>
          </w:p>
        </w:tc>
        <w:tc>
          <w:tcPr>
            <w:gridSpan w:val="4"/>
            <w:vAlign w:val="center"/>
          </w:tcPr>
          <w:p>
            <w:r>
              <w:rPr>
                <w:b/>
                <w:color w:val="FF0000"/>
              </w:rPr>
              <w:t>不满足</w:t>
            </w:r>
          </w:p>
        </w:tc>
      </w:tr>
    </w:tbl>
    <w:p>
      <w:pPr>
        <w:pStyle w:val="3"/>
        <w:ind w:firstLine="420"/>
        <w:rPr>
          <w:lang w:val="en-US"/>
        </w:rPr>
      </w:pPr>
      <w:bookmarkStart w:id="40" w:name="活动场地遮阳覆盖率"/>
      <w:bookmarkEnd w:id="40"/>
    </w:p>
    <w:p>
      <w:pPr>
        <w:pStyle w:val="4"/>
      </w:pPr>
      <w:bookmarkStart w:id="41" w:name="_Toc31364"/>
      <w:r>
        <w:rPr>
          <w:rFonts w:hint="eastAsia"/>
        </w:rPr>
        <w:t>底层通风架空率</w:t>
      </w:r>
      <w:bookmarkEnd w:id="41"/>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6"/>
        <w:gridCol w:w="1866"/>
        <w:gridCol w:w="1866"/>
        <w:gridCol w:w="1866"/>
        <w:gridCol w:w="186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建筑名称</w:t>
            </w:r>
          </w:p>
        </w:tc>
        <w:tc>
          <w:tcPr>
            <w:shd w:val="clear" w:color="auto" w:fill="E6E6E6"/>
            <w:vAlign w:val="center"/>
          </w:tcPr>
          <w:p>
            <w:pPr>
              <w:jc w:val="center"/>
            </w:pPr>
            <w:r>
              <w:t>底层架空面积(㎡)</w:t>
            </w:r>
          </w:p>
        </w:tc>
        <w:tc>
          <w:tcPr>
            <w:shd w:val="clear" w:color="auto" w:fill="E6E6E6"/>
            <w:vAlign w:val="center"/>
          </w:tcPr>
          <w:p>
            <w:pPr>
              <w:jc w:val="center"/>
            </w:pPr>
            <w:r>
              <w:t>基底面积(㎡)</w:t>
            </w:r>
          </w:p>
        </w:tc>
        <w:tc>
          <w:tcPr>
            <w:shd w:val="clear" w:color="auto" w:fill="E6E6E6"/>
            <w:vAlign w:val="center"/>
          </w:tcPr>
          <w:p>
            <w:pPr>
              <w:jc w:val="center"/>
            </w:pPr>
            <w:r>
              <w:t>迎风面宽度(m)</w:t>
            </w:r>
          </w:p>
        </w:tc>
        <w:tc>
          <w:tcPr>
            <w:shd w:val="clear" w:color="auto" w:fill="E6E6E6"/>
            <w:vAlign w:val="center"/>
          </w:tcPr>
          <w:p>
            <w:pPr>
              <w:jc w:val="center"/>
            </w:pPr>
            <w:r>
              <w:t>底层通风架空率(%)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tc>
        <w:tc>
          <w:tcPr>
            <w:vAlign w:val="center"/>
          </w:tcPr>
          <w:p>
            <w:r>
              <w:t>0.0</w:t>
            </w:r>
          </w:p>
        </w:tc>
        <w:tc>
          <w:tcPr>
            <w:vAlign w:val="center"/>
          </w:tcPr>
          <w:p>
            <w:r>
              <w:t>4635.2</w:t>
            </w:r>
          </w:p>
        </w:tc>
        <w:tc>
          <w:tcPr>
            <w:vAlign w:val="center"/>
          </w:tcPr>
          <w:p>
            <w:r>
              <w:t>183.5</w:t>
            </w:r>
          </w:p>
        </w:tc>
        <w:tc>
          <w:tcPr>
            <w:vAlign w:val="center"/>
          </w:tcPr>
          <w:p>
            <w:r>
              <w:rPr>
                <w:color w:val="FF0000"/>
              </w:rP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w:t>
            </w:r>
          </w:p>
        </w:tc>
        <w:tc>
          <w:tcPr>
            <w:vAlign w:val="center"/>
          </w:tcPr>
          <w:p>
            <w:r>
              <w:t>0.0</w:t>
            </w:r>
          </w:p>
        </w:tc>
        <w:tc>
          <w:tcPr>
            <w:vAlign w:val="center"/>
          </w:tcPr>
          <w:p>
            <w:r>
              <w:t>4181.3</w:t>
            </w:r>
          </w:p>
        </w:tc>
        <w:tc>
          <w:tcPr>
            <w:vAlign w:val="center"/>
          </w:tcPr>
          <w:p>
            <w:r>
              <w:t>0.0</w:t>
            </w:r>
          </w:p>
        </w:tc>
        <w:tc>
          <w:tcPr>
            <w:vAlign w:val="center"/>
          </w:tcPr>
          <w:p>
            <w:r>
              <w:t>0</w:t>
            </w:r>
          </w:p>
        </w:tc>
      </w:tr>
      <w:tr>
        <w:tblPrEx>
          <w:tblCellMar>
            <w:top w:w="0" w:type="dxa"/>
            <w:left w:w="108" w:type="dxa"/>
            <w:bottom w:w="0" w:type="dxa"/>
            <w:right w:w="108" w:type="dxa"/>
          </w:tblCellMar>
        </w:tblPrEx>
        <w:tc>
          <w:tcPr>
            <w:shd w:val="clear" w:color="auto" w:fill="E6E6E6"/>
            <w:vAlign w:val="center"/>
          </w:tcPr>
          <w:p>
            <w:r>
              <w:t>依据</w:t>
            </w:r>
          </w:p>
        </w:tc>
        <w:tc>
          <w:tcPr>
            <w:gridSpan w:val="4"/>
            <w:vAlign w:val="center"/>
          </w:tcPr>
          <w:p>
            <w:r>
              <w:t>《城市居住区热环境设计标准》4.1.4条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标准要求</w:t>
            </w:r>
          </w:p>
        </w:tc>
        <w:tc>
          <w:tcPr>
            <w:gridSpan w:val="4"/>
            <w:vAlign w:val="center"/>
          </w:tcPr>
          <w:p>
            <w:r>
              <w:t>III、IV、V气候区，夏季主导风向迎风面积宽度超过80m时，底层通风架空率不应小于10%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结论</w:t>
            </w:r>
          </w:p>
        </w:tc>
        <w:tc>
          <w:tcPr>
            <w:gridSpan w:val="4"/>
            <w:vAlign w:val="center"/>
          </w:tcPr>
          <w:p>
            <w:r>
              <w:rPr>
                <w:color w:val="FF0000"/>
              </w:rPr>
              <w:t>不满足</w:t>
            </w:r>
          </w:p>
        </w:tc>
      </w:tr>
    </w:tbl>
    <w:p>
      <w:pPr>
        <w:pStyle w:val="3"/>
        <w:ind w:firstLine="420"/>
        <w:rPr>
          <w:lang w:val="en-US"/>
        </w:rPr>
      </w:pPr>
      <w:bookmarkStart w:id="42" w:name="底层通风架空率"/>
      <w:bookmarkEnd w:id="42"/>
    </w:p>
    <w:p>
      <w:pPr>
        <w:pStyle w:val="4"/>
      </w:pPr>
      <w:bookmarkStart w:id="43" w:name="_Toc23688"/>
      <w:r>
        <w:rPr>
          <w:rFonts w:hint="eastAsia"/>
        </w:rPr>
        <w:t>绿化遮阳体叶面积指数</w:t>
      </w:r>
      <w:bookmarkEnd w:id="43"/>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112"/>
        <w:gridCol w:w="3110"/>
        <w:gridCol w:w="311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遮阳体类型</w:t>
            </w:r>
          </w:p>
        </w:tc>
        <w:tc>
          <w:tcPr>
            <w:shd w:val="clear" w:color="auto" w:fill="E6E6E6"/>
            <w:vAlign w:val="center"/>
          </w:tcPr>
          <w:p>
            <w:pPr>
              <w:jc w:val="center"/>
            </w:pPr>
            <w:r>
              <w:t>叶面积指数</w:t>
            </w:r>
          </w:p>
        </w:tc>
        <w:tc>
          <w:tcPr>
            <w:shd w:val="clear" w:color="auto" w:fill="E6E6E6"/>
            <w:vAlign w:val="center"/>
          </w:tcPr>
          <w:p>
            <w:pPr>
              <w:jc w:val="center"/>
            </w:pPr>
            <w:r>
              <w:t>面积(㎡)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乔木</w:t>
            </w:r>
          </w:p>
        </w:tc>
        <w:tc>
          <w:tcPr>
            <w:vAlign w:val="center"/>
          </w:tcPr>
          <w:p>
            <w:r>
              <w:t>LAI&gt;3</w:t>
            </w:r>
          </w:p>
        </w:tc>
        <w:tc>
          <w:tcPr>
            <w:vAlign w:val="center"/>
          </w:tcPr>
          <w:p>
            <w:r>
              <w:t>28127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2.0&lt;LAI&lt;=3.0</w:t>
            </w:r>
          </w:p>
        </w:tc>
        <w:tc>
          <w:tcPr>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1.0&lt;LAI&lt;=2.0</w:t>
            </w:r>
          </w:p>
        </w:tc>
        <w:tc>
          <w:tcPr>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0.5&lt;LAI&lt;=1.0</w:t>
            </w:r>
          </w:p>
        </w:tc>
        <w:tc>
          <w:tcPr>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LAI&lt;=0.5</w:t>
            </w:r>
          </w:p>
        </w:tc>
        <w:tc>
          <w:tcPr>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爬藤棚架</w:t>
            </w:r>
          </w:p>
        </w:tc>
        <w:tc>
          <w:tcPr>
            <w:vAlign w:val="center"/>
          </w:tcPr>
          <w:p>
            <w:r>
              <w:t>LAI&gt;3</w:t>
            </w:r>
          </w:p>
        </w:tc>
        <w:tc>
          <w:tcPr>
            <w:vAlign w:val="center"/>
          </w:tcPr>
          <w:p>
            <w:r>
              <w:t>0</w:t>
            </w:r>
          </w:p>
        </w:tc>
      </w:tr>
      <w:tr>
        <w:tblPrEx>
          <w:tblCellMar>
            <w:top w:w="0" w:type="dxa"/>
            <w:left w:w="108" w:type="dxa"/>
            <w:bottom w:w="0" w:type="dxa"/>
            <w:right w:w="108" w:type="dxa"/>
          </w:tblCellMar>
        </w:tblPrEx>
        <w:tc>
          <w:tcPr>
            <w:vMerge w:val="continue"/>
            <w:shd w:val="clear" w:color="auto" w:fill="E6E6E6"/>
            <w:vAlign w:val="center"/>
          </w:tcPr>
          <w:p/>
        </w:tc>
        <w:tc>
          <w:tcPr>
            <w:vAlign w:val="center"/>
          </w:tcPr>
          <w:p>
            <w:r>
              <w:t>2.0&lt;LAI&lt;=3.0</w:t>
            </w:r>
          </w:p>
        </w:tc>
        <w:tc>
          <w:tcPr>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1.0&lt;LAI&lt;=2.0</w:t>
            </w:r>
          </w:p>
        </w:tc>
        <w:tc>
          <w:tcPr>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0.5&lt;LAI&lt;=1.0</w:t>
            </w:r>
          </w:p>
        </w:tc>
        <w:tc>
          <w:tcPr>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LAI&lt;=0.5</w:t>
            </w:r>
          </w:p>
        </w:tc>
        <w:tc>
          <w:tcPr>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依据</w:t>
            </w:r>
          </w:p>
        </w:tc>
        <w:tc>
          <w:tcPr>
            <w:gridSpan w:val="2"/>
            <w:vAlign w:val="center"/>
          </w:tcPr>
          <w:p>
            <w:r>
              <w:t>《城市居住区热环境设计标准》4.2.3条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标准要求</w:t>
            </w:r>
          </w:p>
        </w:tc>
        <w:tc>
          <w:tcPr>
            <w:gridSpan w:val="2"/>
            <w:vAlign w:val="center"/>
          </w:tcPr>
          <w:p>
            <w:r>
              <w:t>绿化遮阳体叶面积指数不应小于3.0</w:t>
            </w:r>
          </w:p>
        </w:tc>
      </w:tr>
      <w:tr>
        <w:tblPrEx>
          <w:tblCellMar>
            <w:top w:w="0" w:type="dxa"/>
            <w:left w:w="108" w:type="dxa"/>
            <w:bottom w:w="0" w:type="dxa"/>
            <w:right w:w="108" w:type="dxa"/>
          </w:tblCellMar>
        </w:tblPrEx>
        <w:tc>
          <w:tcPr>
            <w:shd w:val="clear" w:color="auto" w:fill="E6E6E6"/>
            <w:vAlign w:val="center"/>
          </w:tcPr>
          <w:p>
            <w:r>
              <w:t>结论</w:t>
            </w:r>
          </w:p>
        </w:tc>
        <w:tc>
          <w:tcPr>
            <w:gridSpan w:val="2"/>
            <w:vAlign w:val="center"/>
          </w:tcPr>
          <w:p>
            <w:r>
              <w:t>满足</w:t>
            </w:r>
          </w:p>
        </w:tc>
      </w:tr>
    </w:tbl>
    <w:p>
      <w:pPr>
        <w:pStyle w:val="3"/>
        <w:ind w:firstLine="420"/>
        <w:rPr>
          <w:lang w:val="en-US"/>
        </w:rPr>
      </w:pPr>
      <w:bookmarkStart w:id="44" w:name="绿化遮阳体叶面积指数"/>
      <w:bookmarkEnd w:id="44"/>
    </w:p>
    <w:p>
      <w:pPr>
        <w:pStyle w:val="4"/>
      </w:pPr>
      <w:bookmarkStart w:id="45" w:name="_Toc11846"/>
      <w:r>
        <w:rPr>
          <w:rFonts w:hint="eastAsia"/>
        </w:rPr>
        <w:t>渗透蒸发指标</w:t>
      </w:r>
      <w:bookmarkEnd w:id="45"/>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6"/>
        <w:gridCol w:w="1866"/>
        <w:gridCol w:w="1866"/>
        <w:gridCol w:w="1866"/>
        <w:gridCol w:w="186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地面</w:t>
            </w:r>
          </w:p>
        </w:tc>
        <w:tc>
          <w:tcPr>
            <w:shd w:val="clear" w:color="auto" w:fill="E6E6E6"/>
            <w:vAlign w:val="center"/>
          </w:tcPr>
          <w:p>
            <w:pPr>
              <w:jc w:val="center"/>
            </w:pPr>
            <w:r>
              <w:t>面积(㎡)</w:t>
            </w:r>
          </w:p>
        </w:tc>
        <w:tc>
          <w:tcPr>
            <w:shd w:val="clear" w:color="auto" w:fill="E6E6E6"/>
            <w:vAlign w:val="center"/>
          </w:tcPr>
          <w:p>
            <w:pPr>
              <w:jc w:val="center"/>
            </w:pPr>
            <w:r>
              <w:t>面积所占比例</w:t>
            </w:r>
          </w:p>
        </w:tc>
        <w:tc>
          <w:tcPr>
            <w:shd w:val="clear" w:color="auto" w:fill="E6E6E6"/>
            <w:vAlign w:val="center"/>
          </w:tcPr>
          <w:p>
            <w:pPr>
              <w:jc w:val="center"/>
            </w:pPr>
            <w:r>
              <w:t>地面透水系数k(mm/s)</w:t>
            </w:r>
          </w:p>
        </w:tc>
        <w:tc>
          <w:tcPr>
            <w:shd w:val="clear" w:color="auto" w:fill="E6E6E6"/>
            <w:vAlign w:val="center"/>
          </w:tcPr>
          <w:p>
            <w:pPr>
              <w:jc w:val="center"/>
            </w:pPr>
            <w:r>
              <w:t>蒸发量m</w:t>
            </w:r>
            <w:r>
              <w:br w:type="textWrapping"/>
            </w:r>
            <w:r>
              <w:t>(kg/(㎡·d))</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游憩场</w:t>
            </w:r>
          </w:p>
        </w:tc>
        <w:tc>
          <w:tcPr>
            <w:vAlign w:val="center"/>
          </w:tcPr>
          <w:p>
            <w:r>
              <w:t>772</w:t>
            </w:r>
          </w:p>
        </w:tc>
        <w:tc>
          <w:tcPr>
            <w:vAlign w:val="center"/>
          </w:tcPr>
          <w:p>
            <w:r>
              <w:t>0.112</w:t>
            </w:r>
          </w:p>
        </w:tc>
        <w:tc>
          <w:tcPr>
            <w:vAlign w:val="center"/>
          </w:tcPr>
          <w:p>
            <w:r>
              <w:t>4.40</w:t>
            </w:r>
          </w:p>
        </w:tc>
        <w:tc>
          <w:tcPr>
            <w:vAlign w:val="center"/>
          </w:tcPr>
          <w:p>
            <w:r>
              <w:t>1.69</w:t>
            </w:r>
          </w:p>
        </w:tc>
      </w:tr>
      <w:tr>
        <w:tblPrEx>
          <w:tblCellMar>
            <w:top w:w="0" w:type="dxa"/>
            <w:left w:w="108" w:type="dxa"/>
            <w:bottom w:w="0" w:type="dxa"/>
            <w:right w:w="108" w:type="dxa"/>
          </w:tblCellMar>
        </w:tblPrEx>
        <w:tc>
          <w:tcPr>
            <w:shd w:val="clear" w:color="auto" w:fill="E6E6E6"/>
            <w:vAlign w:val="center"/>
          </w:tcPr>
          <w:p>
            <w:r>
              <w:t>人行道</w:t>
            </w:r>
          </w:p>
        </w:tc>
        <w:tc>
          <w:tcPr>
            <w:vAlign w:val="center"/>
          </w:tcPr>
          <w:p>
            <w:r>
              <w:t>6131</w:t>
            </w:r>
          </w:p>
        </w:tc>
        <w:tc>
          <w:tcPr>
            <w:vAlign w:val="center"/>
          </w:tcPr>
          <w:p>
            <w:r>
              <w:t>0.888</w:t>
            </w:r>
          </w:p>
        </w:tc>
        <w:tc>
          <w:tcPr>
            <w:vAlign w:val="center"/>
          </w:tcPr>
          <w:p>
            <w:r>
              <w:t>3.80</w:t>
            </w:r>
          </w:p>
        </w:tc>
        <w:tc>
          <w:tcPr>
            <w:vAlign w:val="center"/>
          </w:tcPr>
          <w:p>
            <w:r>
              <w:t>1.69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合计</w:t>
            </w:r>
          </w:p>
        </w:tc>
        <w:tc>
          <w:tcPr>
            <w:vAlign w:val="center"/>
          </w:tcPr>
          <w:p>
            <w:r>
              <w:t>6902</w:t>
            </w:r>
          </w:p>
        </w:tc>
        <w:tc>
          <w:tcPr>
            <w:vAlign w:val="center"/>
          </w:tcPr>
          <w:p>
            <w:r>
              <w:t>1.0</w:t>
            </w:r>
          </w:p>
        </w:tc>
        <w:tc>
          <w:tcPr>
            <w:vAlign w:val="center"/>
          </w:tcPr>
          <w:p>
            <w:r>
              <w:t>3.87</w:t>
            </w:r>
          </w:p>
        </w:tc>
        <w:tc>
          <w:tcPr>
            <w:vAlign w:val="center"/>
          </w:tcPr>
          <w:p>
            <w:r>
              <w:t>1.69</w:t>
            </w:r>
          </w:p>
        </w:tc>
      </w:tr>
    </w:tbl>
    <w:p>
      <w:pPr>
        <w:pStyle w:val="3"/>
        <w:ind w:firstLine="420"/>
        <w:rPr>
          <w:lang w:val="en-US"/>
        </w:rPr>
      </w:pPr>
      <w:bookmarkStart w:id="46" w:name="渗透蒸发指标"/>
      <w:bookmarkEnd w:id="46"/>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112"/>
        <w:gridCol w:w="3110"/>
        <w:gridCol w:w="311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地面</w:t>
            </w:r>
          </w:p>
        </w:tc>
        <w:tc>
          <w:tcPr>
            <w:shd w:val="clear" w:color="auto" w:fill="E6E6E6"/>
            <w:vAlign w:val="center"/>
          </w:tcPr>
          <w:p>
            <w:pPr>
              <w:jc w:val="center"/>
            </w:pPr>
            <w:r>
              <w:t>渗透面积比率(%)</w:t>
            </w:r>
          </w:p>
        </w:tc>
        <w:tc>
          <w:tcPr>
            <w:shd w:val="clear" w:color="auto" w:fill="E6E6E6"/>
            <w:vAlign w:val="center"/>
          </w:tcPr>
          <w:p>
            <w:pPr>
              <w:jc w:val="center"/>
            </w:pPr>
            <w:r>
              <w:t>限值(%)</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游憩场</w:t>
            </w:r>
          </w:p>
        </w:tc>
        <w:tc>
          <w:tcPr>
            <w:vAlign w:val="center"/>
          </w:tcPr>
          <w:p>
            <w:r>
              <w:t>100</w:t>
            </w:r>
          </w:p>
        </w:tc>
        <w:tc>
          <w:tcPr>
            <w:vAlign w:val="center"/>
          </w:tcPr>
          <w:p>
            <w:r>
              <w: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人行道</w:t>
            </w:r>
          </w:p>
        </w:tc>
        <w:tc>
          <w:tcPr>
            <w:vAlign w:val="center"/>
          </w:tcPr>
          <w:p>
            <w:r>
              <w:t>100</w:t>
            </w:r>
          </w:p>
        </w:tc>
        <w:tc>
          <w:tcPr>
            <w:vAlign w:val="center"/>
          </w:tcPr>
          <w:p>
            <w:r>
              <w: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3"/>
            <w:shd w:val="clear" w:color="auto" w:fill="E6E6E6"/>
            <w:vAlign w:val="center"/>
          </w:tcPr>
          <w:p>
            <w:pPr>
              <w:jc w:val="center"/>
            </w:pPr>
            <w:r>
              <w:t>渗透与蒸发指标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指标</w:t>
            </w:r>
          </w:p>
        </w:tc>
        <w:tc>
          <w:tcPr>
            <w:shd w:val="clear" w:color="auto" w:fill="E6E6E6"/>
            <w:vAlign w:val="center"/>
          </w:tcPr>
          <w:p>
            <w:pPr>
              <w:jc w:val="center"/>
            </w:pPr>
            <w:r>
              <w:t>值</w:t>
            </w:r>
          </w:p>
        </w:tc>
        <w:tc>
          <w:tcPr>
            <w:shd w:val="clear" w:color="auto" w:fill="E6E6E6"/>
            <w:vAlign w:val="center"/>
          </w:tcPr>
          <w:p>
            <w:pPr>
              <w:jc w:val="center"/>
            </w:pPr>
            <w:r>
              <w:t>限值</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地面透水系数k(mm/s)</w:t>
            </w:r>
          </w:p>
        </w:tc>
        <w:tc>
          <w:tcPr>
            <w:vAlign w:val="center"/>
          </w:tcPr>
          <w:p>
            <w:r>
              <w:t>3.87</w:t>
            </w:r>
          </w:p>
        </w:tc>
        <w:tc>
          <w:tcPr>
            <w:vAlign w:val="center"/>
          </w:tcPr>
          <w:p>
            <w:r>
              <w:t>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蒸发量m(kg/(㎡·d))</w:t>
            </w:r>
          </w:p>
        </w:tc>
        <w:tc>
          <w:tcPr>
            <w:vAlign w:val="center"/>
          </w:tcPr>
          <w:p>
            <w:r>
              <w:t>1.69</w:t>
            </w:r>
          </w:p>
        </w:tc>
        <w:tc>
          <w:tcPr>
            <w:vAlign w:val="center"/>
          </w:tcPr>
          <w:p>
            <w:r>
              <w:t>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依据</w:t>
            </w:r>
          </w:p>
        </w:tc>
        <w:tc>
          <w:tcPr>
            <w:gridSpan w:val="2"/>
            <w:vAlign w:val="center"/>
          </w:tcPr>
          <w:p>
            <w:r>
              <w:t>《城市居住区热环境设计标准》4.3.1条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标准要求</w:t>
            </w:r>
          </w:p>
        </w:tc>
        <w:tc>
          <w:tcPr>
            <w:gridSpan w:val="2"/>
            <w:vAlign w:val="center"/>
          </w:tcPr>
          <w:p>
            <w:r>
              <w:t>渗透面积比率、透水系数及蒸发量不应低于标准规定限值</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结论</w:t>
            </w:r>
          </w:p>
        </w:tc>
        <w:tc>
          <w:tcPr>
            <w:gridSpan w:val="2"/>
            <w:vAlign w:val="center"/>
          </w:tcPr>
          <w:p>
            <w:r>
              <w:t>满足</w:t>
            </w:r>
          </w:p>
        </w:tc>
      </w:tr>
    </w:tbl>
    <w:p>
      <w:pPr>
        <w:pStyle w:val="3"/>
        <w:ind w:firstLine="420"/>
        <w:rPr>
          <w:lang w:val="en-US"/>
        </w:rPr>
      </w:pPr>
    </w:p>
    <w:p>
      <w:pPr>
        <w:pStyle w:val="4"/>
      </w:pPr>
      <w:bookmarkStart w:id="47" w:name="_Toc22433"/>
      <w:r>
        <w:rPr>
          <w:rFonts w:hint="eastAsia"/>
        </w:rPr>
        <w:t>屋面绿化率</w:t>
      </w:r>
      <w:bookmarkEnd w:id="47"/>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6"/>
        <w:gridCol w:w="1866"/>
        <w:gridCol w:w="1866"/>
        <w:gridCol w:w="1866"/>
        <w:gridCol w:w="186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建筑名称</w:t>
            </w:r>
          </w:p>
        </w:tc>
        <w:tc>
          <w:tcPr>
            <w:shd w:val="clear" w:color="auto" w:fill="E6E6E6"/>
            <w:vAlign w:val="center"/>
          </w:tcPr>
          <w:p>
            <w:pPr>
              <w:jc w:val="center"/>
            </w:pPr>
            <w:r>
              <w:t>屋面轮廓面积(㎡)</w:t>
            </w:r>
          </w:p>
        </w:tc>
        <w:tc>
          <w:tcPr>
            <w:shd w:val="clear" w:color="auto" w:fill="E6E6E6"/>
            <w:vAlign w:val="center"/>
          </w:tcPr>
          <w:p>
            <w:pPr>
              <w:jc w:val="center"/>
            </w:pPr>
            <w:r>
              <w:t>屋顶绿化面积(㎡)</w:t>
            </w:r>
          </w:p>
        </w:tc>
        <w:tc>
          <w:tcPr>
            <w:shd w:val="clear" w:color="auto" w:fill="E6E6E6"/>
            <w:vAlign w:val="center"/>
          </w:tcPr>
          <w:p>
            <w:pPr>
              <w:jc w:val="center"/>
            </w:pPr>
            <w:r>
              <w:t>可绿化屋面</w:t>
            </w:r>
            <w:r>
              <w:br w:type="textWrapping"/>
            </w:r>
            <w:r>
              <w:t>面积(㎡)</w:t>
            </w:r>
          </w:p>
        </w:tc>
        <w:tc>
          <w:tcPr>
            <w:shd w:val="clear" w:color="auto" w:fill="E6E6E6"/>
            <w:vAlign w:val="center"/>
          </w:tcPr>
          <w:p>
            <w:pPr>
              <w:jc w:val="center"/>
            </w:pPr>
            <w:r>
              <w:t>屋面绿化率(%)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tc>
        <w:tc>
          <w:tcPr>
            <w:vAlign w:val="center"/>
          </w:tcPr>
          <w:p>
            <w:r>
              <w:t>4635.2</w:t>
            </w:r>
          </w:p>
        </w:tc>
        <w:tc>
          <w:tcPr>
            <w:vAlign w:val="center"/>
          </w:tcPr>
          <w:p>
            <w:r>
              <w:t>0.0</w:t>
            </w:r>
          </w:p>
        </w:tc>
        <w:tc>
          <w:tcPr>
            <w:vAlign w:val="center"/>
          </w:tcPr>
          <w:p>
            <w:r>
              <w:t>4635.2</w:t>
            </w:r>
          </w:p>
        </w:tc>
        <w:tc>
          <w:tcPr>
            <w:vAlign w:val="center"/>
          </w:tcPr>
          <w:p>
            <w:r>
              <w:rPr>
                <w:color w:val="FF0000"/>
              </w:rP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w:t>
            </w:r>
          </w:p>
        </w:tc>
        <w:tc>
          <w:tcPr>
            <w:vAlign w:val="center"/>
          </w:tcPr>
          <w:p>
            <w:r>
              <w:t>4181.3</w:t>
            </w:r>
          </w:p>
        </w:tc>
        <w:tc>
          <w:tcPr>
            <w:vAlign w:val="center"/>
          </w:tcPr>
          <w:p>
            <w:r>
              <w:t>4066.3</w:t>
            </w:r>
          </w:p>
        </w:tc>
        <w:tc>
          <w:tcPr>
            <w:vAlign w:val="center"/>
          </w:tcPr>
          <w:p>
            <w:r>
              <w:t>4181.3</w:t>
            </w:r>
          </w:p>
        </w:tc>
        <w:tc>
          <w:tcPr>
            <w:vAlign w:val="center"/>
          </w:tcPr>
          <w:p>
            <w:r>
              <w:t>97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合计</w:t>
            </w:r>
          </w:p>
        </w:tc>
        <w:tc>
          <w:tcPr>
            <w:vAlign w:val="center"/>
          </w:tcPr>
          <w:p>
            <w:r>
              <w:t>8816.4</w:t>
            </w:r>
          </w:p>
        </w:tc>
        <w:tc>
          <w:tcPr>
            <w:vAlign w:val="center"/>
          </w:tcPr>
          <w:p>
            <w:r>
              <w:t>4066.3</w:t>
            </w:r>
          </w:p>
        </w:tc>
        <w:tc>
          <w:tcPr>
            <w:vAlign w:val="center"/>
          </w:tcPr>
          <w:p>
            <w:r>
              <w:t>8816.4</w:t>
            </w:r>
          </w:p>
        </w:tc>
        <w:tc>
          <w:tcPr>
            <w:vAlign w:val="center"/>
          </w:tcPr>
          <w:p>
            <w:r>
              <w:rPr>
                <w:color w:val="FF0000"/>
              </w:rPr>
              <w:t>46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依据</w:t>
            </w:r>
          </w:p>
        </w:tc>
        <w:tc>
          <w:tcPr>
            <w:gridSpan w:val="4"/>
            <w:vAlign w:val="center"/>
          </w:tcPr>
          <w:p>
            <w:r>
              <w:t>《城市居住区热环境设计标准》4.4.2条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标准要求</w:t>
            </w:r>
          </w:p>
        </w:tc>
        <w:tc>
          <w:tcPr>
            <w:gridSpan w:val="4"/>
            <w:vAlign w:val="center"/>
          </w:tcPr>
          <w:p>
            <w:r>
              <w:t>建筑屋面的绿化面积不应低于可绿化屋面面积的50%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结论</w:t>
            </w:r>
          </w:p>
        </w:tc>
        <w:tc>
          <w:tcPr>
            <w:gridSpan w:val="4"/>
            <w:vAlign w:val="center"/>
          </w:tcPr>
          <w:p>
            <w:r>
              <w:rPr>
                <w:color w:val="FF0000"/>
              </w:rPr>
              <w:t>不满足</w:t>
            </w:r>
          </w:p>
        </w:tc>
      </w:tr>
    </w:tbl>
    <w:p>
      <w:pPr>
        <w:pStyle w:val="3"/>
        <w:ind w:firstLine="420"/>
        <w:rPr>
          <w:lang w:val="en-US"/>
        </w:rPr>
      </w:pPr>
      <w:bookmarkStart w:id="48" w:name="屋面绿化率"/>
      <w:bookmarkEnd w:id="48"/>
    </w:p>
    <w:p>
      <w:pPr>
        <w:pStyle w:val="2"/>
      </w:pPr>
      <w:bookmarkStart w:id="49" w:name="_Toc11774"/>
      <w:r>
        <w:rPr>
          <w:rFonts w:hint="eastAsia"/>
        </w:rPr>
        <w:t>评价性设计</w:t>
      </w:r>
      <w:bookmarkEnd w:id="49"/>
    </w:p>
    <w:p>
      <w:pPr>
        <w:pStyle w:val="4"/>
      </w:pPr>
      <w:bookmarkStart w:id="50" w:name="_Toc26891"/>
      <w:r>
        <w:rPr>
          <w:rFonts w:hint="eastAsia"/>
        </w:rPr>
        <w:t>平均热岛强度</w:t>
      </w:r>
      <w:bookmarkEnd w:id="50"/>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66"/>
        <w:gridCol w:w="1166"/>
        <w:gridCol w:w="1166"/>
        <w:gridCol w:w="1166"/>
        <w:gridCol w:w="1166"/>
        <w:gridCol w:w="1166"/>
        <w:gridCol w:w="1166"/>
        <w:gridCol w:w="116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时刻</w:t>
            </w:r>
          </w:p>
        </w:tc>
        <w:tc>
          <w:tcPr>
            <w:shd w:val="clear" w:color="auto" w:fill="E6E6E6"/>
            <w:vAlign w:val="center"/>
          </w:tcPr>
          <w:p>
            <w:pPr>
              <w:jc w:val="center"/>
            </w:pPr>
            <w:r>
              <w:t>平均温</w:t>
            </w:r>
            <w:r>
              <w:br w:type="textWrapping"/>
            </w:r>
            <w:r>
              <w:t>度(℃)</w:t>
            </w:r>
          </w:p>
        </w:tc>
        <w:tc>
          <w:tcPr>
            <w:shd w:val="clear" w:color="auto" w:fill="E6E6E6"/>
            <w:vAlign w:val="center"/>
          </w:tcPr>
          <w:p>
            <w:pPr>
              <w:jc w:val="center"/>
            </w:pPr>
            <w:r>
              <w:t>太阳辐</w:t>
            </w:r>
            <w:r>
              <w:br w:type="textWrapping"/>
            </w:r>
            <w:r>
              <w:t>射升温</w:t>
            </w:r>
            <w:r>
              <w:br w:type="textWrapping"/>
            </w:r>
            <w:r>
              <w:t>(℃)</w:t>
            </w:r>
          </w:p>
        </w:tc>
        <w:tc>
          <w:tcPr>
            <w:shd w:val="clear" w:color="auto" w:fill="E6E6E6"/>
            <w:vAlign w:val="center"/>
          </w:tcPr>
          <w:p>
            <w:pPr>
              <w:jc w:val="center"/>
            </w:pPr>
            <w:r>
              <w:t>长波辐</w:t>
            </w:r>
            <w:r>
              <w:br w:type="textWrapping"/>
            </w:r>
            <w:r>
              <w:t>射降温</w:t>
            </w:r>
            <w:r>
              <w:br w:type="textWrapping"/>
            </w:r>
            <w:r>
              <w:t>(℃)</w:t>
            </w:r>
          </w:p>
        </w:tc>
        <w:tc>
          <w:tcPr>
            <w:shd w:val="clear" w:color="auto" w:fill="E6E6E6"/>
            <w:vAlign w:val="center"/>
          </w:tcPr>
          <w:p>
            <w:pPr>
              <w:jc w:val="center"/>
            </w:pPr>
            <w:r>
              <w:t>蒸发换</w:t>
            </w:r>
            <w:r>
              <w:br w:type="textWrapping"/>
            </w:r>
            <w:r>
              <w:t>热降温</w:t>
            </w:r>
            <w:r>
              <w:br w:type="textWrapping"/>
            </w:r>
            <w:r>
              <w:t>(℃)</w:t>
            </w:r>
          </w:p>
        </w:tc>
        <w:tc>
          <w:tcPr>
            <w:shd w:val="clear" w:color="auto" w:fill="E6E6E6"/>
            <w:vAlign w:val="center"/>
          </w:tcPr>
          <w:p>
            <w:pPr>
              <w:jc w:val="center"/>
            </w:pPr>
            <w:r>
              <w:t>居住区</w:t>
            </w:r>
            <w:r>
              <w:br w:type="textWrapping"/>
            </w:r>
            <w:r>
              <w:t>温度</w:t>
            </w:r>
            <w:r>
              <w:br w:type="textWrapping"/>
            </w:r>
            <w:r>
              <w:t>(℃)</w:t>
            </w:r>
          </w:p>
        </w:tc>
        <w:tc>
          <w:tcPr>
            <w:shd w:val="clear" w:color="auto" w:fill="E6E6E6"/>
            <w:vAlign w:val="center"/>
          </w:tcPr>
          <w:p>
            <w:pPr>
              <w:jc w:val="center"/>
            </w:pPr>
            <w:r>
              <w:t>典型气象</w:t>
            </w:r>
            <w:r>
              <w:br w:type="textWrapping"/>
            </w:r>
            <w:r>
              <w:t>温度(℃)</w:t>
            </w:r>
          </w:p>
        </w:tc>
        <w:tc>
          <w:tcPr>
            <w:shd w:val="clear" w:color="auto" w:fill="E6E6E6"/>
            <w:vAlign w:val="center"/>
          </w:tcPr>
          <w:p>
            <w:pPr>
              <w:jc w:val="center"/>
            </w:pPr>
            <w:r>
              <w:t>温差(℃)</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8:00</w:t>
            </w:r>
          </w:p>
        </w:tc>
        <w:tc>
          <w:tcPr>
            <w:vAlign w:val="center"/>
          </w:tcPr>
          <w:p>
            <w:r>
              <w:t>31.3</w:t>
            </w:r>
          </w:p>
        </w:tc>
        <w:tc>
          <w:tcPr>
            <w:vAlign w:val="center"/>
          </w:tcPr>
          <w:p>
            <w:r>
              <w:t>1.9</w:t>
            </w:r>
          </w:p>
        </w:tc>
        <w:tc>
          <w:tcPr>
            <w:vAlign w:val="center"/>
          </w:tcPr>
          <w:p>
            <w:r>
              <w:t>3.8</w:t>
            </w:r>
          </w:p>
        </w:tc>
        <w:tc>
          <w:tcPr>
            <w:vAlign w:val="center"/>
          </w:tcPr>
          <w:p>
            <w:r>
              <w:t>0.4</w:t>
            </w:r>
          </w:p>
        </w:tc>
        <w:tc>
          <w:tcPr>
            <w:vAlign w:val="center"/>
          </w:tcPr>
          <w:p>
            <w:r>
              <w:t>28.9</w:t>
            </w:r>
          </w:p>
        </w:tc>
        <w:tc>
          <w:tcPr>
            <w:vAlign w:val="center"/>
          </w:tcPr>
          <w:p>
            <w:r>
              <w:t>31.3</w:t>
            </w:r>
          </w:p>
        </w:tc>
        <w:tc>
          <w:tcPr>
            <w:vAlign w:val="center"/>
          </w:tcPr>
          <w:p>
            <w:r>
              <w:t>-2.407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9:00</w:t>
            </w:r>
          </w:p>
        </w:tc>
        <w:tc>
          <w:tcPr>
            <w:vAlign w:val="center"/>
          </w:tcPr>
          <w:p>
            <w:r>
              <w:t>31.3</w:t>
            </w:r>
          </w:p>
        </w:tc>
        <w:tc>
          <w:tcPr>
            <w:vAlign w:val="center"/>
          </w:tcPr>
          <w:p>
            <w:r>
              <w:t>3.1</w:t>
            </w:r>
          </w:p>
        </w:tc>
        <w:tc>
          <w:tcPr>
            <w:vAlign w:val="center"/>
          </w:tcPr>
          <w:p>
            <w:r>
              <w:t>3.6</w:t>
            </w:r>
          </w:p>
        </w:tc>
        <w:tc>
          <w:tcPr>
            <w:vAlign w:val="center"/>
          </w:tcPr>
          <w:p>
            <w:r>
              <w:t>0.5</w:t>
            </w:r>
          </w:p>
        </w:tc>
        <w:tc>
          <w:tcPr>
            <w:vAlign w:val="center"/>
          </w:tcPr>
          <w:p>
            <w:r>
              <w:t>30.2</w:t>
            </w:r>
          </w:p>
        </w:tc>
        <w:tc>
          <w:tcPr>
            <w:vAlign w:val="center"/>
          </w:tcPr>
          <w:p>
            <w:r>
              <w:t>32.2</w:t>
            </w:r>
          </w:p>
        </w:tc>
        <w:tc>
          <w:tcPr>
            <w:vAlign w:val="center"/>
          </w:tcPr>
          <w:p>
            <w:r>
              <w:t>-1.951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10:00</w:t>
            </w:r>
          </w:p>
        </w:tc>
        <w:tc>
          <w:tcPr>
            <w:vAlign w:val="center"/>
          </w:tcPr>
          <w:p>
            <w:r>
              <w:t>31.3</w:t>
            </w:r>
          </w:p>
        </w:tc>
        <w:tc>
          <w:tcPr>
            <w:vAlign w:val="center"/>
          </w:tcPr>
          <w:p>
            <w:r>
              <w:t>4.4</w:t>
            </w:r>
          </w:p>
        </w:tc>
        <w:tc>
          <w:tcPr>
            <w:vAlign w:val="center"/>
          </w:tcPr>
          <w:p>
            <w:r>
              <w:t>3.5</w:t>
            </w:r>
          </w:p>
        </w:tc>
        <w:tc>
          <w:tcPr>
            <w:vAlign w:val="center"/>
          </w:tcPr>
          <w:p>
            <w:r>
              <w:t>0.5</w:t>
            </w:r>
          </w:p>
        </w:tc>
        <w:tc>
          <w:tcPr>
            <w:vAlign w:val="center"/>
          </w:tcPr>
          <w:p>
            <w:r>
              <w:t>31.7</w:t>
            </w:r>
          </w:p>
        </w:tc>
        <w:tc>
          <w:tcPr>
            <w:vAlign w:val="center"/>
          </w:tcPr>
          <w:p>
            <w:r>
              <w:t>33.1</w:t>
            </w:r>
          </w:p>
        </w:tc>
        <w:tc>
          <w:tcPr>
            <w:vAlign w:val="center"/>
          </w:tcPr>
          <w:p>
            <w:r>
              <w:t>-1.376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11:00</w:t>
            </w:r>
          </w:p>
        </w:tc>
        <w:tc>
          <w:tcPr>
            <w:vAlign w:val="center"/>
          </w:tcPr>
          <w:p>
            <w:r>
              <w:t>31.3</w:t>
            </w:r>
          </w:p>
        </w:tc>
        <w:tc>
          <w:tcPr>
            <w:vAlign w:val="center"/>
          </w:tcPr>
          <w:p>
            <w:r>
              <w:t>5.9</w:t>
            </w:r>
          </w:p>
        </w:tc>
        <w:tc>
          <w:tcPr>
            <w:vAlign w:val="center"/>
          </w:tcPr>
          <w:p>
            <w:r>
              <w:t>3.2</w:t>
            </w:r>
          </w:p>
        </w:tc>
        <w:tc>
          <w:tcPr>
            <w:vAlign w:val="center"/>
          </w:tcPr>
          <w:p>
            <w:r>
              <w:t>0.5</w:t>
            </w:r>
          </w:p>
        </w:tc>
        <w:tc>
          <w:tcPr>
            <w:vAlign w:val="center"/>
          </w:tcPr>
          <w:p>
            <w:r>
              <w:t>33.4</w:t>
            </w:r>
          </w:p>
        </w:tc>
        <w:tc>
          <w:tcPr>
            <w:vAlign w:val="center"/>
          </w:tcPr>
          <w:p>
            <w:r>
              <w:t>33.9</w:t>
            </w:r>
          </w:p>
        </w:tc>
        <w:tc>
          <w:tcPr>
            <w:vAlign w:val="center"/>
          </w:tcPr>
          <w:p>
            <w:r>
              <w:t>-0.516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12:00</w:t>
            </w:r>
          </w:p>
        </w:tc>
        <w:tc>
          <w:tcPr>
            <w:vAlign w:val="center"/>
          </w:tcPr>
          <w:p>
            <w:r>
              <w:t>31.3</w:t>
            </w:r>
          </w:p>
        </w:tc>
        <w:tc>
          <w:tcPr>
            <w:vAlign w:val="center"/>
          </w:tcPr>
          <w:p>
            <w:r>
              <w:t>7.2</w:t>
            </w:r>
          </w:p>
        </w:tc>
        <w:tc>
          <w:tcPr>
            <w:vAlign w:val="center"/>
          </w:tcPr>
          <w:p>
            <w:r>
              <w:t>3.1</w:t>
            </w:r>
          </w:p>
        </w:tc>
        <w:tc>
          <w:tcPr>
            <w:vAlign w:val="center"/>
          </w:tcPr>
          <w:p>
            <w:r>
              <w:t>0.5</w:t>
            </w:r>
          </w:p>
        </w:tc>
        <w:tc>
          <w:tcPr>
            <w:vAlign w:val="center"/>
          </w:tcPr>
          <w:p>
            <w:r>
              <w:t>34.9</w:t>
            </w:r>
          </w:p>
        </w:tc>
        <w:tc>
          <w:tcPr>
            <w:vAlign w:val="center"/>
          </w:tcPr>
          <w:p>
            <w:r>
              <w:t>34.5</w:t>
            </w:r>
          </w:p>
        </w:tc>
        <w:tc>
          <w:tcPr>
            <w:vAlign w:val="center"/>
          </w:tcPr>
          <w:p>
            <w:r>
              <w:t>0.397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13:00</w:t>
            </w:r>
          </w:p>
        </w:tc>
        <w:tc>
          <w:tcPr>
            <w:vAlign w:val="center"/>
          </w:tcPr>
          <w:p>
            <w:r>
              <w:t>31.3</w:t>
            </w:r>
          </w:p>
        </w:tc>
        <w:tc>
          <w:tcPr>
            <w:vAlign w:val="center"/>
          </w:tcPr>
          <w:p>
            <w:r>
              <w:t>8.4</w:t>
            </w:r>
          </w:p>
        </w:tc>
        <w:tc>
          <w:tcPr>
            <w:vAlign w:val="center"/>
          </w:tcPr>
          <w:p>
            <w:r>
              <w:t>3.0</w:t>
            </w:r>
          </w:p>
        </w:tc>
        <w:tc>
          <w:tcPr>
            <w:vAlign w:val="center"/>
          </w:tcPr>
          <w:p>
            <w:r>
              <w:t>0.4</w:t>
            </w:r>
          </w:p>
        </w:tc>
        <w:tc>
          <w:tcPr>
            <w:vAlign w:val="center"/>
          </w:tcPr>
          <w:p>
            <w:r>
              <w:t>36.3</w:t>
            </w:r>
          </w:p>
        </w:tc>
        <w:tc>
          <w:tcPr>
            <w:vAlign w:val="center"/>
          </w:tcPr>
          <w:p>
            <w:r>
              <w:t>34.8</w:t>
            </w:r>
          </w:p>
        </w:tc>
        <w:tc>
          <w:tcPr>
            <w:vAlign w:val="center"/>
          </w:tcPr>
          <w:p>
            <w:r>
              <w:t>1.472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14:00</w:t>
            </w:r>
          </w:p>
        </w:tc>
        <w:tc>
          <w:tcPr>
            <w:vAlign w:val="center"/>
          </w:tcPr>
          <w:p>
            <w:r>
              <w:t>31.3</w:t>
            </w:r>
          </w:p>
        </w:tc>
        <w:tc>
          <w:tcPr>
            <w:vAlign w:val="center"/>
          </w:tcPr>
          <w:p>
            <w:r>
              <w:t>9.2</w:t>
            </w:r>
          </w:p>
        </w:tc>
        <w:tc>
          <w:tcPr>
            <w:vAlign w:val="center"/>
          </w:tcPr>
          <w:p>
            <w:r>
              <w:t>3.1</w:t>
            </w:r>
          </w:p>
        </w:tc>
        <w:tc>
          <w:tcPr>
            <w:vAlign w:val="center"/>
          </w:tcPr>
          <w:p>
            <w:r>
              <w:t>0.4</w:t>
            </w:r>
          </w:p>
        </w:tc>
        <w:tc>
          <w:tcPr>
            <w:vAlign w:val="center"/>
          </w:tcPr>
          <w:p>
            <w:r>
              <w:t>37.1</w:t>
            </w:r>
          </w:p>
        </w:tc>
        <w:tc>
          <w:tcPr>
            <w:vAlign w:val="center"/>
          </w:tcPr>
          <w:p>
            <w:r>
              <w:t>34.7</w:t>
            </w:r>
          </w:p>
        </w:tc>
        <w:tc>
          <w:tcPr>
            <w:vAlign w:val="center"/>
          </w:tcPr>
          <w:p>
            <w:r>
              <w:t>2.367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15:00</w:t>
            </w:r>
          </w:p>
        </w:tc>
        <w:tc>
          <w:tcPr>
            <w:vAlign w:val="center"/>
          </w:tcPr>
          <w:p>
            <w:r>
              <w:t>31.3</w:t>
            </w:r>
          </w:p>
        </w:tc>
        <w:tc>
          <w:tcPr>
            <w:vAlign w:val="center"/>
          </w:tcPr>
          <w:p>
            <w:r>
              <w:t>9.8</w:t>
            </w:r>
          </w:p>
        </w:tc>
        <w:tc>
          <w:tcPr>
            <w:vAlign w:val="center"/>
          </w:tcPr>
          <w:p>
            <w:r>
              <w:t>3.2</w:t>
            </w:r>
          </w:p>
        </w:tc>
        <w:tc>
          <w:tcPr>
            <w:vAlign w:val="center"/>
          </w:tcPr>
          <w:p>
            <w:r>
              <w:t>0.3</w:t>
            </w:r>
          </w:p>
        </w:tc>
        <w:tc>
          <w:tcPr>
            <w:vAlign w:val="center"/>
          </w:tcPr>
          <w:p>
            <w:r>
              <w:t>37.6</w:t>
            </w:r>
          </w:p>
        </w:tc>
        <w:tc>
          <w:tcPr>
            <w:vAlign w:val="center"/>
          </w:tcPr>
          <w:p>
            <w:r>
              <w:t>34.2</w:t>
            </w:r>
          </w:p>
        </w:tc>
        <w:tc>
          <w:tcPr>
            <w:vAlign w:val="center"/>
          </w:tcPr>
          <w:p>
            <w:r>
              <w:t>3.384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16:00</w:t>
            </w:r>
          </w:p>
        </w:tc>
        <w:tc>
          <w:tcPr>
            <w:vAlign w:val="center"/>
          </w:tcPr>
          <w:p>
            <w:r>
              <w:t>31.3</w:t>
            </w:r>
          </w:p>
        </w:tc>
        <w:tc>
          <w:tcPr>
            <w:vAlign w:val="center"/>
          </w:tcPr>
          <w:p>
            <w:r>
              <w:t>10.0</w:t>
            </w:r>
          </w:p>
        </w:tc>
        <w:tc>
          <w:tcPr>
            <w:vAlign w:val="center"/>
          </w:tcPr>
          <w:p>
            <w:r>
              <w:t>3.3</w:t>
            </w:r>
          </w:p>
        </w:tc>
        <w:tc>
          <w:tcPr>
            <w:vAlign w:val="center"/>
          </w:tcPr>
          <w:p>
            <w:r>
              <w:t>0.2</w:t>
            </w:r>
          </w:p>
        </w:tc>
        <w:tc>
          <w:tcPr>
            <w:vAlign w:val="center"/>
          </w:tcPr>
          <w:p>
            <w:r>
              <w:t>37.7</w:t>
            </w:r>
          </w:p>
        </w:tc>
        <w:tc>
          <w:tcPr>
            <w:vAlign w:val="center"/>
          </w:tcPr>
          <w:p>
            <w:r>
              <w:t>33.6</w:t>
            </w:r>
          </w:p>
        </w:tc>
        <w:tc>
          <w:tcPr>
            <w:vAlign w:val="center"/>
          </w:tcPr>
          <w:p>
            <w:r>
              <w:t>4.142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17:00</w:t>
            </w:r>
          </w:p>
        </w:tc>
        <w:tc>
          <w:tcPr>
            <w:vAlign w:val="center"/>
          </w:tcPr>
          <w:p>
            <w:r>
              <w:t>31.3</w:t>
            </w:r>
          </w:p>
        </w:tc>
        <w:tc>
          <w:tcPr>
            <w:vAlign w:val="center"/>
          </w:tcPr>
          <w:p>
            <w:r>
              <w:t>9.9</w:t>
            </w:r>
          </w:p>
        </w:tc>
        <w:tc>
          <w:tcPr>
            <w:vAlign w:val="center"/>
          </w:tcPr>
          <w:p>
            <w:r>
              <w:t>3.5</w:t>
            </w:r>
          </w:p>
        </w:tc>
        <w:tc>
          <w:tcPr>
            <w:vAlign w:val="center"/>
          </w:tcPr>
          <w:p>
            <w:r>
              <w:t>0.2</w:t>
            </w:r>
          </w:p>
        </w:tc>
        <w:tc>
          <w:tcPr>
            <w:vAlign w:val="center"/>
          </w:tcPr>
          <w:p>
            <w:r>
              <w:t>37.5</w:t>
            </w:r>
          </w:p>
        </w:tc>
        <w:tc>
          <w:tcPr>
            <w:vAlign w:val="center"/>
          </w:tcPr>
          <w:p>
            <w:r>
              <w:t>32.7</w:t>
            </w:r>
          </w:p>
        </w:tc>
        <w:tc>
          <w:tcPr>
            <w:vAlign w:val="center"/>
          </w:tcPr>
          <w:p>
            <w:r>
              <w:t>4.770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18:00</w:t>
            </w:r>
          </w:p>
        </w:tc>
        <w:tc>
          <w:tcPr>
            <w:vAlign w:val="center"/>
          </w:tcPr>
          <w:p>
            <w:r>
              <w:t>31.3</w:t>
            </w:r>
          </w:p>
        </w:tc>
        <w:tc>
          <w:tcPr>
            <w:vAlign w:val="center"/>
          </w:tcPr>
          <w:p>
            <w:r>
              <w:t>9.5</w:t>
            </w:r>
          </w:p>
        </w:tc>
        <w:tc>
          <w:tcPr>
            <w:vAlign w:val="center"/>
          </w:tcPr>
          <w:p>
            <w:r>
              <w:t>3.7</w:t>
            </w:r>
          </w:p>
        </w:tc>
        <w:tc>
          <w:tcPr>
            <w:vAlign w:val="center"/>
          </w:tcPr>
          <w:p>
            <w:r>
              <w:t>0.2</w:t>
            </w:r>
          </w:p>
        </w:tc>
        <w:tc>
          <w:tcPr>
            <w:vAlign w:val="center"/>
          </w:tcPr>
          <w:p>
            <w:r>
              <w:t>36.9</w:t>
            </w:r>
          </w:p>
        </w:tc>
        <w:tc>
          <w:tcPr>
            <w:vAlign w:val="center"/>
          </w:tcPr>
          <w:p>
            <w:r>
              <w:t>31.9</w:t>
            </w:r>
          </w:p>
        </w:tc>
        <w:tc>
          <w:tcPr>
            <w:vAlign w:val="center"/>
          </w:tcPr>
          <w:p>
            <w:r>
              <w:t>5.011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平均热岛</w:t>
            </w:r>
            <w:r>
              <w:br w:type="textWrapping"/>
            </w:r>
            <w:r>
              <w:t>强度(℃)</w:t>
            </w:r>
          </w:p>
        </w:tc>
        <w:tc>
          <w:tcPr>
            <w:gridSpan w:val="7"/>
            <w:vAlign w:val="center"/>
          </w:tcPr>
          <w:p>
            <w:r>
              <w:t>1.39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依据</w:t>
            </w:r>
          </w:p>
        </w:tc>
        <w:tc>
          <w:tcPr>
            <w:gridSpan w:val="7"/>
            <w:vAlign w:val="center"/>
          </w:tcPr>
          <w:p>
            <w:r>
              <w:t>《城市居住区热环境设计标准》3.3.1条规定指标，按照5.0.2条的公式计算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标准要求</w:t>
            </w:r>
          </w:p>
        </w:tc>
        <w:tc>
          <w:tcPr>
            <w:gridSpan w:val="7"/>
            <w:vAlign w:val="center"/>
          </w:tcPr>
          <w:p>
            <w:r>
              <w:t>居住区夏季平均热岛强度不应大于1.5℃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结论</w:t>
            </w:r>
          </w:p>
        </w:tc>
        <w:tc>
          <w:tcPr>
            <w:gridSpan w:val="7"/>
            <w:vAlign w:val="center"/>
          </w:tcPr>
          <w:p>
            <w:r>
              <w:t>满足</w:t>
            </w:r>
          </w:p>
        </w:tc>
      </w:tr>
    </w:tbl>
    <w:p>
      <w:pPr>
        <w:pStyle w:val="3"/>
        <w:ind w:firstLine="420"/>
        <w:rPr>
          <w:lang w:val="en-US"/>
        </w:rPr>
      </w:pPr>
      <w:bookmarkStart w:id="51" w:name="平均热岛强度"/>
      <w:bookmarkEnd w:id="51"/>
    </w:p>
    <w:p>
      <w:pPr>
        <w:pStyle w:val="3"/>
        <w:ind w:firstLine="0" w:firstLineChars="0"/>
        <w:rPr>
          <w:lang w:val="en-US"/>
        </w:rPr>
      </w:pPr>
      <w:bookmarkStart w:id="52" w:name="平均热岛强度图片"/>
      <w:bookmarkEnd w:id="52"/>
    </w:p>
    <w:p>
      <w:pPr>
        <w:pStyle w:val="4"/>
      </w:pPr>
      <w:bookmarkStart w:id="53" w:name="_Toc7463"/>
      <w:r>
        <w:rPr>
          <w:rFonts w:hint="eastAsia"/>
        </w:rPr>
        <w:t>湿球黑球温度</w:t>
      </w:r>
      <w:bookmarkEnd w:id="53"/>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550"/>
        <w:gridCol w:w="1556"/>
        <w:gridCol w:w="1556"/>
        <w:gridCol w:w="1556"/>
        <w:gridCol w:w="1556"/>
        <w:gridCol w:w="155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时刻</w:t>
            </w:r>
          </w:p>
        </w:tc>
        <w:tc>
          <w:tcPr>
            <w:shd w:val="clear" w:color="auto" w:fill="E6E6E6"/>
            <w:vAlign w:val="center"/>
          </w:tcPr>
          <w:p>
            <w:pPr>
              <w:jc w:val="center"/>
            </w:pPr>
            <w:r>
              <w:t>居住区温度</w:t>
            </w:r>
            <w:r>
              <w:br w:type="textWrapping"/>
            </w:r>
            <w:r>
              <w:t>(℃)</w:t>
            </w:r>
          </w:p>
        </w:tc>
        <w:tc>
          <w:tcPr>
            <w:shd w:val="clear" w:color="auto" w:fill="E6E6E6"/>
            <w:vAlign w:val="center"/>
          </w:tcPr>
          <w:p>
            <w:pPr>
              <w:jc w:val="center"/>
            </w:pPr>
            <w:r>
              <w:t>空气相对湿度</w:t>
            </w:r>
          </w:p>
        </w:tc>
        <w:tc>
          <w:tcPr>
            <w:shd w:val="clear" w:color="auto" w:fill="E6E6E6"/>
            <w:vAlign w:val="center"/>
          </w:tcPr>
          <w:p>
            <w:pPr>
              <w:jc w:val="center"/>
            </w:pPr>
            <w:r>
              <w:t>太阳辐射照度</w:t>
            </w:r>
            <w:r>
              <w:br w:type="textWrapping"/>
            </w:r>
            <w:r>
              <w:t>(W/㎡)</w:t>
            </w:r>
          </w:p>
        </w:tc>
        <w:tc>
          <w:tcPr>
            <w:shd w:val="clear" w:color="auto" w:fill="E6E6E6"/>
            <w:vAlign w:val="center"/>
          </w:tcPr>
          <w:p>
            <w:pPr>
              <w:jc w:val="center"/>
            </w:pPr>
            <w:r>
              <w:t>地表短波辐射</w:t>
            </w:r>
            <w:r>
              <w:br w:type="textWrapping"/>
            </w:r>
            <w:r>
              <w:t>(W/㎡)</w:t>
            </w:r>
          </w:p>
        </w:tc>
        <w:tc>
          <w:tcPr>
            <w:shd w:val="clear" w:color="auto" w:fill="E6E6E6"/>
            <w:vAlign w:val="center"/>
          </w:tcPr>
          <w:p>
            <w:pPr>
              <w:jc w:val="center"/>
            </w:pPr>
            <w:r>
              <w:t>湿球黑球温度</w:t>
            </w:r>
            <w:r>
              <w:br w:type="textWrapping"/>
            </w: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8:00</w:t>
            </w:r>
          </w:p>
        </w:tc>
        <w:tc>
          <w:tcPr>
            <w:vAlign w:val="center"/>
          </w:tcPr>
          <w:p>
            <w:r>
              <w:t>28.9</w:t>
            </w:r>
          </w:p>
        </w:tc>
        <w:tc>
          <w:tcPr>
            <w:vAlign w:val="center"/>
          </w:tcPr>
          <w:p>
            <w:r>
              <w:t>0.7</w:t>
            </w:r>
          </w:p>
        </w:tc>
        <w:tc>
          <w:tcPr>
            <w:vAlign w:val="center"/>
          </w:tcPr>
          <w:p>
            <w:r>
              <w:t>232.9</w:t>
            </w:r>
          </w:p>
        </w:tc>
        <w:tc>
          <w:tcPr>
            <w:vAlign w:val="center"/>
          </w:tcPr>
          <w:p>
            <w:r>
              <w:t>62.7</w:t>
            </w:r>
          </w:p>
        </w:tc>
        <w:tc>
          <w:tcPr>
            <w:vAlign w:val="center"/>
          </w:tcPr>
          <w:p>
            <w:r>
              <w:t>26.0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9:00</w:t>
            </w:r>
          </w:p>
        </w:tc>
        <w:tc>
          <w:tcPr>
            <w:vAlign w:val="center"/>
          </w:tcPr>
          <w:p>
            <w:r>
              <w:t>30.2</w:t>
            </w:r>
          </w:p>
        </w:tc>
        <w:tc>
          <w:tcPr>
            <w:vAlign w:val="center"/>
          </w:tcPr>
          <w:p>
            <w:r>
              <w:t>0.7</w:t>
            </w:r>
          </w:p>
        </w:tc>
        <w:tc>
          <w:tcPr>
            <w:vAlign w:val="center"/>
          </w:tcPr>
          <w:p>
            <w:r>
              <w:t>316.8</w:t>
            </w:r>
          </w:p>
        </w:tc>
        <w:tc>
          <w:tcPr>
            <w:vAlign w:val="center"/>
          </w:tcPr>
          <w:p>
            <w:r>
              <w:t>85.3</w:t>
            </w:r>
          </w:p>
        </w:tc>
        <w:tc>
          <w:tcPr>
            <w:vAlign w:val="center"/>
          </w:tcPr>
          <w:p>
            <w:r>
              <w:t>27.1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10:00</w:t>
            </w:r>
          </w:p>
        </w:tc>
        <w:tc>
          <w:tcPr>
            <w:vAlign w:val="center"/>
          </w:tcPr>
          <w:p>
            <w:r>
              <w:t>31.7</w:t>
            </w:r>
          </w:p>
        </w:tc>
        <w:tc>
          <w:tcPr>
            <w:vAlign w:val="center"/>
          </w:tcPr>
          <w:p>
            <w:r>
              <w:t>0.6</w:t>
            </w:r>
          </w:p>
        </w:tc>
        <w:tc>
          <w:tcPr>
            <w:vAlign w:val="center"/>
          </w:tcPr>
          <w:p>
            <w:r>
              <w:t>384.6</w:t>
            </w:r>
          </w:p>
        </w:tc>
        <w:tc>
          <w:tcPr>
            <w:vAlign w:val="center"/>
          </w:tcPr>
          <w:p>
            <w:r>
              <w:t>103.5</w:t>
            </w:r>
          </w:p>
        </w:tc>
        <w:tc>
          <w:tcPr>
            <w:vAlign w:val="center"/>
          </w:tcPr>
          <w:p>
            <w:r>
              <w:t>28.1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11:00</w:t>
            </w:r>
          </w:p>
        </w:tc>
        <w:tc>
          <w:tcPr>
            <w:vAlign w:val="center"/>
          </w:tcPr>
          <w:p>
            <w:r>
              <w:t>33.4</w:t>
            </w:r>
          </w:p>
        </w:tc>
        <w:tc>
          <w:tcPr>
            <w:vAlign w:val="center"/>
          </w:tcPr>
          <w:p>
            <w:r>
              <w:t>0.6</w:t>
            </w:r>
          </w:p>
        </w:tc>
        <w:tc>
          <w:tcPr>
            <w:vAlign w:val="center"/>
          </w:tcPr>
          <w:p>
            <w:r>
              <w:t>429.0</w:t>
            </w:r>
          </w:p>
        </w:tc>
        <w:tc>
          <w:tcPr>
            <w:vAlign w:val="center"/>
          </w:tcPr>
          <w:p>
            <w:r>
              <w:t>115.4</w:t>
            </w:r>
          </w:p>
        </w:tc>
        <w:tc>
          <w:tcPr>
            <w:vAlign w:val="center"/>
          </w:tcPr>
          <w:p>
            <w:r>
              <w:t>29.4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12:00</w:t>
            </w:r>
          </w:p>
        </w:tc>
        <w:tc>
          <w:tcPr>
            <w:vAlign w:val="center"/>
          </w:tcPr>
          <w:p>
            <w:r>
              <w:t>34.9</w:t>
            </w:r>
          </w:p>
        </w:tc>
        <w:tc>
          <w:tcPr>
            <w:vAlign w:val="center"/>
          </w:tcPr>
          <w:p>
            <w:r>
              <w:t>0.5</w:t>
            </w:r>
          </w:p>
        </w:tc>
        <w:tc>
          <w:tcPr>
            <w:vAlign w:val="center"/>
          </w:tcPr>
          <w:p>
            <w:r>
              <w:t>439.7</w:t>
            </w:r>
          </w:p>
        </w:tc>
        <w:tc>
          <w:tcPr>
            <w:vAlign w:val="center"/>
          </w:tcPr>
          <w:p>
            <w:r>
              <w:t>118.3</w:t>
            </w:r>
          </w:p>
        </w:tc>
        <w:tc>
          <w:tcPr>
            <w:vAlign w:val="center"/>
          </w:tcPr>
          <w:p>
            <w:r>
              <w:t>30.4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13:00</w:t>
            </w:r>
          </w:p>
        </w:tc>
        <w:tc>
          <w:tcPr>
            <w:vAlign w:val="center"/>
          </w:tcPr>
          <w:p>
            <w:r>
              <w:t>36.3</w:t>
            </w:r>
          </w:p>
        </w:tc>
        <w:tc>
          <w:tcPr>
            <w:vAlign w:val="center"/>
          </w:tcPr>
          <w:p>
            <w:r>
              <w:t>0.5</w:t>
            </w:r>
          </w:p>
        </w:tc>
        <w:tc>
          <w:tcPr>
            <w:vAlign w:val="center"/>
          </w:tcPr>
          <w:p>
            <w:r>
              <w:t>414.8</w:t>
            </w:r>
          </w:p>
        </w:tc>
        <w:tc>
          <w:tcPr>
            <w:vAlign w:val="center"/>
          </w:tcPr>
          <w:p>
            <w:r>
              <w:t>111.6</w:t>
            </w:r>
          </w:p>
        </w:tc>
        <w:tc>
          <w:tcPr>
            <w:vAlign w:val="center"/>
          </w:tcPr>
          <w:p>
            <w:r>
              <w:t>31.4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14:00</w:t>
            </w:r>
          </w:p>
        </w:tc>
        <w:tc>
          <w:tcPr>
            <w:vAlign w:val="center"/>
          </w:tcPr>
          <w:p>
            <w:r>
              <w:t>37.1</w:t>
            </w:r>
          </w:p>
        </w:tc>
        <w:tc>
          <w:tcPr>
            <w:vAlign w:val="center"/>
          </w:tcPr>
          <w:p>
            <w:r>
              <w:t>0.5</w:t>
            </w:r>
          </w:p>
        </w:tc>
        <w:tc>
          <w:tcPr>
            <w:vAlign w:val="center"/>
          </w:tcPr>
          <w:p>
            <w:r>
              <w:t>360.9</w:t>
            </w:r>
          </w:p>
        </w:tc>
        <w:tc>
          <w:tcPr>
            <w:vAlign w:val="center"/>
          </w:tcPr>
          <w:p>
            <w:r>
              <w:t>97.1</w:t>
            </w:r>
          </w:p>
        </w:tc>
        <w:tc>
          <w:tcPr>
            <w:vAlign w:val="center"/>
          </w:tcPr>
          <w:p>
            <w:r>
              <w:t>31.7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15:00</w:t>
            </w:r>
          </w:p>
        </w:tc>
        <w:tc>
          <w:tcPr>
            <w:vAlign w:val="center"/>
          </w:tcPr>
          <w:p>
            <w:r>
              <w:t>37.6</w:t>
            </w:r>
          </w:p>
        </w:tc>
        <w:tc>
          <w:tcPr>
            <w:vAlign w:val="center"/>
          </w:tcPr>
          <w:p>
            <w:r>
              <w:t>0.5</w:t>
            </w:r>
          </w:p>
        </w:tc>
        <w:tc>
          <w:tcPr>
            <w:vAlign w:val="center"/>
          </w:tcPr>
          <w:p>
            <w:r>
              <w:t>287.6</w:t>
            </w:r>
          </w:p>
        </w:tc>
        <w:tc>
          <w:tcPr>
            <w:vAlign w:val="center"/>
          </w:tcPr>
          <w:p>
            <w:r>
              <w:t>77.4</w:t>
            </w:r>
          </w:p>
        </w:tc>
        <w:tc>
          <w:tcPr>
            <w:vAlign w:val="center"/>
          </w:tcPr>
          <w:p>
            <w:r>
              <w:t>31.9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16:00</w:t>
            </w:r>
          </w:p>
        </w:tc>
        <w:tc>
          <w:tcPr>
            <w:vAlign w:val="center"/>
          </w:tcPr>
          <w:p>
            <w:r>
              <w:t>37.7</w:t>
            </w:r>
          </w:p>
        </w:tc>
        <w:tc>
          <w:tcPr>
            <w:vAlign w:val="center"/>
          </w:tcPr>
          <w:p>
            <w:r>
              <w:t>0.5</w:t>
            </w:r>
          </w:p>
        </w:tc>
        <w:tc>
          <w:tcPr>
            <w:vAlign w:val="center"/>
          </w:tcPr>
          <w:p>
            <w:r>
              <w:t>205.5</w:t>
            </w:r>
          </w:p>
        </w:tc>
        <w:tc>
          <w:tcPr>
            <w:vAlign w:val="center"/>
          </w:tcPr>
          <w:p>
            <w:r>
              <w:t>55.3</w:t>
            </w:r>
          </w:p>
        </w:tc>
        <w:tc>
          <w:tcPr>
            <w:vAlign w:val="center"/>
          </w:tcPr>
          <w:p>
            <w:r>
              <w:t>31.8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17:00</w:t>
            </w:r>
          </w:p>
        </w:tc>
        <w:tc>
          <w:tcPr>
            <w:vAlign w:val="center"/>
          </w:tcPr>
          <w:p>
            <w:r>
              <w:t>37.5</w:t>
            </w:r>
          </w:p>
        </w:tc>
        <w:tc>
          <w:tcPr>
            <w:vAlign w:val="center"/>
          </w:tcPr>
          <w:p>
            <w:r>
              <w:t>0.5</w:t>
            </w:r>
          </w:p>
        </w:tc>
        <w:tc>
          <w:tcPr>
            <w:vAlign w:val="center"/>
          </w:tcPr>
          <w:p>
            <w:r>
              <w:t>123.4</w:t>
            </w:r>
          </w:p>
        </w:tc>
        <w:tc>
          <w:tcPr>
            <w:vAlign w:val="center"/>
          </w:tcPr>
          <w:p>
            <w:r>
              <w:t>33.2</w:t>
            </w:r>
          </w:p>
        </w:tc>
        <w:tc>
          <w:tcPr>
            <w:vAlign w:val="center"/>
          </w:tcPr>
          <w:p>
            <w:r>
              <w:t>31.2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18:00</w:t>
            </w:r>
          </w:p>
        </w:tc>
        <w:tc>
          <w:tcPr>
            <w:vAlign w:val="center"/>
          </w:tcPr>
          <w:p>
            <w:r>
              <w:t>36.9</w:t>
            </w:r>
          </w:p>
        </w:tc>
        <w:tc>
          <w:tcPr>
            <w:vAlign w:val="center"/>
          </w:tcPr>
          <w:p>
            <w:r>
              <w:t>0.5</w:t>
            </w:r>
          </w:p>
        </w:tc>
        <w:tc>
          <w:tcPr>
            <w:vAlign w:val="center"/>
          </w:tcPr>
          <w:p>
            <w:r>
              <w:t>51.3</w:t>
            </w:r>
          </w:p>
        </w:tc>
        <w:tc>
          <w:tcPr>
            <w:vAlign w:val="center"/>
          </w:tcPr>
          <w:p>
            <w:r>
              <w:t>13.8</w:t>
            </w:r>
          </w:p>
        </w:tc>
        <w:tc>
          <w:tcPr>
            <w:vAlign w:val="center"/>
          </w:tcPr>
          <w:p>
            <w:r>
              <w:t>30.5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最大湿球</w:t>
            </w:r>
            <w:r>
              <w:br w:type="textWrapping"/>
            </w:r>
            <w:r>
              <w:t>黑球强度(℃)</w:t>
            </w:r>
          </w:p>
        </w:tc>
        <w:tc>
          <w:tcPr>
            <w:gridSpan w:val="5"/>
            <w:vAlign w:val="center"/>
          </w:tcPr>
          <w:p>
            <w:r>
              <w:t>31.92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依据</w:t>
            </w:r>
          </w:p>
        </w:tc>
        <w:tc>
          <w:tcPr>
            <w:gridSpan w:val="5"/>
            <w:vAlign w:val="center"/>
          </w:tcPr>
          <w:p>
            <w:r>
              <w:t>《城市居住区热环境设计标准》3.3.1条规定指标，按照5.0.1条的公式计算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标准要求</w:t>
            </w:r>
          </w:p>
        </w:tc>
        <w:tc>
          <w:tcPr>
            <w:gridSpan w:val="5"/>
            <w:vAlign w:val="center"/>
          </w:tcPr>
          <w:p>
            <w:r>
              <w:t>居住区逐时湿球黑球温度不应大于33℃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结论</w:t>
            </w:r>
          </w:p>
        </w:tc>
        <w:tc>
          <w:tcPr>
            <w:gridSpan w:val="5"/>
            <w:vAlign w:val="center"/>
          </w:tcPr>
          <w:p>
            <w:r>
              <w:t>满足</w:t>
            </w:r>
          </w:p>
        </w:tc>
      </w:tr>
    </w:tbl>
    <w:p>
      <w:pPr>
        <w:pStyle w:val="3"/>
        <w:ind w:firstLine="420"/>
        <w:rPr>
          <w:lang w:val="en-US"/>
        </w:rPr>
      </w:pPr>
      <w:bookmarkStart w:id="54" w:name="湿球黑球温度"/>
      <w:bookmarkEnd w:id="54"/>
    </w:p>
    <w:p>
      <w:pPr>
        <w:pStyle w:val="3"/>
        <w:ind w:firstLine="0" w:firstLineChars="0"/>
        <w:rPr>
          <w:lang w:val="en-US"/>
        </w:rPr>
      </w:pPr>
      <w:bookmarkStart w:id="55" w:name="湿球黑球温度图片"/>
      <w:bookmarkEnd w:id="55"/>
    </w:p>
    <w:p>
      <w:pPr>
        <w:pStyle w:val="2"/>
      </w:pPr>
      <w:bookmarkStart w:id="56" w:name="_Toc12792"/>
      <w:r>
        <w:rPr>
          <w:rFonts w:hint="eastAsia"/>
        </w:rPr>
        <w:t>结论</w:t>
      </w:r>
      <w:bookmarkEnd w:id="56"/>
    </w:p>
    <w:tbl>
      <w:tblPr>
        <w:tblStyle w:val="19"/>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6"/>
        <w:gridCol w:w="2800"/>
        <w:gridCol w:w="1866"/>
        <w:gridCol w:w="280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类别</w:t>
            </w:r>
          </w:p>
        </w:tc>
        <w:tc>
          <w:tcPr>
            <w:shd w:val="clear" w:color="auto" w:fill="E6E6E6"/>
            <w:vAlign w:val="center"/>
          </w:tcPr>
          <w:p>
            <w:pPr>
              <w:jc w:val="center"/>
            </w:pPr>
            <w:r>
              <w:t>检查项</w:t>
            </w:r>
          </w:p>
        </w:tc>
        <w:tc>
          <w:tcPr>
            <w:shd w:val="clear" w:color="auto" w:fill="E6E6E6"/>
            <w:vAlign w:val="center"/>
          </w:tcPr>
          <w:p>
            <w:pPr>
              <w:jc w:val="center"/>
            </w:pPr>
            <w:r>
              <w:t>结论</w:t>
            </w:r>
          </w:p>
        </w:tc>
        <w:tc>
          <w:tcPr>
            <w:shd w:val="clear" w:color="auto" w:fill="E6E6E6"/>
            <w:vAlign w:val="center"/>
          </w:tcPr>
          <w:p>
            <w:pPr>
              <w:jc w:val="center"/>
            </w:pPr>
            <w:r>
              <w:t>备注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rPr>
                <w:b/>
              </w:rPr>
              <w:t>强条</w:t>
            </w:r>
          </w:p>
        </w:tc>
        <w:tc>
          <w:tcPr>
            <w:vAlign w:val="center"/>
          </w:tcPr>
          <w:p>
            <w:r>
              <w:rPr>
                <w:b/>
              </w:rPr>
              <w:t>平均迎风面积比</w:t>
            </w:r>
          </w:p>
        </w:tc>
        <w:tc>
          <w:tcPr>
            <w:vAlign w:val="center"/>
          </w:tcPr>
          <w:p>
            <w:r>
              <w:rPr>
                <w:b/>
                <w:color w:val="FF0000"/>
              </w:rPr>
              <w:t>不满足</w:t>
            </w:r>
          </w:p>
        </w:tc>
        <w:tc>
          <w:tcPr>
            <w:vMerge w:val="restart"/>
            <w:vAlign w:val="center"/>
          </w:tcPr>
          <w:p>
            <w:r>
              <w:rPr>
                <w:b/>
              </w:rPr>
              <w:t>强制条文，必须满足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rPr>
                <w:b/>
              </w:rPr>
              <w:t>活动场地遮阳覆盖率</w:t>
            </w:r>
          </w:p>
        </w:tc>
        <w:tc>
          <w:tcPr>
            <w:vAlign w:val="center"/>
          </w:tcPr>
          <w:p>
            <w:r>
              <w:rPr>
                <w:b/>
                <w:color w:val="FF0000"/>
              </w:rPr>
              <w:t>不满足</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规定性设计</w:t>
            </w:r>
          </w:p>
        </w:tc>
        <w:tc>
          <w:tcPr>
            <w:vAlign w:val="center"/>
          </w:tcPr>
          <w:p>
            <w:r>
              <w:t>底层通风架空率</w:t>
            </w:r>
          </w:p>
        </w:tc>
        <w:tc>
          <w:tcPr>
            <w:vAlign w:val="center"/>
          </w:tcPr>
          <w:p>
            <w:r>
              <w:rPr>
                <w:color w:val="FF0000"/>
              </w:rPr>
              <w:t>不满足</w:t>
            </w:r>
          </w:p>
        </w:tc>
        <w:tc>
          <w:tcPr>
            <w:vMerge w:val="restart"/>
            <w:vAlign w:val="center"/>
          </w:tcPr>
          <w:p>
            <w:r>
              <w:t>不满足任意一条时，进行评价性设计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绿化遮阳体叶面积指数</w:t>
            </w:r>
          </w:p>
        </w:tc>
        <w:tc>
          <w:tcPr>
            <w:vAlign w:val="center"/>
          </w:tcPr>
          <w:p>
            <w:r>
              <w:t>满足</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渗透蒸发指标</w:t>
            </w:r>
          </w:p>
        </w:tc>
        <w:tc>
          <w:tcPr>
            <w:vAlign w:val="center"/>
          </w:tcPr>
          <w:p>
            <w:r>
              <w:t>满足</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屋面绿化率</w:t>
            </w:r>
          </w:p>
        </w:tc>
        <w:tc>
          <w:tcPr>
            <w:vAlign w:val="center"/>
          </w:tcPr>
          <w:p>
            <w:r>
              <w:rPr>
                <w:color w:val="FF0000"/>
              </w:rPr>
              <w:t>不满足</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评价性设计</w:t>
            </w:r>
          </w:p>
        </w:tc>
        <w:tc>
          <w:tcPr>
            <w:vAlign w:val="center"/>
          </w:tcPr>
          <w:p>
            <w:r>
              <w:t>平均热岛强度</w:t>
            </w:r>
          </w:p>
        </w:tc>
        <w:tc>
          <w:tcPr>
            <w:vAlign w:val="center"/>
          </w:tcPr>
          <w:p>
            <w:r>
              <w:t>满足</w:t>
            </w:r>
          </w:p>
        </w:tc>
        <w:tc>
          <w:tcPr>
            <w:vMerge w:val="restart"/>
            <w:vAlign w:val="center"/>
          </w:tcPr>
          <w:p>
            <w:r>
              <w:t>需同时满足强制条文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湿球黑球温度</w:t>
            </w:r>
          </w:p>
        </w:tc>
        <w:tc>
          <w:tcPr>
            <w:vAlign w:val="center"/>
          </w:tcPr>
          <w:p>
            <w:r>
              <w:t>满足</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shd w:val="clear" w:color="auto" w:fill="E6E6E6"/>
            <w:vAlign w:val="center"/>
          </w:tcPr>
          <w:p>
            <w:r>
              <w:t>结论</w:t>
            </w:r>
          </w:p>
        </w:tc>
        <w:tc>
          <w:tcPr>
            <w:gridSpan w:val="2"/>
            <w:vAlign w:val="center"/>
          </w:tcPr>
          <w:p>
            <w:r>
              <w:rPr>
                <w:b/>
                <w:color w:val="FF0000"/>
              </w:rPr>
              <w:t>不满足</w:t>
            </w:r>
          </w:p>
        </w:tc>
      </w:tr>
    </w:tbl>
    <w:p>
      <w:pPr>
        <w:pStyle w:val="3"/>
        <w:ind w:firstLine="420"/>
        <w:rPr>
          <w:lang w:val="en-US"/>
        </w:rPr>
      </w:pPr>
      <w:bookmarkStart w:id="57" w:name="结论"/>
      <w:bookmarkEnd w:id="57"/>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3"/>
      </w:rPr>
    </w:pPr>
    <w:r>
      <w:rPr>
        <w:rStyle w:val="23"/>
      </w:rPr>
      <w:fldChar w:fldCharType="begin"/>
    </w:r>
    <w:r>
      <w:rPr>
        <w:rStyle w:val="23"/>
      </w:rPr>
      <w:instrText xml:space="preserve">PAGE  </w:instrText>
    </w:r>
    <w:r>
      <w:rPr>
        <w:rStyle w:val="23"/>
      </w:rPr>
      <w:fldChar w:fldCharType="separate"/>
    </w:r>
    <w:r>
      <w:rPr>
        <w:rStyle w:val="23"/>
      </w:rPr>
      <w:t>2</w:t>
    </w:r>
    <w:r>
      <w:rPr>
        <w:rStyle w:val="23"/>
      </w:rPr>
      <w:fldChar w:fldCharType="end"/>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3"/>
      </w:rPr>
    </w:pPr>
    <w:r>
      <w:rPr>
        <w:rStyle w:val="23"/>
      </w:rPr>
      <w:fldChar w:fldCharType="begin"/>
    </w:r>
    <w:r>
      <w:rPr>
        <w:rStyle w:val="23"/>
      </w:rPr>
      <w:instrText xml:space="preserve">PAGE  </w:instrText>
    </w:r>
    <w:r>
      <w:rPr>
        <w:rStyle w:val="23"/>
      </w:rPr>
      <w:fldChar w:fldCharType="end"/>
    </w:r>
  </w:p>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pPr>
    <w:r>
      <w:rPr>
        <w:lang w:val="en-US"/>
      </w:rPr>
      <w:drawing>
        <wp:inline distT="0" distB="0" distL="0" distR="0">
          <wp:extent cx="857250" cy="1619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7250" cy="161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4"/>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B3F3AC7"/>
    <w:rsid w:val="0000545C"/>
    <w:rsid w:val="0001409C"/>
    <w:rsid w:val="00026B3F"/>
    <w:rsid w:val="00037A4C"/>
    <w:rsid w:val="00051EA5"/>
    <w:rsid w:val="000A30EF"/>
    <w:rsid w:val="000B10AF"/>
    <w:rsid w:val="000B2169"/>
    <w:rsid w:val="000B2FE8"/>
    <w:rsid w:val="000D23A3"/>
    <w:rsid w:val="000F23AD"/>
    <w:rsid w:val="000F7EF2"/>
    <w:rsid w:val="001137ED"/>
    <w:rsid w:val="00116794"/>
    <w:rsid w:val="00117637"/>
    <w:rsid w:val="00122AE1"/>
    <w:rsid w:val="00135FAF"/>
    <w:rsid w:val="0014776A"/>
    <w:rsid w:val="001541C5"/>
    <w:rsid w:val="001745BF"/>
    <w:rsid w:val="001828F2"/>
    <w:rsid w:val="001B3169"/>
    <w:rsid w:val="001B7C87"/>
    <w:rsid w:val="001D4B47"/>
    <w:rsid w:val="001D6C1E"/>
    <w:rsid w:val="00203A7D"/>
    <w:rsid w:val="002109B0"/>
    <w:rsid w:val="002209B4"/>
    <w:rsid w:val="00234F4A"/>
    <w:rsid w:val="0023730B"/>
    <w:rsid w:val="00243608"/>
    <w:rsid w:val="002555B8"/>
    <w:rsid w:val="00272BDC"/>
    <w:rsid w:val="00285189"/>
    <w:rsid w:val="002A55EA"/>
    <w:rsid w:val="002B2BB0"/>
    <w:rsid w:val="002B4464"/>
    <w:rsid w:val="002F0C69"/>
    <w:rsid w:val="002F1F5C"/>
    <w:rsid w:val="0030437C"/>
    <w:rsid w:val="00310258"/>
    <w:rsid w:val="003121F7"/>
    <w:rsid w:val="00314D29"/>
    <w:rsid w:val="00327713"/>
    <w:rsid w:val="003320D8"/>
    <w:rsid w:val="00346AFD"/>
    <w:rsid w:val="00353FD3"/>
    <w:rsid w:val="003746AC"/>
    <w:rsid w:val="00384F21"/>
    <w:rsid w:val="003B0012"/>
    <w:rsid w:val="003C6997"/>
    <w:rsid w:val="003E4437"/>
    <w:rsid w:val="00417088"/>
    <w:rsid w:val="00463861"/>
    <w:rsid w:val="004654ED"/>
    <w:rsid w:val="00480100"/>
    <w:rsid w:val="00480784"/>
    <w:rsid w:val="00486A3D"/>
    <w:rsid w:val="00490A6C"/>
    <w:rsid w:val="00495F4C"/>
    <w:rsid w:val="004A29D4"/>
    <w:rsid w:val="004C4D23"/>
    <w:rsid w:val="004C69C1"/>
    <w:rsid w:val="004C79DA"/>
    <w:rsid w:val="004D230F"/>
    <w:rsid w:val="004D449D"/>
    <w:rsid w:val="004D5876"/>
    <w:rsid w:val="004E2129"/>
    <w:rsid w:val="004E291D"/>
    <w:rsid w:val="004F534A"/>
    <w:rsid w:val="004F694D"/>
    <w:rsid w:val="0050003A"/>
    <w:rsid w:val="00503750"/>
    <w:rsid w:val="005207E3"/>
    <w:rsid w:val="005215FB"/>
    <w:rsid w:val="00545FB7"/>
    <w:rsid w:val="00561C8F"/>
    <w:rsid w:val="005755BA"/>
    <w:rsid w:val="0057692D"/>
    <w:rsid w:val="005812C2"/>
    <w:rsid w:val="005C7162"/>
    <w:rsid w:val="00613298"/>
    <w:rsid w:val="00651069"/>
    <w:rsid w:val="00657ADD"/>
    <w:rsid w:val="0067336D"/>
    <w:rsid w:val="00685427"/>
    <w:rsid w:val="00685C60"/>
    <w:rsid w:val="00694FCA"/>
    <w:rsid w:val="006A159C"/>
    <w:rsid w:val="006A38D1"/>
    <w:rsid w:val="006B5695"/>
    <w:rsid w:val="006B57E0"/>
    <w:rsid w:val="006C3941"/>
    <w:rsid w:val="0072017E"/>
    <w:rsid w:val="0072214C"/>
    <w:rsid w:val="007514FE"/>
    <w:rsid w:val="00774599"/>
    <w:rsid w:val="007D1A35"/>
    <w:rsid w:val="007E78A4"/>
    <w:rsid w:val="008329E7"/>
    <w:rsid w:val="00872A29"/>
    <w:rsid w:val="00883D6C"/>
    <w:rsid w:val="00886207"/>
    <w:rsid w:val="00897FCE"/>
    <w:rsid w:val="008B02AA"/>
    <w:rsid w:val="008B6B76"/>
    <w:rsid w:val="008E3905"/>
    <w:rsid w:val="008E7DE0"/>
    <w:rsid w:val="008F4A97"/>
    <w:rsid w:val="009115AF"/>
    <w:rsid w:val="00917B5B"/>
    <w:rsid w:val="0092562F"/>
    <w:rsid w:val="00935D40"/>
    <w:rsid w:val="00940A35"/>
    <w:rsid w:val="009410A0"/>
    <w:rsid w:val="00963036"/>
    <w:rsid w:val="009744B2"/>
    <w:rsid w:val="009B5732"/>
    <w:rsid w:val="009C3CAA"/>
    <w:rsid w:val="009C61AC"/>
    <w:rsid w:val="009D580B"/>
    <w:rsid w:val="009D7B62"/>
    <w:rsid w:val="009E4629"/>
    <w:rsid w:val="009E5E29"/>
    <w:rsid w:val="009F3F68"/>
    <w:rsid w:val="00A0719E"/>
    <w:rsid w:val="00A305A7"/>
    <w:rsid w:val="00A32590"/>
    <w:rsid w:val="00A355BD"/>
    <w:rsid w:val="00A402EA"/>
    <w:rsid w:val="00A53163"/>
    <w:rsid w:val="00A72106"/>
    <w:rsid w:val="00A83D4E"/>
    <w:rsid w:val="00AA47FE"/>
    <w:rsid w:val="00AA7C65"/>
    <w:rsid w:val="00AB536D"/>
    <w:rsid w:val="00AC7EEF"/>
    <w:rsid w:val="00B047B3"/>
    <w:rsid w:val="00B107D2"/>
    <w:rsid w:val="00B10A58"/>
    <w:rsid w:val="00B16C0D"/>
    <w:rsid w:val="00B26E83"/>
    <w:rsid w:val="00B36FB1"/>
    <w:rsid w:val="00B41640"/>
    <w:rsid w:val="00B4240C"/>
    <w:rsid w:val="00B55B22"/>
    <w:rsid w:val="00B60841"/>
    <w:rsid w:val="00B645C9"/>
    <w:rsid w:val="00B7457E"/>
    <w:rsid w:val="00BA50C0"/>
    <w:rsid w:val="00BB1C06"/>
    <w:rsid w:val="00BC24EE"/>
    <w:rsid w:val="00BD4A14"/>
    <w:rsid w:val="00BE4349"/>
    <w:rsid w:val="00C0203A"/>
    <w:rsid w:val="00C21B0B"/>
    <w:rsid w:val="00C22E6B"/>
    <w:rsid w:val="00C3317F"/>
    <w:rsid w:val="00C63237"/>
    <w:rsid w:val="00C67778"/>
    <w:rsid w:val="00C83ED1"/>
    <w:rsid w:val="00C95557"/>
    <w:rsid w:val="00C97E25"/>
    <w:rsid w:val="00CA1AA5"/>
    <w:rsid w:val="00CA311D"/>
    <w:rsid w:val="00CB5853"/>
    <w:rsid w:val="00CC50E4"/>
    <w:rsid w:val="00CE14CD"/>
    <w:rsid w:val="00CE28AA"/>
    <w:rsid w:val="00CE3E52"/>
    <w:rsid w:val="00CE6578"/>
    <w:rsid w:val="00D23AA7"/>
    <w:rsid w:val="00D345DA"/>
    <w:rsid w:val="00D40158"/>
    <w:rsid w:val="00D43C46"/>
    <w:rsid w:val="00D478B3"/>
    <w:rsid w:val="00D62A9A"/>
    <w:rsid w:val="00D96AE9"/>
    <w:rsid w:val="00DC73AD"/>
    <w:rsid w:val="00DD16C4"/>
    <w:rsid w:val="00DD42A2"/>
    <w:rsid w:val="00DD50F9"/>
    <w:rsid w:val="00DE224D"/>
    <w:rsid w:val="00DF470C"/>
    <w:rsid w:val="00E16221"/>
    <w:rsid w:val="00E423BB"/>
    <w:rsid w:val="00E4518A"/>
    <w:rsid w:val="00E72EFD"/>
    <w:rsid w:val="00E75AC2"/>
    <w:rsid w:val="00E81ACD"/>
    <w:rsid w:val="00EA0210"/>
    <w:rsid w:val="00EA0B95"/>
    <w:rsid w:val="00EA3CE7"/>
    <w:rsid w:val="00EA741A"/>
    <w:rsid w:val="00EC27FD"/>
    <w:rsid w:val="00EC70F3"/>
    <w:rsid w:val="00ED3418"/>
    <w:rsid w:val="00EE005A"/>
    <w:rsid w:val="00EF0674"/>
    <w:rsid w:val="00EF5872"/>
    <w:rsid w:val="00EF5DD5"/>
    <w:rsid w:val="00F03100"/>
    <w:rsid w:val="00F16AE6"/>
    <w:rsid w:val="00F312DB"/>
    <w:rsid w:val="00F4565A"/>
    <w:rsid w:val="00F75DD1"/>
    <w:rsid w:val="00F90890"/>
    <w:rsid w:val="00FA4B87"/>
    <w:rsid w:val="00FA733F"/>
    <w:rsid w:val="00FC0388"/>
    <w:rsid w:val="00FF2243"/>
    <w:rsid w:val="2B3F3AC7"/>
    <w:rsid w:val="6C733D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qFormat/>
    <w:uiPriority w:val="39"/>
    <w:pPr>
      <w:tabs>
        <w:tab w:val="left" w:pos="900"/>
        <w:tab w:val="left" w:pos="1260"/>
        <w:tab w:val="right" w:leader="dot" w:pos="9360"/>
      </w:tabs>
      <w:ind w:left="210" w:firstLine="210" w:firstLineChars="100"/>
    </w:pPr>
    <w:rPr>
      <w:kern w:val="2"/>
      <w:szCs w:val="24"/>
      <w:lang w:val="en-US"/>
    </w:rPr>
  </w:style>
  <w:style w:type="paragraph" w:styleId="14">
    <w:name w:val="footer"/>
    <w:basedOn w:val="1"/>
    <w:uiPriority w:val="0"/>
    <w:pPr>
      <w:tabs>
        <w:tab w:val="center" w:pos="4153"/>
        <w:tab w:val="right" w:pos="8306"/>
      </w:tabs>
      <w:snapToGrid w:val="0"/>
    </w:pPr>
    <w:rPr>
      <w:szCs w:val="18"/>
    </w:rPr>
  </w:style>
  <w:style w:type="paragraph" w:styleId="15">
    <w:name w:val="header"/>
    <w:basedOn w:val="1"/>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uiPriority w:val="39"/>
    <w:pPr>
      <w:tabs>
        <w:tab w:val="left" w:leader="dot" w:pos="180"/>
        <w:tab w:val="left" w:pos="420"/>
        <w:tab w:val="right" w:leader="dot" w:pos="9360"/>
      </w:tabs>
    </w:pPr>
    <w:rPr>
      <w:b/>
      <w:bCs/>
      <w:kern w:val="2"/>
      <w:szCs w:val="24"/>
      <w:lang w:val="en-US"/>
    </w:rPr>
  </w:style>
  <w:style w:type="paragraph" w:styleId="17">
    <w:name w:val="toc 2"/>
    <w:basedOn w:val="1"/>
    <w:next w:val="1"/>
    <w:qFormat/>
    <w:uiPriority w:val="39"/>
    <w:pPr>
      <w:tabs>
        <w:tab w:val="left" w:pos="540"/>
        <w:tab w:val="left" w:pos="840"/>
        <w:tab w:val="right" w:leader="dot" w:pos="9360"/>
      </w:tabs>
      <w:ind w:left="200"/>
    </w:pPr>
    <w:rPr>
      <w:kern w:val="2"/>
      <w:szCs w:val="24"/>
      <w:lang w:val="en-US"/>
    </w:rPr>
  </w:style>
  <w:style w:type="paragraph" w:styleId="18">
    <w:name w:val="Normal (Web)"/>
    <w:basedOn w:val="1"/>
    <w:unhideWhenUsed/>
    <w:qFormat/>
    <w:uiPriority w:val="99"/>
    <w:pPr>
      <w:spacing w:before="100" w:beforeAutospacing="1" w:after="100" w:afterAutospacing="1"/>
    </w:pPr>
    <w:rPr>
      <w:rFonts w:ascii="宋体" w:hAnsi="宋体" w:cs="宋体"/>
      <w:sz w:val="24"/>
      <w:szCs w:val="24"/>
      <w:lang w:val="en-US"/>
    </w:rPr>
  </w:style>
  <w:style w:type="table" w:styleId="20">
    <w:name w:val="Table Grid"/>
    <w:basedOn w:val="19"/>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22"/>
    <w:rPr>
      <w:b/>
      <w:bCs/>
    </w:rPr>
  </w:style>
  <w:style w:type="character" w:styleId="23">
    <w:name w:val="page number"/>
    <w:basedOn w:val="21"/>
    <w:qFormat/>
    <w:uiPriority w:val="0"/>
  </w:style>
  <w:style w:type="character" w:styleId="24">
    <w:name w:val="Hyperlink"/>
    <w:qFormat/>
    <w:uiPriority w:val="99"/>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4.bmp"/><Relationship Id="rId8" Type="http://schemas.openxmlformats.org/officeDocument/2006/relationships/image" Target="media/image3.bmp"/><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see\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tmp3.dotx</Template>
  <Pages>11</Pages>
  <Words>2758</Words>
  <Characters>4566</Characters>
  <Lines>20</Lines>
  <Paragraphs>5</Paragraphs>
  <TotalTime>0</TotalTime>
  <ScaleCrop>false</ScaleCrop>
  <LinksUpToDate>false</LinksUpToDate>
  <CharactersWithSpaces>4627</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2020-01-04T02:52:00Z</dcterms:created>
  <dc:creator>核桃.</dc:creator>
  <cp:lastModifiedBy>核桃.</cp:lastModifiedBy>
  <dcterms:modified xsi:type="dcterms:W3CDTF">2020-01-04T02:53:42Z</dcterms:modified>
  <dc:title>住区热环境设计报告书</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