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44D79" w14:textId="5698F547" w:rsidR="00A85EC1" w:rsidRPr="00A85EC1" w:rsidRDefault="00A85EC1" w:rsidP="00A85EC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85EC1">
        <w:rPr>
          <w:rFonts w:ascii="微软雅黑" w:eastAsia="微软雅黑" w:hAnsi="微软雅黑" w:cs="宋体"/>
          <w:noProof/>
          <w:color w:val="444444"/>
          <w:kern w:val="0"/>
          <w:sz w:val="24"/>
          <w:szCs w:val="24"/>
        </w:rPr>
        <w:drawing>
          <wp:inline distT="0" distB="0" distL="0" distR="0" wp14:anchorId="4A8A82E1" wp14:editId="2854C1BB">
            <wp:extent cx="5274310" cy="4157980"/>
            <wp:effectExtent l="0" t="0" r="2540" b="0"/>
            <wp:docPr id="11" name="图片 11" descr="在混凝土保护层上中国与日本的做法与施工控制对比，堪称经典！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在混凝土保护层上中国与日本的做法与施工控制对比，堪称经典！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B2E2" w14:textId="09DB02E1" w:rsidR="00A85EC1" w:rsidRPr="00A85EC1" w:rsidRDefault="00A85EC1" w:rsidP="00A85EC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  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  1）梁底、板底：采用普通砂浆垫块；</w:t>
      </w:r>
    </w:p>
    <w:p w14:paraId="4FAC51DA" w14:textId="3507C5C5" w:rsidR="00A85EC1" w:rsidRPr="00A85EC1" w:rsidRDefault="00A85EC1" w:rsidP="00A85EC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444444"/>
          <w:kern w:val="0"/>
          <w:sz w:val="27"/>
          <w:szCs w:val="27"/>
          <w:bdr w:val="none" w:sz="0" w:space="0" w:color="auto" w:frame="1"/>
        </w:rPr>
      </w:pP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  混凝土保护层厚度可采用非破损（保护层厚度测定仪）或局部破损的方法检验。……纵向受力钢筋保护层厚度的允许偏差，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对梁类构件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为-7~+10mm；对板类构件为-5~+8mm……国内规范表明，允许存在负偏差。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</w:t>
      </w:r>
    </w:p>
    <w:p w14:paraId="0FC25137" w14:textId="774F3776" w:rsidR="00A85EC1" w:rsidRPr="00A85EC1" w:rsidRDefault="00A85EC1" w:rsidP="00A85EC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A85EC1">
        <w:rPr>
          <w:rFonts w:ascii="微软雅黑" w:eastAsia="微软雅黑" w:hAnsi="微软雅黑" w:cs="宋体" w:hint="eastAsia"/>
          <w:color w:val="444444"/>
          <w:kern w:val="0"/>
          <w:sz w:val="27"/>
          <w:szCs w:val="27"/>
          <w:bdr w:val="none" w:sz="0" w:space="0" w:color="auto" w:frame="1"/>
        </w:rPr>
        <w:t>     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1）合理选择和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设置垫块或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垫片，使钢筋铺设在正确位置，确保保护层厚度。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  2）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垫块选择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（混凝土制、钢制、塑料制）：①砂浆制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垫块因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强度低、持久性有欠缺，规定不得使用；②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塑料垫块稳定性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、刚性、耐火性有欠缺，限于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lastRenderedPageBreak/>
        <w:t>墙侧、柱侧、两侧；③混凝土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垫块需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提前确定强度等同或大于浇筑混凝土强度。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br/>
        <w:t>        3）采用定制的钢制支撑构件，混凝土表面处需做防锈处理。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  4）垫块（垫片）尺寸、钢制支撑构件制定计划，用于每个部分的</w:t>
      </w:r>
      <w:proofErr w:type="gramStart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垫块采用</w:t>
      </w:r>
      <w:proofErr w:type="gramEnd"/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颜色识别来区别尺寸，并经过监理单位核准。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  5）铺设马道，专设施工通道，防止随意踩踏钢筋。</w:t>
      </w:r>
    </w:p>
    <w:p w14:paraId="7FC125FC" w14:textId="77777777" w:rsidR="00A85EC1" w:rsidRPr="00A85EC1" w:rsidRDefault="00A85EC1" w:rsidP="005C661C">
      <w:pPr>
        <w:rPr>
          <w:rFonts w:ascii="微软雅黑" w:eastAsia="微软雅黑" w:hAnsi="微软雅黑"/>
          <w:color w:val="444444"/>
          <w:shd w:val="clear" w:color="auto" w:fill="FFFFFF"/>
        </w:rPr>
      </w:pPr>
    </w:p>
    <w:p w14:paraId="0242FE5A" w14:textId="146B9F0B" w:rsidR="006A24ED" w:rsidRPr="005C661C" w:rsidRDefault="005C661C" w:rsidP="005C661C">
      <w:r>
        <w:rPr>
          <w:rFonts w:ascii="微软雅黑" w:eastAsia="微软雅黑" w:hAnsi="微软雅黑" w:hint="eastAsia"/>
          <w:color w:val="444444"/>
          <w:shd w:val="clear" w:color="auto" w:fill="FFFFFF"/>
        </w:rPr>
        <w:t>水泥砂浆采用1：2水泥砂浆制作，严格控制水灰比，一般“手握成团，落地即散”为宜。选择一块平坦的场地，下面平铺一层吸水性较强的纸张（比如报纸），将搅拌均匀的水泥砂浆均匀摊铺于基层上，按照设计规定的钢筋保护层厚度抹平，用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木抹拍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实，切割成50×50见方的小块，然后覆盖养护。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垫块制作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完成后浇水养护7D以上具有足够强度后方可使用。受力钢筋的保护层厚度设计如无要求，通常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按下表取定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（单位：mm）：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环境类别 墙 梁 柱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≤C20 C25~C45 ≥C50 ≤C20 C25~C45 ≥C50 ≤C20 C25~C45 ≥C50</w:t>
      </w:r>
      <w:r>
        <w:rPr>
          <w:rFonts w:ascii="微软雅黑" w:eastAsia="微软雅黑" w:hAnsi="微软雅黑" w:hint="eastAsia"/>
          <w:color w:val="444444"/>
        </w:rPr>
        <w:br/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20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15 15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30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25 25 30 30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30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二 a ―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20 20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―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30 30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―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 xml:space="preserve"> 30 30</w:t>
      </w:r>
      <w:proofErr w:type="gramEnd"/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b ― 25 20 ― 35 30 ― 35 30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三 ― 30 25 ― 40 35 ― 40 35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注：1、受力钢筋外边缘至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砼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表面的距离，除符合表中规定外，不应小于钢筋的公称直径。2、机械连接接头连接件的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砼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保护层厚度应满足受力钢筋保护层最小厚度的要求，连接件之间的横向净距不宜小于25mm。3、设计使用年限为100年的结构：一类环境中，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砼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保护层厚度应按表中规定增加40%；二类和三类环境中，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砼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保护层厚度应采取专门有效措施。</w:t>
      </w:r>
      <w:r>
        <w:rPr>
          <w:rFonts w:ascii="微软雅黑" w:eastAsia="微软雅黑" w:hAnsi="微软雅黑" w:hint="eastAsia"/>
          <w:color w:val="444444"/>
        </w:rPr>
        <w:br/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lastRenderedPageBreak/>
        <w:t>砼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结构的环境类别见下表：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环境类别 条 件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室内正常环境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境</w:t>
      </w:r>
      <w:proofErr w:type="gramEnd"/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受力钢筋保护层厚度允许偏差见下表：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保护层厚度 柱、梁 ±5 钢尺检查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板、墙、壳 ±3 钢尺检查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用于柱、墙等竖向构件上的垫块，应在制作时预先插入钢丝。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不同规格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的垫块严禁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混放，应按规格分别装袋，并做明显标识，以免误用。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不得使用其它材料如石子等代替水泥砂浆垫块。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垫块应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垫在主筋下，间距不大于1m，可适当加密。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三、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撑铁</w:t>
      </w:r>
      <w:proofErr w:type="gramEnd"/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撑铁板用于支撑板的上部钢筋，保证其位置并在浇筑时不致被踩踏移位，形式有“八”字形、“L”形等。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撑铁的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间距一般为1000*1000间花布置，可适当加密，并保证板45°角内的负筋叠加处有足够支撑。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撑铁的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下料高度为“板厚-钢筋保护层*2-上、下部钢筋直径”，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撑铁应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支撑在下部钢筋上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或垫块上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。“八”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字形撑铁的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铁脚长度应不小于5d且不小于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撑铁高度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的1/2。</w:t>
      </w:r>
      <w:r>
        <w:rPr>
          <w:rFonts w:ascii="微软雅黑" w:eastAsia="微软雅黑" w:hAnsi="微软雅黑" w:hint="eastAsia"/>
          <w:color w:val="444444"/>
        </w:rPr>
        <w:br/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撑铁最小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直径选用表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板厚（cm） ≤12 12~20 20~50 ≥50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直径（mm） 6 10 12 14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“L”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形撑铁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一般在板厚≥30cm可以节约钢材，此时要求将其与钢筋点焊牢固。梁双排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筋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之间可用Φ25钢筋作为撑铁（见下章）。钢筋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砼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墙钢筋之间用拉钩定位如设计没有明述，一般</w:t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lastRenderedPageBreak/>
        <w:t>间距600间花布置。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四、绑扎注意事项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基础：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⑴钢筋网（筛底）的绑扎，四周两行钢筋交叉点应每点扎牢，中间部分每隔一根相互成梅花式扎牢，双向主筋的钢筋，必须将全部钢筋相互交点扎牢，注意相邻绑扎点的铁线扣要成八字形绑扎（左右扣绑扎）。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⑵基础底板采用双层钢筋网时，在上层钢筋网下面设置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钢筋撑铁或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混凝土撑脚，以保证上、下层钢筋位置的正确和两层之间距离。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⑶有180°弯钩的钢筋弯钩应向上，不要倒向一边；但双层钢筋网的上层钢筋弯钩应朝向下。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⑷独立柱基础的钢筋网双向弯曲受力，如图纸没有规定绑扎方法时，其短向钢筋应放在长向钢筋的上边。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⑸现浇柱与基础连接的其箍筋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应比柱的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箍筋缩小一个柱筋的直径，以便连接。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柱：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⑴竖向钢筋的弯钩应朝向柱心，角部钢筋的弯钩平面与模板面夹角，对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矩形柱应为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45°角，截面小的柱，用插入振动器时，弯钩和模板所成的角度不应小于15°。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⑵箍筋的接头应交错排列垂直放置；箍筋转角与竖向钢筋交叉点均应扎牢（箍筋平直部分与竖向钢筋交叉点可每隔一根互成梅花式扎牢）。绑扎箍筋时，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铁线扣要相互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成八字形绑扎。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⑶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下层柱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的竖向钢筋露出楼面部分，宜用工具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或柱箍将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其收进一个柱筋直径，以利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上层柱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的钢筋搭接，当上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下层柱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截面有变化时，其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下层柱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钢筋的露出部分，必须在绑扎梁钢筋之前，先行收分准确。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墙：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⑴墙的钢筋网绑扎同基础。钢筋有180°弯钩时，弯钩应朝向混凝土内。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lastRenderedPageBreak/>
        <w:t>⑵采用双层钢筋网时，在两层钢筋之间，应设置撑铁（钩）以固定钢筋的间距。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梁与板：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⑴纵向受力钢筋出现双层或多层排列时，两排钢筋之间应垫以直径25mm的短钢筋，如纵向钢筋直径大于25mm时，短钢筋直径规格与纵向钢筋相同规格。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⑵箍筋的接头应交错设置，并与两根架立筋绑扎，</w:t>
      </w:r>
      <w:proofErr w:type="gramStart"/>
      <w:r>
        <w:rPr>
          <w:rFonts w:ascii="微软雅黑" w:eastAsia="微软雅黑" w:hAnsi="微软雅黑" w:hint="eastAsia"/>
          <w:color w:val="444444"/>
          <w:shd w:val="clear" w:color="auto" w:fill="FFFFFF"/>
        </w:rPr>
        <w:t>悬臂飘梁则</w:t>
      </w:r>
      <w:proofErr w:type="gramEnd"/>
      <w:r>
        <w:rPr>
          <w:rFonts w:ascii="微软雅黑" w:eastAsia="微软雅黑" w:hAnsi="微软雅黑" w:hint="eastAsia"/>
          <w:color w:val="444444"/>
          <w:shd w:val="clear" w:color="auto" w:fill="FFFFFF"/>
        </w:rPr>
        <w:t>箍筋接头在下，其余做法与柱相同。</w:t>
      </w:r>
      <w:r>
        <w:rPr>
          <w:rFonts w:ascii="微软雅黑" w:eastAsia="微软雅黑" w:hAnsi="微软雅黑" w:hint="eastAsia"/>
          <w:color w:val="444444"/>
        </w:rPr>
        <w:br/>
      </w:r>
      <w:r>
        <w:rPr>
          <w:rFonts w:ascii="微软雅黑" w:eastAsia="微软雅黑" w:hAnsi="微软雅黑" w:hint="eastAsia"/>
          <w:color w:val="444444"/>
          <w:shd w:val="clear" w:color="auto" w:fill="FFFFFF"/>
        </w:rPr>
        <w:t>⑶板的钢筋网绑扎与基础相同，但应注意板上部的负钢筋（面加筋）要防止被踩下；特别是雨篷、挑檐、阳台等悬臂板，要严格控制负筋</w:t>
      </w:r>
    </w:p>
    <w:sectPr w:rsidR="006A24ED" w:rsidRPr="005C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ED"/>
    <w:rsid w:val="00197874"/>
    <w:rsid w:val="005C661C"/>
    <w:rsid w:val="006A24ED"/>
    <w:rsid w:val="00A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096A"/>
  <w15:chartTrackingRefBased/>
  <w15:docId w15:val="{AC691062-082E-4E0C-AACF-62E3111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1</cp:revision>
  <dcterms:created xsi:type="dcterms:W3CDTF">2020-04-18T01:30:00Z</dcterms:created>
  <dcterms:modified xsi:type="dcterms:W3CDTF">2020-04-18T02:17:00Z</dcterms:modified>
</cp:coreProperties>
</file>