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532F6" w:rsidRPr="00510D86" w:rsidRDefault="00063E05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965CC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 w:rsidR="009965CC">
            <w:rPr>
              <w:rFonts w:ascii="Times New Roman" w:hAnsi="Times New Roman" w:cs="Times New Roman" w:hint="eastAsia"/>
              <w:szCs w:val="21"/>
              <w:u w:val="single"/>
            </w:rPr>
            <w:t>20</w:t>
          </w:r>
          <w:r w:rsidR="009965CC">
            <w:rPr>
              <w:rFonts w:ascii="Times New Roman" w:hAnsi="Times New Roman" w:cs="Times New Roman" w:hint="eastAsia"/>
              <w:szCs w:val="21"/>
              <w:u w:val="single"/>
            </w:rPr>
            <w:t>平方米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 w:rsidR="009965CC">
            <w:rPr>
              <w:rFonts w:ascii="Times New Roman" w:hAnsi="Times New Roman" w:cs="Times New Roman" w:hint="eastAsia"/>
              <w:szCs w:val="21"/>
              <w:u w:val="single"/>
            </w:rPr>
            <w:t>15</w:t>
          </w:r>
          <w:r w:rsidR="009965CC">
            <w:rPr>
              <w:rFonts w:ascii="Times New Roman" w:hAnsi="Times New Roman" w:cs="Times New Roman" w:hint="eastAsia"/>
              <w:szCs w:val="21"/>
              <w:u w:val="single"/>
            </w:rPr>
            <w:t>平方米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 w:rsidR="009965CC">
            <w:rPr>
              <w:rFonts w:ascii="Times New Roman" w:hAnsi="Times New Roman" w:cs="Times New Roman" w:hint="eastAsia"/>
              <w:szCs w:val="21"/>
              <w:u w:val="single"/>
            </w:rPr>
            <w:t>75%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</w:t>
            </w:r>
            <w:bookmarkStart w:id="0" w:name="_GoBack"/>
            <w:bookmarkEnd w:id="0"/>
            <w:r w:rsidRPr="000F094C">
              <w:rPr>
                <w:rFonts w:asciiTheme="minorEastAsia" w:eastAsiaTheme="minorEastAsia" w:hAnsiTheme="minorEastAsia" w:hint="eastAsia"/>
                <w:szCs w:val="21"/>
              </w:rPr>
              <w:t>均能够独立控制和调节。</w:t>
            </w:r>
          </w:p>
        </w:tc>
      </w:tr>
    </w:tbl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05" w:rsidRDefault="00063E05" w:rsidP="00E532F6">
      <w:r>
        <w:separator/>
      </w:r>
    </w:p>
  </w:endnote>
  <w:endnote w:type="continuationSeparator" w:id="0">
    <w:p w:rsidR="00063E05" w:rsidRDefault="00063E05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05" w:rsidRDefault="00063E05" w:rsidP="00E532F6">
      <w:r>
        <w:separator/>
      </w:r>
    </w:p>
  </w:footnote>
  <w:footnote w:type="continuationSeparator" w:id="0">
    <w:p w:rsidR="00063E05" w:rsidRDefault="00063E05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63E05"/>
    <w:rsid w:val="00074A38"/>
    <w:rsid w:val="000F094C"/>
    <w:rsid w:val="00180777"/>
    <w:rsid w:val="003859E9"/>
    <w:rsid w:val="003E029F"/>
    <w:rsid w:val="004122BE"/>
    <w:rsid w:val="008D28B2"/>
    <w:rsid w:val="009965CC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6F9C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921435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2020-04-08T12:24:00Z</dcterms:created>
  <dcterms:modified xsi:type="dcterms:W3CDTF">2020-04-08T12:24:00Z</dcterms:modified>
</cp:coreProperties>
</file>