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绿色建筑设计标识申报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新兴城二期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参与单位名称：中土大地国际建筑设计有限公司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建筑类型：  居住建筑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目标星级：  ★★           自评分数: 60.94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自评依据：  河北省《绿色建筑评价标准》DB13(J)/T 113-2015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2020年5月12日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填写说明（必读）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1.本报告适用于申请绿色建筑设计标识，由申报单位填写。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2.“达标判定”项的填写方式：满足要求的项在“□达标”中填写“√”；不满足要求的项在“□不达标”中填写“√”；不参评的项在“□不参评”中填写“√”，规划设计阶段不参评的项 已用“设计阶段不参评”字样标出。如因项目实际情况致使某些条文不参评，请在该条文中阐明原因。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3.“自评得分”项的填写方式：在自评得分分类对应的表格中，填写符合项 目情况的得分，不达标的条文，自评得分填写“0”；不参评条文的得分处 理方式，已在条文中注明。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4.“实际提交材料”中列表填写对应条文实际提交的材料的全称、查阅路径。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6.若采用本报告参考样式，可进行编辑性修改，但不应自行删除技术内容和要求。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7.本报告中涉及数字的，统一保留到小数点后两位。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经自评估，本项目的规划设计阶段控制项全部达标，评分项与加分项的分值达到设计阶段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2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 1         项目规划设计阶段自评得分情况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76.30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50.00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67.40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63.80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47.70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16.02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12.00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13.48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10.85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8.59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60.94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申报星级评分要求：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60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39945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建筑层数：_________，建筑高度：________m。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项目选址应符合所在地城乡规划，且应符合各类保护区、文物古迹保护的建设控制要求。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场地应无洪涝、滑坡、泥石流等自然灾害的威胁，无危险化学品、易燃易爆危险源的威胁，无 电磁辐射、含氡土壤等危害。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场地内应无超标污染物排放。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建筑规划布局应满足日照标准，且不得降低周边建筑的日照标准。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居住建筑容积率满足当地政府对容积率的规划要求。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节约集约利用土地。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场地内合理设置绿化用地。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合理开发利用地下空间。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建筑及照明设计避免产生光污染。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场地内环境噪声符合现行国家标准《声环境质量标准》GB 3096 的有关规定。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场地内风环境有利于室外行走、活动舒适和建筑的自然通风。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采取措施降低热岛强度。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场地与公共交通设施具有便捷的联系。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场地内人行通道采用无障碍设计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合理设置停车场所。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提供便利的公共服务。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结合现状地形地貌进行场地设计与建筑布局，保护场地内原有的自然水域、湿地和植被，采取表层土利用等生态补偿措施。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充分利用场地空间合理设置绿色雨水基础设施，对大于 10hm2  的场地进行雨水专项规划设计。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合理规划地表与屋面雨水径流，对场地雨水实施外排总量控制。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合理选择绿化方式，科学配置绿化植物。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