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4.1.4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建筑内部的非结构件、设备及附属设施等应连接牢固并能适应主体结构变形。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☑</w:t>
      </w:r>
      <w:r>
        <w:rPr>
          <w:rFonts w:ascii="Times New Roman" w:hAnsi="Times New Roman" w:cs="Times New Roman"/>
          <w:szCs w:val="21"/>
        </w:rPr>
        <w:t>达标；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请对建筑内部的非结构件、设备及附属设施等的连接</w:t>
      </w:r>
      <w:r>
        <w:rPr>
          <w:rFonts w:hint="eastAsia" w:ascii="Times New Roman" w:hAnsi="Times New Roman" w:eastAsia="宋体" w:cs="Times New Roman"/>
          <w:szCs w:val="21"/>
        </w:rPr>
        <w:t>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建筑、结构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</w:t>
      </w:r>
      <w:r>
        <w:rPr>
          <w:rFonts w:hint="eastAsia" w:ascii="Times New Roman" w:hAnsi="Times New Roman" w:eastAsia="宋体" w:cs="Times New Roman"/>
          <w:szCs w:val="21"/>
        </w:rPr>
        <w:t>和设计说明；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2）关键构件计算书；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4）建筑的维修与管理记录。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6"/>
    <w:rsid w:val="00026340"/>
    <w:rsid w:val="00074A38"/>
    <w:rsid w:val="00141669"/>
    <w:rsid w:val="005157A0"/>
    <w:rsid w:val="008D61F7"/>
    <w:rsid w:val="00A066ED"/>
    <w:rsid w:val="00CA5A36"/>
    <w:rsid w:val="00F80237"/>
    <w:rsid w:val="66E1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Administrator</cp:lastModifiedBy>
  <dcterms:modified xsi:type="dcterms:W3CDTF">2020-04-27T07:37:32Z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