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4.1.7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走廊、疏散通道等通行空间应满足紧急疏散、应急救护等要求，且应保持畅通。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/>
          <w:color w:val="000000"/>
          <w:lang w:eastAsia="zh-CN"/>
        </w:rPr>
        <w:t>☑</w:t>
      </w:r>
      <w:r>
        <w:rPr>
          <w:rFonts w:ascii="Times New Roman" w:hAnsi="Times New Roman" w:cs="Times New Roman"/>
          <w:szCs w:val="21"/>
        </w:rPr>
        <w:t>达标；</w:t>
      </w:r>
      <w:r>
        <w:rPr>
          <w:rFonts w:hint="eastAsia"/>
          <w:color w:val="000000"/>
          <w:lang w:eastAsia="zh-CN"/>
        </w:rPr>
        <w:t>□</w:t>
      </w:r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请对走廊、疏散通道等通行空间的畅通性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9356" w:type="dxa"/>
          </w:tcPr>
          <w:p>
            <w:pPr>
              <w:ind w:firstLine="420" w:firstLineChars="200"/>
              <w:rPr>
                <w:rFonts w:hint="eastAsia" w:ascii="宋体" w:hAnsi="宋体"/>
                <w:szCs w:val="21"/>
                <w:lang w:val="zh-CN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根据建筑的高度、规模、使用功能和耐火等级等因素合理设置安全疏散和避难设施，安全出口和疏散门的位置、数量、宽度及疏散楼梯间的形式，满足人员安全疏散的要求。走廊、疏散通道等满足现行《建筑设计防火规范》GB</w:t>
            </w:r>
            <w:r>
              <w:rPr>
                <w:rFonts w:ascii="宋体" w:hAnsi="宋体"/>
                <w:szCs w:val="21"/>
                <w:lang w:val="zh-CN"/>
              </w:rPr>
              <w:t>50016</w:t>
            </w:r>
            <w:r>
              <w:rPr>
                <w:rFonts w:hint="eastAsia" w:ascii="宋体" w:hAnsi="宋体"/>
                <w:szCs w:val="21"/>
                <w:lang w:val="zh-CN"/>
              </w:rPr>
              <w:t>、《防灾避难场所设计规范》GB</w:t>
            </w:r>
            <w:r>
              <w:rPr>
                <w:rFonts w:ascii="宋体" w:hAnsi="宋体"/>
                <w:szCs w:val="21"/>
                <w:lang w:val="zh-CN"/>
              </w:rPr>
              <w:t>51143</w:t>
            </w:r>
            <w:r>
              <w:rPr>
                <w:rFonts w:hint="eastAsia" w:ascii="宋体" w:hAnsi="宋体"/>
                <w:szCs w:val="21"/>
                <w:lang w:val="zh-CN"/>
              </w:rPr>
              <w:t>等对安全疏散和避难、应急交通的相关要求。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建筑</w:t>
      </w:r>
      <w:r>
        <w:rPr>
          <w:rFonts w:hint="eastAsia" w:ascii="Times New Roman" w:hAnsi="Times New Roman" w:eastAsia="宋体" w:cs="Times New Roman"/>
          <w:szCs w:val="21"/>
        </w:rPr>
        <w:t>、弱电专业相关</w:t>
      </w:r>
      <w:r>
        <w:rPr>
          <w:rFonts w:ascii="Times New Roman" w:hAnsi="Times New Roman" w:eastAsia="宋体" w:cs="Times New Roman"/>
          <w:szCs w:val="21"/>
        </w:rPr>
        <w:t>竣工图纸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紧急疏散</w:t>
      </w:r>
      <w:r>
        <w:rPr>
          <w:rFonts w:hint="eastAsia" w:ascii="Times New Roman" w:hAnsi="Times New Roman" w:eastAsia="宋体" w:cs="Times New Roman"/>
          <w:szCs w:val="21"/>
        </w:rPr>
        <w:t>、应急救护的</w:t>
      </w:r>
      <w:r>
        <w:rPr>
          <w:rFonts w:ascii="Times New Roman" w:hAnsi="Times New Roman" w:eastAsia="宋体" w:cs="Times New Roman"/>
          <w:szCs w:val="21"/>
        </w:rPr>
        <w:t>相关管理</w:t>
      </w:r>
      <w:r>
        <w:rPr>
          <w:rFonts w:hint="eastAsia" w:ascii="Times New Roman" w:hAnsi="Times New Roman" w:eastAsia="宋体" w:cs="Times New Roman"/>
          <w:szCs w:val="21"/>
        </w:rPr>
        <w:t>制度；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3）紧急疏散、应急救护的相关教育宣传记录，应提供影像资料。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9356" w:type="dxa"/>
          </w:tcPr>
          <w:p>
            <w:pPr>
              <w:numPr>
                <w:numId w:val="0"/>
              </w:num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建筑平面图。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电气施工图。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3AA072"/>
    <w:multiLevelType w:val="singleLevel"/>
    <w:tmpl w:val="AE3AA0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D5"/>
    <w:rsid w:val="00074A38"/>
    <w:rsid w:val="00222E14"/>
    <w:rsid w:val="00D6348E"/>
    <w:rsid w:val="00FB71D5"/>
    <w:rsid w:val="3FE6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Lines>1</Lines>
  <Paragraphs>1</Paragraphs>
  <TotalTime>1</TotalTime>
  <ScaleCrop>false</ScaleCrop>
  <LinksUpToDate>false</LinksUpToDate>
  <CharactersWithSpaces>213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2019-07-12T07:40:00Z</dcterms:created>
  <dc:creator>dongYP</dc:creator>
  <cp:lastModifiedBy>Administrator</cp:lastModifiedBy>
  <dcterms:modified xsi:type="dcterms:W3CDTF">2020-04-13T09:51:36Z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