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xxxx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报告日期：2020年8月6日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项目名称：xxxx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依据标准：北京市《绿色建筑评价标准》DB11/T 825-2015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33.0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728.43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节地、节能、节水、节材、室内的得分小于40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项目选址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蒸汽锅炉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冷源系统综合性能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低压配电系统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透明部分可开启面积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能效指标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节能降耗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暖通空调监测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自动启停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优化设计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材料产地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材料耐久度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再生材料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环保材料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采用推广产品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降噪措施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公建隔声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太阳辐射得热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建筑空间优化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PM2.5控制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绿色评价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加分项取值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COP效能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结构体系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提高能源利用效率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选用先进的技术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旧地利用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