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71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4.2  评分项</w:t>
      </w:r>
      <w:bookmarkEnd w:id="0"/>
    </w:p>
    <w:p>
      <w:pPr>
        <w:spacing w:line="320" w:lineRule="exact"/>
        <w:jc w:val="center"/>
        <w:rPr>
          <w:b/>
          <w:color w:val="000000"/>
          <w:sz w:val="24"/>
        </w:rPr>
      </w:pPr>
    </w:p>
    <w:p>
      <w:pPr>
        <w:pStyle w:val="3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1" w:name="_Toc452968672"/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>Ⅰ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土地利用</w:t>
      </w:r>
      <w:bookmarkEnd w:id="1"/>
    </w:p>
    <w:p>
      <w:pPr>
        <w:spacing w:line="320" w:lineRule="exact"/>
        <w:jc w:val="center"/>
        <w:rPr>
          <w:b/>
          <w:color w:val="000000"/>
          <w:w w:val="105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4.2.1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节约集约利用土地。（总分 1</w:t>
      </w:r>
      <w:r>
        <w:rPr>
          <w:rFonts w:hint="eastAsia"/>
          <w:b/>
          <w:color w:val="000000"/>
          <w:sz w:val="24"/>
        </w:rPr>
        <w:t>7</w:t>
      </w:r>
      <w:r>
        <w:rPr>
          <w:b/>
          <w:color w:val="000000"/>
          <w:sz w:val="24"/>
        </w:rPr>
        <w:t>分）</w:t>
      </w:r>
    </w:p>
    <w:p>
      <w:pPr>
        <w:spacing w:line="320" w:lineRule="exact"/>
        <w:rPr>
          <w:rFonts w:hint="eastAsia" w:ascii="宋体" w:hAnsi="宋体"/>
          <w:b/>
          <w:bCs/>
          <w:color w:val="000000"/>
          <w:szCs w:val="21"/>
        </w:rPr>
      </w:pPr>
    </w:p>
    <w:p>
      <w:pPr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1</w:t>
      </w:r>
      <w:r>
        <w:rPr>
          <w:b/>
          <w:color w:val="000000"/>
          <w:szCs w:val="21"/>
        </w:rPr>
        <w:t>）得分自评</w:t>
      </w:r>
    </w:p>
    <w:tbl>
      <w:tblPr>
        <w:tblStyle w:val="6"/>
        <w:tblW w:w="92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36"/>
        <w:gridCol w:w="1536"/>
        <w:gridCol w:w="1536"/>
        <w:gridCol w:w="1537"/>
        <w:gridCol w:w="15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类型</w:t>
            </w:r>
          </w:p>
        </w:tc>
        <w:tc>
          <w:tcPr>
            <w:tcW w:w="4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评价内容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评价分值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自评得分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居住建筑</w:t>
            </w:r>
          </w:p>
        </w:tc>
        <w:tc>
          <w:tcPr>
            <w:tcW w:w="15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人均居住用地指标</w:t>
            </w:r>
            <w:r>
              <w:rPr>
                <w:color w:val="000000"/>
                <w:szCs w:val="21"/>
              </w:rPr>
              <w:t>A</w:t>
            </w:r>
            <w:r>
              <w:rPr>
                <w:rFonts w:hAnsi="宋体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Ansi="宋体"/>
                <w:color w:val="000000"/>
                <w:szCs w:val="21"/>
              </w:rPr>
              <w:t>）</w:t>
            </w:r>
          </w:p>
        </w:tc>
        <w:tc>
          <w:tcPr>
            <w:tcW w:w="15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</w:rPr>
              <w:sym w:font="Wingdings 2" w:char="0052"/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 w:ascii="宋体" w:hAnsi="宋体" w:cs="Arial"/>
                <w:color w:val="000000"/>
              </w:rPr>
              <w:t>层及以下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35＜A</w:t>
            </w: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41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≤35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</w:rPr>
              <w:sym w:font="Wingdings 2" w:char="0052"/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 xml:space="preserve">6 </w:t>
            </w:r>
            <w:r>
              <w:rPr>
                <w:rFonts w:hint="eastAsia"/>
                <w:szCs w:val="21"/>
              </w:rPr>
              <w:t>层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  <w:r>
              <w:rPr>
                <w:szCs w:val="21"/>
              </w:rPr>
              <w:t>＜A</w:t>
            </w:r>
            <w:r>
              <w:rPr>
                <w:rFonts w:hint="eastAsia"/>
                <w:szCs w:val="21"/>
              </w:rPr>
              <w:t>≤26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≤23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</w:rPr>
              <w:t>□</w:t>
            </w:r>
            <w:r>
              <w:rPr>
                <w:rFonts w:hint="eastAsia"/>
                <w:szCs w:val="21"/>
              </w:rPr>
              <w:t>7～12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层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  <w:r>
              <w:rPr>
                <w:szCs w:val="21"/>
              </w:rPr>
              <w:t>＜A</w:t>
            </w:r>
            <w:r>
              <w:rPr>
                <w:rFonts w:hint="eastAsia"/>
                <w:szCs w:val="21"/>
              </w:rPr>
              <w:t>≤24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≤22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</w:rPr>
              <w:t>□</w:t>
            </w:r>
            <w:r>
              <w:rPr>
                <w:rFonts w:hint="eastAsia"/>
                <w:szCs w:val="21"/>
              </w:rPr>
              <w:t>13～18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层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＜A</w:t>
            </w:r>
            <w:r>
              <w:rPr>
                <w:rFonts w:hint="eastAsia"/>
                <w:szCs w:val="21"/>
              </w:rPr>
              <w:t>≤22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≤20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</w:rPr>
              <w:t>□</w:t>
            </w:r>
            <w:r>
              <w:rPr>
                <w:rFonts w:hint="eastAsia"/>
                <w:szCs w:val="21"/>
              </w:rPr>
              <w:t>19层及以上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szCs w:val="21"/>
              </w:rPr>
              <w:t>＜A</w:t>
            </w:r>
            <w:r>
              <w:rPr>
                <w:rFonts w:hint="eastAsia"/>
                <w:szCs w:val="21"/>
              </w:rPr>
              <w:t>≤13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≤11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公共建筑</w:t>
            </w:r>
          </w:p>
        </w:tc>
        <w:tc>
          <w:tcPr>
            <w:tcW w:w="15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容积率</w:t>
            </w:r>
            <w:r>
              <w:rPr>
                <w:rFonts w:hint="eastAsia"/>
                <w:color w:val="000000"/>
                <w:szCs w:val="21"/>
              </w:rPr>
              <w:t>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R＜0.8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0.8</w:t>
            </w: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R＜1.5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1.5</w:t>
            </w: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R＜3.5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R</w:t>
            </w:r>
            <w:r>
              <w:rPr>
                <w:rFonts w:hint="eastAsia"/>
                <w:szCs w:val="21"/>
              </w:rPr>
              <w:t>≥</w:t>
            </w:r>
            <w:r>
              <w:rPr>
                <w:szCs w:val="21"/>
              </w:rPr>
              <w:t>3.5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合计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</w:t>
            </w:r>
            <w:bookmarkStart w:id="2" w:name="_GoBack"/>
            <w:bookmarkEnd w:id="2"/>
          </w:p>
        </w:tc>
      </w:tr>
    </w:tbl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 xml:space="preserve">2) 评价要点 </w:t>
      </w:r>
    </w:p>
    <w:tbl>
      <w:tblPr>
        <w:tblStyle w:val="6"/>
        <w:tblW w:w="92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项目类型</w:t>
            </w:r>
          </w:p>
        </w:tc>
        <w:tc>
          <w:tcPr>
            <w:tcW w:w="6842" w:type="dxa"/>
          </w:tcPr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vAlign w:val="center"/>
          </w:tcPr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eastAsia="zh-CN"/>
              </w:rPr>
              <w:t>居住建筑</w:t>
            </w:r>
          </w:p>
        </w:tc>
        <w:tc>
          <w:tcPr>
            <w:tcW w:w="6842" w:type="dxa"/>
          </w:tcPr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eastAsia="zh-CN"/>
              </w:rPr>
              <w:t>住区内所有住宅建筑层数相同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住宅层数</w:t>
            </w:r>
            <w:r>
              <w:rPr>
                <w:rFonts w:hint="eastAsia"/>
                <w:color w:val="000000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color w:val="000000"/>
                <w:lang w:eastAsia="zh-CN"/>
              </w:rPr>
              <w:t>层（</w:t>
            </w:r>
            <w:r>
              <w:rPr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eastAsia="zh-CN"/>
              </w:rPr>
              <w:t xml:space="preserve">低层 </w:t>
            </w:r>
            <w:r>
              <w:rPr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eastAsia="zh-CN"/>
              </w:rPr>
              <w:t xml:space="preserve">多层 </w:t>
            </w:r>
            <w:r>
              <w:rPr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eastAsia="zh-CN"/>
              </w:rPr>
              <w:t xml:space="preserve">中高层 </w:t>
            </w:r>
            <w:r>
              <w:rPr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eastAsia="zh-CN"/>
              </w:rPr>
              <w:t>高层）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住宅总户数</w:t>
            </w:r>
            <w:r>
              <w:rPr>
                <w:rFonts w:hint="eastAsia"/>
                <w:color w:val="000000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color w:val="000000"/>
                <w:lang w:eastAsia="zh-CN"/>
              </w:rPr>
              <w:t>户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总人口（按每户</w:t>
            </w:r>
            <w:r>
              <w:rPr>
                <w:rFonts w:hint="eastAsia" w:ascii="Times New Roman" w:hAnsi="Times New Roman"/>
                <w:lang w:eastAsia="zh-CN"/>
              </w:rPr>
              <w:t>3.2</w:t>
            </w:r>
            <w:r>
              <w:rPr>
                <w:rFonts w:hint="eastAsia"/>
                <w:color w:val="000000"/>
                <w:lang w:eastAsia="zh-CN"/>
              </w:rPr>
              <w:t>人计算）</w:t>
            </w:r>
            <w:r>
              <w:rPr>
                <w:rFonts w:hint="eastAsia"/>
                <w:color w:val="000000"/>
                <w:u w:val="single"/>
                <w:lang w:eastAsia="zh-CN"/>
              </w:rPr>
              <w:t xml:space="preserve">       </w:t>
            </w:r>
            <w:r>
              <w:rPr>
                <w:rFonts w:hint="eastAsia"/>
                <w:color w:val="000000"/>
                <w:lang w:eastAsia="zh-CN"/>
              </w:rPr>
              <w:t>人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color w:val="000000"/>
                <w:u w:val="single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参评范围的居住用地面积</w:t>
            </w:r>
            <w:r>
              <w:rPr>
                <w:rFonts w:hint="eastAsia"/>
                <w:color w:val="000000"/>
                <w:u w:val="single"/>
                <w:lang w:eastAsia="zh-CN"/>
              </w:rPr>
              <w:t xml:space="preserve">         </w:t>
            </w:r>
            <w:r>
              <w:rPr>
                <w:rFonts w:hint="eastAsia" w:ascii="Times New Roman" w:hAnsi="Times New Roman"/>
                <w:lang w:eastAsia="zh-CN"/>
              </w:rPr>
              <w:t>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u w:val="single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人均居住用地指标</w:t>
            </w:r>
            <w:r>
              <w:rPr>
                <w:rFonts w:hint="eastAsia" w:ascii="Times New Roman" w:hAnsi="Times New Roman"/>
                <w:color w:val="000000"/>
                <w:u w:val="single"/>
                <w:lang w:eastAsia="zh-CN"/>
              </w:rPr>
              <w:t xml:space="preserve">                </w:t>
            </w:r>
            <w:r>
              <w:rPr>
                <w:rFonts w:hint="eastAsia" w:ascii="Times New Roman" w:hAnsi="Times New Roman"/>
                <w:lang w:eastAsia="zh-CN"/>
              </w:rPr>
              <w:t>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6842" w:type="dxa"/>
          </w:tcPr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□住区内不同层数的住宅建筑混合建设</w:t>
            </w:r>
            <w:r>
              <w:rPr>
                <w:lang w:eastAsia="zh-CN"/>
              </w:rPr>
              <w:t xml:space="preserve"> 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ascii="Times New Roman" w:hAnsi="Times New Roman"/>
                <w:lang w:eastAsia="zh-CN"/>
              </w:rPr>
              <w:t xml:space="preserve">3 </w:t>
            </w:r>
            <w:r>
              <w:rPr>
                <w:rFonts w:hint="eastAsia"/>
                <w:lang w:eastAsia="zh-CN"/>
              </w:rPr>
              <w:t>层及以下住宅户数</w:t>
            </w:r>
            <w:r>
              <w:rPr>
                <w:rFonts w:hint="eastAsia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户</w:t>
            </w:r>
            <w:r>
              <w:rPr>
                <w:lang w:eastAsia="zh-CN"/>
              </w:rPr>
              <w:t xml:space="preserve"> 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ascii="Times New Roman" w:hAnsi="Times New Roman"/>
                <w:lang w:eastAsia="zh-CN"/>
              </w:rPr>
              <w:t xml:space="preserve">4-6 </w:t>
            </w:r>
            <w:r>
              <w:rPr>
                <w:rFonts w:hint="eastAsia"/>
                <w:lang w:eastAsia="zh-CN"/>
              </w:rPr>
              <w:t>层住宅户数</w:t>
            </w:r>
            <w:r>
              <w:rPr>
                <w:rFonts w:hint="eastAsia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户</w:t>
            </w:r>
            <w:r>
              <w:rPr>
                <w:lang w:eastAsia="zh-CN"/>
              </w:rPr>
              <w:t xml:space="preserve"> 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ascii="Times New Roman" w:hAnsi="Times New Roman"/>
                <w:lang w:eastAsia="zh-CN"/>
              </w:rPr>
              <w:t xml:space="preserve">7-12 </w:t>
            </w:r>
            <w:r>
              <w:rPr>
                <w:rFonts w:hint="eastAsia"/>
                <w:lang w:eastAsia="zh-CN"/>
              </w:rPr>
              <w:t>层住宅户数</w:t>
            </w:r>
            <w:r>
              <w:rPr>
                <w:rFonts w:hint="eastAsia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户</w:t>
            </w:r>
            <w:r>
              <w:rPr>
                <w:lang w:eastAsia="zh-CN"/>
              </w:rPr>
              <w:t xml:space="preserve"> 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ascii="Times New Roman" w:hAnsi="Times New Roman"/>
                <w:lang w:eastAsia="zh-CN"/>
              </w:rPr>
              <w:t xml:space="preserve">13-18 </w:t>
            </w:r>
            <w:r>
              <w:rPr>
                <w:rFonts w:hint="eastAsia"/>
                <w:lang w:eastAsia="zh-CN"/>
              </w:rPr>
              <w:t>层住宅户数</w:t>
            </w:r>
            <w:r>
              <w:rPr>
                <w:rFonts w:hint="eastAsia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户</w:t>
            </w:r>
          </w:p>
          <w:p>
            <w:pPr>
              <w:pStyle w:val="13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19</w:t>
            </w:r>
            <w:r>
              <w:rPr>
                <w:rFonts w:hint="eastAsia"/>
                <w:sz w:val="21"/>
                <w:szCs w:val="21"/>
              </w:rPr>
              <w:t>层以上住宅户数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户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13"/>
              <w:jc w:val="both"/>
              <w:rPr>
                <w:sz w:val="11"/>
                <w:szCs w:val="11"/>
              </w:rPr>
            </w:pPr>
            <w:r>
              <w:rPr>
                <w:rFonts w:hint="eastAsia"/>
                <w:sz w:val="21"/>
                <w:szCs w:val="21"/>
              </w:rPr>
              <w:t>现有居住户数可能占用的最大居住用地面积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m</w:t>
            </w:r>
            <w:r>
              <w:rPr>
                <w:rFonts w:hint="eastAsia" w:ascii="Times New Roman" w:hAnsi="Times New Roman"/>
                <w:color w:val="auto"/>
                <w:vertAlign w:val="superscript"/>
              </w:rPr>
              <w:t>2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/>
                <w:lang w:eastAsia="zh-CN"/>
              </w:rPr>
              <w:t>参评范围的居住用地面积</w:t>
            </w:r>
            <w:r>
              <w:rPr>
                <w:rFonts w:hint="eastAsia"/>
                <w:u w:val="single"/>
                <w:lang w:eastAsia="zh-CN"/>
              </w:rPr>
              <w:t xml:space="preserve">      </w:t>
            </w:r>
            <w:r>
              <w:rPr>
                <w:rFonts w:hint="eastAsia" w:ascii="Times New Roman" w:hAnsi="Times New Roman"/>
                <w:lang w:eastAsia="zh-CN"/>
              </w:rPr>
              <w:t>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eastAsia="zh-CN"/>
              </w:rPr>
              <w:t>公共建筑</w:t>
            </w:r>
          </w:p>
        </w:tc>
        <w:tc>
          <w:tcPr>
            <w:tcW w:w="6842" w:type="dxa"/>
          </w:tcPr>
          <w:p>
            <w:pPr>
              <w:pStyle w:val="13"/>
              <w:jc w:val="both"/>
              <w:rPr>
                <w:sz w:val="11"/>
                <w:szCs w:val="11"/>
              </w:rPr>
            </w:pPr>
            <w:r>
              <w:rPr>
                <w:rFonts w:hint="eastAsia"/>
                <w:sz w:val="21"/>
                <w:szCs w:val="21"/>
              </w:rPr>
              <w:t>用地面积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</w:rPr>
              <w:t>m</w:t>
            </w:r>
            <w:r>
              <w:rPr>
                <w:rFonts w:hint="eastAsia" w:ascii="Times New Roman" w:hAnsi="Times New Roman"/>
                <w:color w:val="auto"/>
                <w:vertAlign w:val="superscript"/>
              </w:rPr>
              <w:t>2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地上建筑面积</w:t>
            </w:r>
            <w:r>
              <w:rPr>
                <w:rFonts w:hint="eastAsia"/>
                <w:u w:val="single"/>
                <w:lang w:eastAsia="zh-CN"/>
              </w:rPr>
              <w:t xml:space="preserve">      </w:t>
            </w:r>
            <w:r>
              <w:rPr>
                <w:rFonts w:hint="eastAsia" w:ascii="Times New Roman" w:hAnsi="Times New Roman"/>
                <w:lang w:eastAsia="zh-CN"/>
              </w:rPr>
              <w:t>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>容积率</w:t>
            </w:r>
            <w:r>
              <w:rPr>
                <w:rFonts w:hint="eastAsia"/>
                <w:u w:val="single"/>
                <w:lang w:eastAsia="zh-CN"/>
              </w:rPr>
              <w:t xml:space="preserve">      </w:t>
            </w:r>
          </w:p>
        </w:tc>
      </w:tr>
    </w:tbl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spacing w:line="32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3）证明材料</w:t>
      </w:r>
    </w:p>
    <w:p>
      <w:pPr>
        <w:spacing w:line="320" w:lineRule="exact"/>
        <w:rPr>
          <w:color w:val="000000"/>
          <w:spacing w:val="1"/>
        </w:rPr>
      </w:pPr>
      <w:r>
        <w:rPr>
          <w:b/>
          <w:bCs/>
          <w:color w:val="000000"/>
          <w:szCs w:val="21"/>
        </w:rPr>
        <w:t>提交清单及要求：</w:t>
      </w:r>
      <w:r>
        <w:rPr>
          <w:color w:val="000000"/>
          <w:spacing w:val="1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hint="eastAsia" w:ascii="Times New Roman" w:hAnsi="Times New Roman"/>
          <w:color w:val="000000"/>
          <w:spacing w:val="1"/>
          <w:lang w:eastAsia="zh-CN"/>
        </w:rPr>
        <w:t>1.</w:t>
      </w:r>
      <w:r>
        <w:rPr>
          <w:rFonts w:hint="eastAsia"/>
          <w:lang w:eastAsia="zh-CN"/>
        </w:rPr>
        <w:t xml:space="preserve"> 规划现状图：应包括红线范围、竖向标高、原有地物等。如地块中或其周边还涉及文保单位、水体等，地块现状图中还需包括紫线、蓝线与绿线；</w:t>
      </w:r>
    </w:p>
    <w:p>
      <w:pPr>
        <w:pStyle w:val="3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hint="eastAsia" w:ascii="Times New Roman" w:hAnsi="Times New Roman"/>
          <w:color w:val="000000"/>
          <w:spacing w:val="1"/>
          <w:lang w:eastAsia="zh-CN"/>
        </w:rPr>
        <w:t>2.</w:t>
      </w:r>
      <w:r>
        <w:rPr>
          <w:rFonts w:hint="eastAsia"/>
          <w:lang w:eastAsia="zh-CN"/>
        </w:rPr>
        <w:t xml:space="preserve"> 总平面图：应包括规划用地面积、总建筑面积、户数、人均居住用地指标、容积率等技术经济指标；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spacing w:val="1"/>
          <w:lang w:eastAsia="zh-CN"/>
        </w:rPr>
        <w:t>3.</w:t>
      </w:r>
      <w:r>
        <w:rPr>
          <w:rFonts w:hint="eastAsia"/>
          <w:lang w:eastAsia="zh-CN"/>
        </w:rPr>
        <w:t xml:space="preserve"> 人均居住用地指标计算书：应包括人均居住用地指标详细计算过程。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1057910</wp:posOffset>
                </wp:positionH>
                <wp:positionV relativeFrom="paragraph">
                  <wp:posOffset>63500</wp:posOffset>
                </wp:positionV>
                <wp:extent cx="5704840" cy="737235"/>
                <wp:effectExtent l="10160" t="2540" r="9525" b="317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4840" cy="737235"/>
                          <a:chOff x="1681" y="1890"/>
                          <a:chExt cx="8544" cy="1161"/>
                        </a:xfrm>
                      </wpg:grpSpPr>
                      <wpg:grpSp>
                        <wpg:cNvPr id="13" name="Group 3"/>
                        <wpg:cNvGrpSpPr/>
                        <wpg:grpSpPr>
                          <a:xfrm>
                            <a:off x="1687" y="1895"/>
                            <a:ext cx="8532" cy="2"/>
                            <a:chOff x="1687" y="1895"/>
                            <a:chExt cx="8532" cy="2"/>
                          </a:xfrm>
                        </wpg:grpSpPr>
                        <wps:wsp>
                          <wps:cNvPr id="14" name="Freeform 4"/>
                          <wps:cNvSpPr/>
                          <wps:spPr bwMode="auto">
                            <a:xfrm>
                              <a:off x="1687" y="189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"/>
                        <wpg:cNvGrpSpPr/>
                        <wpg:grpSpPr>
                          <a:xfrm>
                            <a:off x="1692" y="1900"/>
                            <a:ext cx="2" cy="1145"/>
                            <a:chOff x="1692" y="1900"/>
                            <a:chExt cx="2" cy="1145"/>
                          </a:xfrm>
                        </wpg:grpSpPr>
                        <wps:wsp>
                          <wps:cNvPr id="16" name="Freeform 6"/>
                          <wps:cNvSpPr/>
                          <wps:spPr bwMode="auto">
                            <a:xfrm>
                              <a:off x="1692" y="1900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900 1900"/>
                                <a:gd name="T1" fmla="*/ 1900 h 1145"/>
                                <a:gd name="T2" fmla="+- 0 3045 1900"/>
                                <a:gd name="T3" fmla="*/ 3045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"/>
                        <wpg:cNvGrpSpPr/>
                        <wpg:grpSpPr>
                          <a:xfrm>
                            <a:off x="1687" y="3040"/>
                            <a:ext cx="8532" cy="2"/>
                            <a:chOff x="1687" y="3040"/>
                            <a:chExt cx="8532" cy="2"/>
                          </a:xfrm>
                        </wpg:grpSpPr>
                        <wps:wsp>
                          <wps:cNvPr id="18" name="Freeform 8"/>
                          <wps:cNvSpPr/>
                          <wps:spPr bwMode="auto">
                            <a:xfrm>
                              <a:off x="1687" y="304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9"/>
                        <wpg:cNvGrpSpPr/>
                        <wpg:grpSpPr>
                          <a:xfrm>
                            <a:off x="10214" y="1900"/>
                            <a:ext cx="2" cy="1145"/>
                            <a:chOff x="10214" y="1900"/>
                            <a:chExt cx="2" cy="1145"/>
                          </a:xfrm>
                        </wpg:grpSpPr>
                        <wps:wsp>
                          <wps:cNvPr id="20" name="Freeform 10"/>
                          <wps:cNvSpPr/>
                          <wps:spPr bwMode="auto">
                            <a:xfrm>
                              <a:off x="10214" y="1900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900 1900"/>
                                <a:gd name="T1" fmla="*/ 1900 h 1145"/>
                                <a:gd name="T2" fmla="+- 0 3045 1900"/>
                                <a:gd name="T3" fmla="*/ 3045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3pt;margin-top:5pt;height:58.05pt;width:449.2pt;mso-position-horizontal-relative:page;z-index:-251657216;mso-width-relative:page;mso-height-relative:page;" coordorigin="1681,1890" coordsize="8544,1161" o:gfxdata="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">
                <o:lock v:ext="edit" aspectratio="f"/>
                <v:group id="Group 3" o:spid="_x0000_s1026" o:spt="203" style="position:absolute;left:1687;top:1895;height:2;width:8532;" coordorigin="1687,1895" coordsize="8532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4" o:spid="_x0000_s1026" o:spt="100" style="position:absolute;left:1687;top:1895;height:2;width:8532;" filled="f" stroked="t" coordsize="8532,1" o:gfxdata="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tNiQ2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1900;height:1145;width:2;" coordorigin="1692,1900" coordsize="2,1145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6" o:spid="_x0000_s1026" o:spt="100" style="position:absolute;left:1692;top:1900;height:1145;width:2;" filled="f" stroked="t" coordsize="1,1145" o:gfxdata="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gjCMrgAAADbAAAA&#10;DwAAAAAAAAABACAAAAAiAAAAZHJzL2Rvd25yZXYueG1sUEsBAhQAFAAAAAgAh07iQDMvBZ47AAAA&#10;OQAAABAAAAAAAAAAAQAgAAAABwEAAGRycy9zaGFwZXhtbC54bWxQSwUGAAAAAAYABgBbAQAAsQMA&#10;AAAA&#10;" path="m0,0l0,1145e">
                    <v:path o:connectlocs="0,1900;0,304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3040;height:2;width:8532;" coordorigin="1687,3040" coordsize="8532,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1687;top:3040;height:2;width:8532;" filled="f" stroked="t" coordsize="8532,1" o:gfxdata="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AIMIugAAANsA&#10;AAAPAAAAAAAAAAEAIAAAACIAAABkcnMvZG93bnJldi54bWxQSwECFAAUAAAACACHTuJAMy8FnjsA&#10;AAA5AAAAEAAAAAAAAAABACAAAAAJAQAAZHJzL3NoYXBleG1sLnhtbFBLBQYAAAAABgAGAFsBAACz&#10;AwAAAAA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1900;height:1145;width:2;" coordorigin="10214,1900" coordsize="2,1145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1900;height:1145;width:2;" filled="f" stroked="t" coordsize="1,1145" o:gfxdata="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0wTVgtwAAANsAAAAP&#10;AAAAAAAAAAEAIAAAACIAAABkcnMvZG93bnJldi54bWxQSwECFAAUAAAACACHTuJAMy8FnjsAAAA5&#10;AAAAEAAAAAAAAAABACAAAAAGAQAAZHJzL3NoYXBleG1sLnhtbFBLBQYAAAAABgAGAFsBAACwAwAA&#10;AAA=&#10;" path="m0,0l0,1145e">
                    <v:path o:connectlocs="0,1900;0,304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rFonts w:hint="eastAsia" w:ascii="宋体" w:hAnsi="宋体"/>
          <w:color w:val="000000"/>
          <w:szCs w:val="21"/>
        </w:rPr>
        <w:sectPr>
          <w:pgSz w:w="11905" w:h="16840"/>
          <w:pgMar w:top="1389" w:right="1242" w:bottom="1378" w:left="1661" w:header="870" w:footer="1190" w:gutter="0"/>
          <w:paperSrc w:first="7" w:other="7"/>
          <w:cols w:space="720" w:num="1"/>
        </w:sect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3B"/>
    <w:rsid w:val="000401BB"/>
    <w:rsid w:val="00063B3B"/>
    <w:rsid w:val="00077439"/>
    <w:rsid w:val="001062CD"/>
    <w:rsid w:val="0051155F"/>
    <w:rsid w:val="005403AF"/>
    <w:rsid w:val="005544A3"/>
    <w:rsid w:val="00666BF0"/>
    <w:rsid w:val="008534D5"/>
    <w:rsid w:val="008F56FC"/>
    <w:rsid w:val="00972959"/>
    <w:rsid w:val="00BB0A1B"/>
    <w:rsid w:val="00D01A52"/>
    <w:rsid w:val="00D30D85"/>
    <w:rsid w:val="00FF7D0A"/>
    <w:rsid w:val="0DA1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</Words>
  <Characters>776</Characters>
  <Lines>6</Lines>
  <Paragraphs>1</Paragraphs>
  <TotalTime>3</TotalTime>
  <ScaleCrop>false</ScaleCrop>
  <LinksUpToDate>false</LinksUpToDate>
  <CharactersWithSpaces>911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2016-10-25T01:55:00Z</dcterms:created>
  <dc:creator>LCL</dc:creator>
  <cp:lastModifiedBy>Administrator</cp:lastModifiedBy>
  <cp:lastPrinted>2016-11-15T02:20:00Z</cp:lastPrinted>
  <dcterms:modified xsi:type="dcterms:W3CDTF">2020-08-13T02:15:31Z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