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河北省张家口市桥西区西沟区域村容村貌改造提升及基础设施建设（元宝山小镇建设）项目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张家口市桥西区农业农村局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           自评分数: 62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2020年8月8日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64.40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77.80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54.40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68.50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7.04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18.03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10.34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13.01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62.42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5732145" cy="29009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本工程位于河北省张家口市桥西区西沟区域。项目用地面积22194.95㎡，地上总建筑面积为9088.92㎡，参评建筑面积为3396.47㎡。项目建设用地为xx用地，项目原始场地内未含有基本农田保护区、风景名胜区等各类保护区，也未含有文物保护单位、保护建筑等各类文物古迹。本项目为新建项目，项目建设符合国家产业政策，建设项目用地符合张家口市土地利用及城市总体规划要求。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✖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