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自评估-0813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           自评分数: 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2020年8月18日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0.00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