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河北标准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2020年12月24日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主要功能房间照明功率密度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不高于现行值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不高于现行值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满足平均值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满足平均值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外窗气密性能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气密性等级应为7级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气密性等级应为7级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51.0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32.0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39.0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总得分：Q=（Q0+Q1+Q2+Q3+Q4+Q5+QA）/10=69.6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外墙保温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地下工程防水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保温一体化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51.0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