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settings+xml" PartName="/word/settings.xml"/>
  <Override ContentType="application/vnd.openxmlformats-officedocument.wordprocessingml.styles+xml" PartName="/word/styles.xml"/>
</Types>
</file>

<file path=_rels/.rels><?xml version="1.0" encoding="UTF-8" standalone="yes"?>
<Relationships xmlns="http://schemas.openxmlformats.org/package/2006/relationships">
    <Relationship Target="word/document.xml" Type="http://schemas.openxmlformats.org/officeDocument/2006/relationships/officeDocument" Id="rId1"/>
    <Relationship Target="docProps/core.xml" Type="http://schemas.openxmlformats.org/package/2006/relationships/metadata/core-properties" Id="rId2"/>
    <Relationship Target="docProps/app.xml" Type="http://schemas.openxmlformats.org/officeDocument/2006/relationships/extended-properties" Id="rId3"/>
</Relationships>

</file>

<file path=word/document.xml><?xml version="1.0" encoding="utf-8"?>
<w:document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body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44"/>
          <w:szCs w:val="44"/>
        </w:rPr>
        <w:t>绿色建筑性能评价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44"/>
          <w:szCs w:val="44"/>
        </w:rPr>
        <w:t>自评估报告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申报项目名称： 奥森全民健身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申报单位名称： 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参与单位名称：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咨询单位名称：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自评星级：  ★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32"/>
          <w:szCs w:val="32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32"/>
          <w:szCs w:val="32"/>
        </w:rPr>
        <w:t>2020年12月31日</w:t>
      </w:r>
    </w:p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36"/>
          <w:szCs w:val="36"/>
        </w:rPr>
        <w:t>填写说明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1、本报告适用于申报绿色建筑的民用建筑，由申报单位填写；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2、“达标判定”项的填写方式：满足要求的项在□中填写“√”；不满足要求的项在□中填写“×”。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3.“实际提交材料”中列表填写对应条文实际提交的材料的全称。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4. 本报告封面的“申报项目名称”、“申报单位名称”、“参与单位名称”请务必认真、仔细填写，并与申报书保持一致，如因笔误造成评审或证书制作问题，后果自负。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5.若采用本报告参考样式，可进行编辑性修改，但不应自行删除技术内容和要求。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/>
      </w:r>
    </w:p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>一、自评总述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1、各类指标的评分项得分均不小于该评分项满分值的30%。√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2、全装修…………………………………………………………√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3、技术要求：</w:t>
      </w:r>
    </w:p>
    <w:p>
      <w:pPr>
        <w:jc w:val="center"/>
      </w:pPr>
      <w:r>
        <w:rPr>
          <w:rFonts w:hint="eastAsia" w:ascii="宋体" w:hAnsi="宋体"/>
          <w:bCs/>
          <w:color w:val="000000"/>
          <w:sz w:val="24"/>
          <w:szCs w:val="24"/>
        </w:rPr>
        <w:t/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技术指标内容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自评情况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申报星级要求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是否达标</w:t>
            </w:r>
          </w:p>
        </w:tc>
      </w:tr>
      <w:tr>
        <w:tc>
          <w:tcPr>
            <w:tcW w:w="3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围护结构热工性能的提高比例，或建筑供暖空调负荷降低比例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围护结构提高5%或负荷降低5%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围护结构提高5%或负荷降低5%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是</w:t>
            </w:r>
          </w:p>
        </w:tc>
      </w:tr>
      <w:tr>
        <w:tc>
          <w:tcPr>
            <w:tcW w:w="3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主要功能房间照明功率密度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不高于现行值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不高于现行值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是</w:t>
            </w:r>
          </w:p>
        </w:tc>
      </w:tr>
      <w:tr>
        <w:tc>
          <w:tcPr>
            <w:tcW w:w="3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节水器具用水效率等级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2级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2级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是</w:t>
            </w:r>
          </w:p>
        </w:tc>
      </w:tr>
      <w:tr>
        <w:tc>
          <w:tcPr>
            <w:tcW w:w="3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室内主要空气污染物浓度降低比例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10%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10%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是</w:t>
            </w:r>
          </w:p>
        </w:tc>
      </w:tr>
      <w:tr>
        <w:tc>
          <w:tcPr>
            <w:tcW w:w="3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外窗气密性能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气密性等级应为7级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气密性等级应为7级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是</w:t>
            </w:r>
          </w:p>
        </w:tc>
      </w:tr>
    </w:tbl>
    <w:p>
      <w:pPr>
        <w:jc w:val="left"/>
      </w:pPr>
      <w:r>
        <w:rPr>
          <w:rFonts w:hint="eastAsia" w:ascii="宋体" w:hAnsi="宋体"/>
          <w:bCs/>
          <w:color w:val="000000"/>
          <w:sz w:val="24"/>
          <w:szCs w:val="24"/>
          <w:u w:val="single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24"/>
          <w:szCs w:val="24"/>
        </w:rPr>
        <w:t/>
      </w:r>
      <w:r>
        <w:rPr>
          <w:rFonts w:hint="eastAsia" w:ascii="宋体" w:hAnsi="宋体"/>
          <w:bCs/>
          <w:color w:val="000000"/>
          <w:sz w:val="24"/>
          <w:szCs w:val="24"/>
        </w:rPr>
        <w:t>4、得分情况：</w:t>
      </w:r>
    </w:p>
    <w:p>
      <w:pPr>
        <w:jc w:val="center"/>
      </w:pPr>
      <w:r>
        <w:rPr>
          <w:rFonts w:hint="eastAsia" w:ascii="宋体" w:hAnsi="宋体"/>
          <w:bCs/>
          <w:color w:val="000000"/>
          <w:sz w:val="24"/>
          <w:szCs w:val="24"/>
        </w:rPr>
        <w:t>评价指标体系评分项</w:t>
      </w:r>
    </w:p>
    <w:p>
      <w:pPr>
        <w:jc w:val="center"/>
      </w:pPr>
      <w:r>
        <w:rPr>
          <w:rFonts w:hint="eastAsia" w:ascii="宋体" w:hAnsi="宋体"/>
          <w:bCs/>
          <w:color w:val="000000"/>
          <w:sz w:val="24"/>
          <w:szCs w:val="24"/>
        </w:rPr>
        <w:t/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/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控制项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安全耐久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健康舒适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生活便利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资源节约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环境宜居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提高与创新</w:t>
            </w:r>
          </w:p>
        </w:tc>
      </w:tr>
      <w:tr>
        <w:tc>
          <w:tcPr>
            <w:tcW w:w="1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评价分值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</w:tr>
      <w:tr>
        <w:tc>
          <w:tcPr>
            <w:tcW w:w="14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自评得分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37.0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40.0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52.0</w:t>
            </w:r>
          </w:p>
        </w:tc>
        <w:tc>
          <w:tcPr>
            <w:tcW w:w="14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67.0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35.0</w:t>
            </w:r>
          </w:p>
        </w:tc>
        <w:tc>
          <w:tcPr>
            <w:tcW w:w="1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20.0</w:t>
            </w:r>
          </w:p>
        </w:tc>
      </w:tr>
    </w:tbl>
    <w:p>
      <w:pPr>
        <w:jc w:val="center"/>
      </w:pPr>
      <w:r>
        <w:rPr>
          <w:rFonts w:hint="eastAsia" w:ascii="宋体" w:hAnsi="宋体"/>
          <w:bCs/>
          <w:color w:val="000000"/>
          <w:sz w:val="24"/>
          <w:szCs w:val="24"/>
        </w:rPr>
        <w:t>总得分：Q=（Q0+Q1+Q2+Q3+Q4+Q5+QA）/10=65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r>
        <w:rPr>
          <w:rFonts w:hint="eastAsia" w:ascii="宋体" w:hAnsi="宋体"/>
          <w:b/>
          <w:bCs/>
          <w:color w:val="000000"/>
          <w:sz w:val="28"/>
          <w:szCs w:val="28"/>
        </w:rPr>
        <w:t>二、项目情况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1、项目效果图（竣工，申报对象为部分时，应在整体中标示申报范围）</w:t>
      </w:r>
    </w:p>
    <w:p>
      <w:pPr>
        <w:jc w:val="center"/>
      </w:pPr>
      <w:r>
        <w:drawing>
          <wp:inline distT="0" distB="0" distL="0" distR="0">
            <wp:extent cx="1905000" cy="2667000"/>
            <wp:effectExtent l="0" t="0" r="0" b="0"/>
            <wp:docPr id="1" name="Filename hint" descr="Alternative text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2" name="Filename hint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1905000" cy="2667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2、项目总平面图（申报对象为部分时，应在整体中标示申报范围）</w:t>
      </w:r>
    </w:p>
    <w:p>
      <w:pPr>
        <w:jc w:val="center"/>
      </w:pPr>
      <w:r>
        <w:drawing>
          <wp:inline distT="0" distB="0" distL="0" distR="0">
            <wp:extent cx="1905000" cy="2667000"/>
            <wp:effectExtent l="0" t="0" r="0" b="0"/>
            <wp:docPr id="1" name="Filename hint" descr="Alternative text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2" name="Filename hint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905000" cy="2667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24"/>
          <w:szCs w:val="24"/>
        </w:rPr>
        <w:t/>
      </w:r>
    </w:p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>三、自评内容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4 安全耐久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子项</w:t>
            </w:r>
          </w:p>
        </w:tc>
        <w:tc>
          <w:tcPr>
            <w:tcW w:w="800" w:type="dxa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条文编号</w:t>
            </w:r>
          </w:p>
        </w:tc>
        <w:tc>
          <w:tcPr>
            <w:tcW w:w="5000" w:type="dxa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800" w:type="dxa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800" w:type="dxa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达标/得分</w:t>
            </w:r>
          </w:p>
        </w:tc>
      </w:tr>
      <w:tr>
        <w:tc>
          <w:tcPr>
            <w:tcW w:w="1000" w:type="dxa"/>
            <w:vMerge w:val="restart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4.1.1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场地安全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4.1.2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建筑结构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4.1.3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外部设施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4.1.4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建筑内部非结构构件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4.1.5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外门窗性能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4.1.6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外墙保温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4.1.7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防水防潮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4.1.8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满足紧急疏散要求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4.1.9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安全防护标识系统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4.1.10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地下工程防水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restart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4.2.1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提高抗震性能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4.2.2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防护措施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15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4.2.3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配件安全性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4.2.4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地面防滑设置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4.2.5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人车分流及交通照明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8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8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4.2.6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保温一体化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8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4.2.7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建筑适变性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4.2.8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部品部件耐久性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4.2.9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结构材料耐久性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4.2.10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装饰装修材料耐久性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9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9</w:t>
            </w:r>
          </w:p>
        </w:tc>
      </w:tr>
      <w:tr>
        <w:tc>
          <w:tcPr>
            <w:tcW w:w="1000" w:type="dxa"/>
            <w:hMerge w:val="restart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合计</w:t>
            </w:r>
          </w:p>
        </w:tc>
        <w:tc>
          <w:tcPr>
            <w:tcW w:w="800" w:type="dxa"/>
            <w:h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5000" w:type="dxa"/>
            <w:h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100.0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37.0</w:t>
            </w:r>
          </w:p>
        </w:tc>
      </w:tr>
    </w:tbl>
    <w:sectPr>
      <w:pgSz w:w="11907" w:h="16839" w:code="9"/>
      <w:pgMar w:top="500" w:right="1440" w:bottom="100" w:left="1440"/>
    </w:sectPr>
  </w:body>
</w:document>
</file>

<file path=word/settings.xml><?xml version="1.0" encoding="utf-8"?>
<w:settings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 mc:Ignorable="">
  <w:compat>
    <w:compatSetting w:name="overrideTableStyleFontSizeAndJustification" w:uri="http://schemas.microsoft.com/office/word" w:val="1"/>
  </w:compat>
</w:settings>
</file>

<file path=word/styles.xml><?xml version="1.0" encoding="utf-8"?>
<w:styles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qFormat/>
    <w:rsid w:val="004A3277"/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hAnsiTheme="majorHAnsi" w:eastAsiaTheme="majorEastAsia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character" w:styleId="DefaultParagraphFont" w:default="true">
    <w:name w:val="Default Paragraph Font"/>
    <w:uiPriority w:val="1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styleId="HeaderChar" w:customStyle="true">
    <w:name w:val="Header Char"/>
    <w:basedOn w:val="DefaultParagraphFont"/>
    <w:link w:val="Header"/>
    <w:uiPriority w:val="99"/>
    <w:rsid w:val="00841CD9"/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Emphasis">
    <w:name w:val="Emphasis"/>
    <w:basedOn w:val="DefaultParagraphFont"/>
    <w:uiPriority w:val="20"/>
    <w:qFormat/>
    <w:rsid w:val="00D1197D"/>
    <w:rPr>
      <w:i/>
      <w:iCs/>
    </w:r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_rels/document.xml.rels><?xml version="1.0" encoding="UTF-8" standalone="yes"?>
<Relationships xmlns="http://schemas.openxmlformats.org/package/2006/relationships">
    <Relationship Target="styles.xml" Type="http://schemas.openxmlformats.org/officeDocument/2006/relationships/styles" Id="rId1"/>
    <Relationship Target="settings.xml" Type="http://schemas.openxmlformats.org/officeDocument/2006/relationships/settings" Id="rId2"/>
    <Relationship Target="media/document_image_rId3.jpeg" Type="http://schemas.openxmlformats.org/officeDocument/2006/relationships/image" Id="rId3"/>
    <Relationship Target="media/document_image_rId4.jpeg" Type="http://schemas.openxmlformats.org/officeDocument/2006/relationships/image" Id="rId4"/>
</Relationships>
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