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内丘县中药材初加工项目1号综合楼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05784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业主单位：内丘县唐白邢窑瓷艺有限责任公司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设计单位：中建华帆建筑设计院有限公司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项目地址：内丘县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报告日期：2021年3月20日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项目名称：内丘县中药材初加工项目1号综合楼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依据标准：河北省《绿色建筑评价标准》DB13(J)/T 8352-2020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主要功能房间照明功率密度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不高于现行值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外窗气密性能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气密性等级应为7级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气密性等级应为7级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不达标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外墙保温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地下工程防水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保温一体化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智慧物业管理系统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能源资源管理激励机制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突发公共卫生事件处置预案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景观用水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高强度结构材料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容积率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全面禁烟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超低能耗建筑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提高使用年限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应对突发公共卫生事件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全过程咨询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