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 w:eastAsia="宋体" w:cs="Times New Roman"/>
                <w:sz w:val="21"/>
                <w:szCs w:val="21"/>
                <w:lang w:val="en-GB" w:eastAsia="zh-CN" w:bidi="ar-SA"/>
              </w:rPr>
            </w:pPr>
            <w:bookmarkStart w:id="0" w:name="工程名称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因天材，就地利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天工楼绿色建筑设计改造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1" w:name="设计编号"/>
            <w:bookmarkEnd w:id="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GX30399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2" w:name="建设单位"/>
            <w:bookmarkEnd w:id="2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3" w:name="设计单位"/>
            <w:bookmarkEnd w:id="3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李心航 谷林娜 马佳宁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张坤龙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武乐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报告日期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2021年1月1日</w:t>
            </w:r>
          </w:p>
        </w:tc>
      </w:tr>
    </w:tbl>
    <w:p>
      <w:pPr>
        <w:rPr>
          <w:rFonts w:ascii="宋体" w:hAnsi="宋体"/>
          <w:lang w:val="en-US"/>
        </w:rPr>
      </w:pPr>
      <w:bookmarkStart w:id="44" w:name="_GoBack"/>
      <w:bookmarkEnd w:id="44"/>
    </w:p>
    <w:p>
      <w:pPr>
        <w:jc w:val="center"/>
        <w:rPr>
          <w:rFonts w:ascii="宋体" w:hAnsi="宋体"/>
          <w:lang w:val="en-US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住区热环境TERA2020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t>20200505(SP1)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t>T15620496346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9" w:name="目录"/>
      <w:bookmarkEnd w:id="9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_Toc31464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_Toc31464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_Toc23514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_Toc23514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_Toc23331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_Toc23331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_Toc2974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_Toc2974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_Toc28952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_Toc28952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_Toc5663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_Toc5663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_Toc14361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_Toc14361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_Toc10923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_Toc10923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_Toc26206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_Toc26206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_Toc25147 </w:instrText>
      </w:r>
      <w:r>
        <w:fldChar w:fldCharType="separate"/>
      </w:r>
      <w:r>
        <w:rPr>
          <w:rFonts w:hint="eastAsia"/>
        </w:rPr>
        <w:t>6 规定性设计指标</w:t>
      </w:r>
      <w:r>
        <w:tab/>
      </w:r>
      <w:r>
        <w:fldChar w:fldCharType="begin"/>
      </w:r>
      <w:r>
        <w:instrText xml:space="preserve"> PAGEREF _Toc25147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_Toc26162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_Toc26162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_Toc9815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_Toc9815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_Toc10683 </w:instrText>
      </w:r>
      <w:r>
        <w:fldChar w:fldCharType="separate"/>
      </w:r>
      <w:r>
        <w:rPr>
          <w:rFonts w:hint="eastAsia"/>
          <w:lang w:val="en-GB"/>
        </w:rPr>
        <w:t xml:space="preserve">6.3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_Toc10683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_Toc7234 </w:instrText>
      </w:r>
      <w:r>
        <w:fldChar w:fldCharType="separate"/>
      </w:r>
      <w:r>
        <w:rPr>
          <w:rFonts w:hint="eastAsia"/>
          <w:lang w:val="en-GB"/>
        </w:rPr>
        <w:t xml:space="preserve">6.4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_Toc7234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_Toc13828 </w:instrText>
      </w:r>
      <w:r>
        <w:fldChar w:fldCharType="separate"/>
      </w:r>
      <w:r>
        <w:rPr>
          <w:rFonts w:hint="eastAsia"/>
          <w:lang w:val="en-GB"/>
        </w:rPr>
        <w:t xml:space="preserve">6.5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_Toc13828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_Toc7788 </w:instrText>
      </w:r>
      <w:r>
        <w:fldChar w:fldCharType="separate"/>
      </w:r>
      <w:r>
        <w:rPr>
          <w:rFonts w:hint="eastAsia"/>
          <w:lang w:val="en-GB"/>
        </w:rPr>
        <w:t xml:space="preserve">6.6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_Toc7788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_Toc26398 </w:instrText>
      </w:r>
      <w:r>
        <w:fldChar w:fldCharType="separate"/>
      </w:r>
      <w:r>
        <w:rPr>
          <w:rFonts w:hint="eastAsia"/>
        </w:rPr>
        <w:t>7 结论</w:t>
      </w:r>
      <w:r>
        <w:tab/>
      </w:r>
      <w:r>
        <w:fldChar w:fldCharType="begin"/>
      </w:r>
      <w:r>
        <w:instrText xml:space="preserve"> PAGEREF _Toc26398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0" w:name="_Toc31464"/>
      <w:r>
        <w:rPr>
          <w:rFonts w:hint="eastAsia"/>
        </w:rPr>
        <w:t>住区概况</w:t>
      </w:r>
      <w:bookmarkEnd w:id="10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名称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地点"/>
            <w:r>
              <w:t>南京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t>32.05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t>118.77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区"/>
            <w:r>
              <w:t>IIIB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主导风向"/>
            <w:r>
              <w:t>东南偏南</w:t>
            </w:r>
            <w:bookmarkEnd w:id="16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7" w:name="总图鸟瞰图"/>
      <w:bookmarkEnd w:id="17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8" w:name="OLE_LINK4"/>
      <w:bookmarkStart w:id="19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8"/>
      <w:bookmarkEnd w:id="19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0" w:name="总图平面图"/>
      <w:bookmarkEnd w:id="20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1" w:name="_Toc23514"/>
      <w:bookmarkStart w:id="22" w:name="TitleFormat"/>
      <w:r>
        <w:rPr>
          <w:rFonts w:hint="eastAsia"/>
        </w:rPr>
        <w:t>设计依据</w:t>
      </w:r>
      <w:bookmarkEnd w:id="21"/>
    </w:p>
    <w:bookmarkEnd w:id="22"/>
    <w:p>
      <w:pPr>
        <w:widowControl w:val="0"/>
        <w:jc w:val="both"/>
        <w:rPr>
          <w:kern w:val="2"/>
          <w:szCs w:val="24"/>
          <w:lang w:val="en-US"/>
        </w:rPr>
      </w:pPr>
      <w:bookmarkStart w:id="23" w:name="计算依据"/>
      <w:bookmarkEnd w:id="23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>
      <w:pPr>
        <w:pStyle w:val="2"/>
      </w:pPr>
      <w:bookmarkStart w:id="24" w:name="_Toc23331"/>
      <w:r>
        <w:rPr>
          <w:rFonts w:hint="eastAsia"/>
        </w:rPr>
        <w:t>计算规定</w:t>
      </w:r>
      <w:bookmarkEnd w:id="24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5" w:name="_Toc2974"/>
      <w:r>
        <w:rPr>
          <w:rFonts w:hint="eastAsia"/>
        </w:rPr>
        <w:t>强制条文</w:t>
      </w:r>
      <w:bookmarkEnd w:id="25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6" w:name="_Toc28952"/>
      <w:r>
        <w:rPr>
          <w:rFonts w:hint="eastAsia"/>
        </w:rPr>
        <w:t>规定性设计</w:t>
      </w:r>
      <w:bookmarkEnd w:id="26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7" w:name="_Toc5663"/>
      <w:r>
        <w:rPr>
          <w:rFonts w:hint="eastAsia"/>
        </w:rPr>
        <w:t>计算参数</w:t>
      </w:r>
      <w:bookmarkEnd w:id="27"/>
    </w:p>
    <w:p>
      <w:pPr>
        <w:pStyle w:val="4"/>
      </w:pPr>
      <w:bookmarkStart w:id="28" w:name="_Toc14361"/>
      <w:r>
        <w:rPr>
          <w:rFonts w:hint="eastAsia"/>
        </w:rPr>
        <w:t>典型气象日气象参数</w:t>
      </w:r>
      <w:bookmarkEnd w:id="2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东南偏南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197.80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气象参数"/>
      <w:bookmarkEnd w:id="29"/>
    </w:p>
    <w:p>
      <w:pPr>
        <w:pStyle w:val="4"/>
      </w:pPr>
      <w:bookmarkStart w:id="30" w:name="_Toc10923"/>
      <w:r>
        <w:rPr>
          <w:rFonts w:hint="eastAsia"/>
        </w:rPr>
        <w:t>渗透面夏季逐时蒸发量</w:t>
      </w:r>
      <w:bookmarkEnd w:id="3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1" w:name="蒸发量参数"/>
      <w:bookmarkEnd w:id="31"/>
    </w:p>
    <w:p>
      <w:pPr>
        <w:pStyle w:val="2"/>
      </w:pPr>
      <w:bookmarkStart w:id="32" w:name="_Toc26206"/>
      <w:r>
        <w:rPr>
          <w:rFonts w:hint="eastAsia"/>
        </w:rPr>
        <w:t>住区指标概览</w:t>
      </w:r>
      <w:bookmarkEnd w:id="3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109322.55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107372.37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7617.30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357.61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r>
              <w:t>0.96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8.17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住区指标概览"/>
      <w:bookmarkEnd w:id="33"/>
    </w:p>
    <w:p>
      <w:pPr>
        <w:pStyle w:val="2"/>
        <w:rPr>
          <w:lang w:val="en-US"/>
        </w:rPr>
      </w:pPr>
      <w:bookmarkStart w:id="34" w:name="_Toc25147"/>
      <w:r>
        <w:rPr>
          <w:rFonts w:hint="eastAsia"/>
        </w:rPr>
        <w:t>规定性设计指标</w:t>
      </w:r>
      <w:bookmarkEnd w:id="34"/>
      <w:bookmarkStart w:id="35" w:name="活动场地遮阳覆盖率"/>
      <w:bookmarkEnd w:id="35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对于公共建筑可参考数据</w:t>
      </w:r>
      <w:r>
        <w:rPr>
          <w:rFonts w:hint="eastAsia"/>
          <w:lang w:eastAsia="zh-CN"/>
        </w:rPr>
        <w:t>）</w:t>
      </w:r>
    </w:p>
    <w:p>
      <w:pPr>
        <w:pStyle w:val="4"/>
      </w:pPr>
      <w:bookmarkStart w:id="36" w:name="_Toc10683"/>
      <w:r>
        <w:rPr>
          <w:rFonts w:hint="eastAsia"/>
        </w:rPr>
        <w:t>底层通风架空率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天工楼</w:t>
            </w:r>
          </w:p>
        </w:tc>
        <w:tc>
          <w:tcPr>
            <w:vAlign w:val="center"/>
          </w:tcPr>
          <w:p>
            <w:r>
              <w:t>164.7</w:t>
            </w:r>
          </w:p>
        </w:tc>
        <w:tc>
          <w:tcPr>
            <w:vAlign w:val="center"/>
          </w:tcPr>
          <w:p>
            <w:r>
              <w:t>1950.2</w:t>
            </w:r>
          </w:p>
        </w:tc>
        <w:tc>
          <w:tcPr>
            <w:vAlign w:val="center"/>
          </w:tcPr>
          <w:p>
            <w:r>
              <w:t>75.5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底层通风架空率"/>
      <w:bookmarkEnd w:id="37"/>
    </w:p>
    <w:p>
      <w:pPr>
        <w:pStyle w:val="4"/>
      </w:pPr>
      <w:bookmarkStart w:id="38" w:name="_Toc7234"/>
      <w:r>
        <w:rPr>
          <w:rFonts w:hint="eastAsia"/>
        </w:rPr>
        <w:t>绿化遮阳体叶面积指数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792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绿化遮阳体叶面积指数"/>
      <w:bookmarkEnd w:id="39"/>
    </w:p>
    <w:p>
      <w:pPr>
        <w:pStyle w:val="4"/>
      </w:pPr>
      <w:bookmarkStart w:id="40" w:name="_Toc13828"/>
      <w:r>
        <w:rPr>
          <w:rFonts w:hint="eastAsia"/>
        </w:rPr>
        <w:t>渗透蒸发指标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2492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2492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渗透蒸发指标"/>
      <w:bookmarkEnd w:id="4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1.32</w:t>
            </w:r>
          </w:p>
        </w:tc>
        <w:tc>
          <w:tcPr>
            <w:vAlign w:val="center"/>
          </w:tcPr>
          <w:p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2" w:name="_Toc7788"/>
      <w:r>
        <w:rPr>
          <w:rFonts w:hint="eastAsia"/>
        </w:rPr>
        <w:t>屋面绿化率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天工楼</w:t>
            </w:r>
          </w:p>
        </w:tc>
        <w:tc>
          <w:tcPr>
            <w:vAlign w:val="center"/>
          </w:tcPr>
          <w:p>
            <w:r>
              <w:t>1950.2</w:t>
            </w:r>
          </w:p>
        </w:tc>
        <w:tc>
          <w:tcPr>
            <w:vAlign w:val="center"/>
          </w:tcPr>
          <w:p>
            <w:r>
              <w:t>1950.2</w:t>
            </w:r>
          </w:p>
        </w:tc>
        <w:tc>
          <w:tcPr>
            <w:vAlign w:val="center"/>
          </w:tcPr>
          <w:p>
            <w:r>
              <w:t>1950.2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1950.2</w:t>
            </w:r>
          </w:p>
        </w:tc>
        <w:tc>
          <w:tcPr>
            <w:vAlign w:val="center"/>
          </w:tcPr>
          <w:p>
            <w:r>
              <w:t>1950.2</w:t>
            </w:r>
          </w:p>
        </w:tc>
        <w:tc>
          <w:tcPr>
            <w:vAlign w:val="center"/>
          </w:tcPr>
          <w:p>
            <w:r>
              <w:t>1950.2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rPr>
          <w:rFonts w:hint="default" w:eastAsia="宋体"/>
          <w:lang w:val="en-US" w:eastAsia="zh-CN"/>
        </w:rPr>
      </w:pPr>
      <w:bookmarkStart w:id="43" w:name="屋面绿化率"/>
      <w:bookmarkEnd w:id="43"/>
      <w:r>
        <w:rPr>
          <w:rFonts w:hint="eastAsia"/>
        </w:rPr>
        <w:t>绿</w:t>
      </w:r>
      <w:r>
        <w:rPr>
          <w:rFonts w:hint="eastAsia"/>
          <w:lang w:val="en-US" w:eastAsia="zh-CN"/>
        </w:rPr>
        <w:t>容</w:t>
      </w:r>
      <w:r>
        <w:rPr>
          <w:rFonts w:hint="eastAsia"/>
        </w:rPr>
        <w:t>率</w:t>
      </w:r>
    </w:p>
    <w:tbl>
      <w:tblPr>
        <w:tblStyle w:val="2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562"/>
        <w:gridCol w:w="2512"/>
        <w:gridCol w:w="23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绿容率计算表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类别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面积(㎡)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系数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叶面积量(㎡)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冠层密集乔木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890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叶面积指数：4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3559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冠层稀疏乔木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35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叶面积指数：2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密集爬藤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叶面积指数：4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稀疏爬藤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叶面积指数：2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屋面绿化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1950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计算系数：1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草地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计算系数：1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灌木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计算系数：3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合计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5580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叶面积总量(㎡)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5580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场地面积(㎡)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15034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绿容率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0.37</w:t>
            </w:r>
          </w:p>
        </w:tc>
        <w:tc>
          <w:tcPr>
            <w:tcW w:w="1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结论</w:t>
            </w:r>
          </w:p>
        </w:tc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5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7154DA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  <w:rsid w:val="021A4024"/>
    <w:rsid w:val="07B17540"/>
    <w:rsid w:val="1043047F"/>
    <w:rsid w:val="18E54548"/>
    <w:rsid w:val="5E7154DA"/>
    <w:rsid w:val="7AA31F48"/>
    <w:rsid w:val="7B53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Pages>10</Pages>
  <Words>2230</Words>
  <Characters>3488</Characters>
  <Lines>20</Lines>
  <Paragraphs>5</Paragraphs>
  <TotalTime>0</TotalTime>
  <ScaleCrop>false</ScaleCrop>
  <LinksUpToDate>false</LinksUpToDate>
  <CharactersWithSpaces>3545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2021-01-02T06:57:00Z</dcterms:created>
  <dc:creator>换位思考LINDA</dc:creator>
  <cp:lastModifiedBy>换位思考LINDA</cp:lastModifiedBy>
  <dcterms:modified xsi:type="dcterms:W3CDTF">2021-01-05T08:42:11Z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