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32"/>
          <w:szCs w:val="32"/>
          <w:lang w:val="en-US" w:eastAsia="zh-CN"/>
        </w:rPr>
      </w:pPr>
      <w:r>
        <w:rPr>
          <w:rFonts w:hint="eastAsia" w:ascii="宋体" w:hAnsi="宋体" w:cs="宋体"/>
          <w:sz w:val="32"/>
          <w:szCs w:val="32"/>
          <w:lang w:val="en-US" w:eastAsia="zh-CN"/>
        </w:rPr>
        <w:t>安全防护措施专项报告</w:t>
      </w:r>
    </w:p>
    <w:p>
      <w:pPr>
        <w:pStyle w:val="2"/>
        <w:rPr>
          <w:rFonts w:hint="default" w:ascii="宋体" w:hAnsi="宋体" w:cs="宋体"/>
          <w:sz w:val="32"/>
          <w:szCs w:val="32"/>
          <w:lang w:val="en-US" w:eastAsia="zh-CN"/>
        </w:rPr>
      </w:pPr>
      <w:bookmarkStart w:id="0" w:name="_Toc420663549"/>
      <w:bookmarkStart w:id="1" w:name="_Toc420309361"/>
      <w:bookmarkStart w:id="2" w:name="TitleFormat"/>
      <w:r>
        <w:rPr>
          <w:rFonts w:hint="eastAsia"/>
          <w:lang w:val="en-US" w:eastAsia="zh-CN"/>
        </w:rPr>
        <w:t>1 设计</w:t>
      </w:r>
      <w:r>
        <w:rPr>
          <w:rFonts w:hint="eastAsia"/>
        </w:rPr>
        <w:t>依据</w:t>
      </w:r>
      <w:bookmarkEnd w:id="0"/>
      <w:bookmarkEnd w:id="1"/>
      <w:bookmarkEnd w:id="2"/>
    </w:p>
    <w:p>
      <w:pPr>
        <w:rPr>
          <w:rFonts w:ascii="宋体" w:hAnsi="宋体" w:eastAsia="宋体" w:cs="宋体"/>
          <w:sz w:val="24"/>
          <w:szCs w:val="24"/>
        </w:rPr>
      </w:pPr>
      <w:r>
        <w:rPr>
          <w:rFonts w:hint="eastAsia" w:ascii="宋体" w:hAnsi="宋体" w:eastAsia="宋体" w:cs="宋体"/>
          <w:sz w:val="24"/>
          <w:szCs w:val="24"/>
          <w:lang w:val="en-US"/>
        </w:rPr>
        <w:t>《绿色建筑评价标准》(GB/T50378-2014)</w:t>
      </w:r>
      <w:r>
        <w:rPr>
          <w:rFonts w:ascii="宋体" w:hAnsi="宋体" w:eastAsia="宋体" w:cs="宋体"/>
          <w:sz w:val="24"/>
          <w:szCs w:val="24"/>
        </w:rPr>
        <w:t>4.2.2 采取保障人员安全的防护措施，评价总分值为 15 分，并按下列规则分别 评分并累计：</w:t>
      </w:r>
    </w:p>
    <w:p>
      <w:pPr>
        <w:ind w:left="720" w:leftChars="200" w:hanging="240" w:hangingChars="100"/>
        <w:rPr>
          <w:rFonts w:hint="eastAsia" w:ascii="宋体" w:hAnsi="宋体" w:eastAsia="宋体" w:cs="宋体"/>
          <w:sz w:val="24"/>
          <w:szCs w:val="24"/>
          <w:lang w:eastAsia="zh-CN"/>
        </w:rPr>
      </w:pPr>
      <w:r>
        <w:rPr>
          <w:rFonts w:ascii="宋体" w:hAnsi="宋体" w:eastAsia="宋体" w:cs="宋体"/>
          <w:sz w:val="24"/>
          <w:szCs w:val="24"/>
        </w:rPr>
        <w:t xml:space="preserve"> 1 采取措施提高阳台、外窗、窗台、防护栏杆等安全防护水平，得 5 分</w:t>
      </w:r>
      <w:r>
        <w:rPr>
          <w:rFonts w:hint="eastAsia" w:ascii="宋体" w:hAnsi="宋体" w:cs="宋体"/>
          <w:sz w:val="24"/>
          <w:szCs w:val="24"/>
          <w:lang w:eastAsia="zh-CN"/>
        </w:rPr>
        <w:t>；</w:t>
      </w:r>
    </w:p>
    <w:p>
      <w:pPr>
        <w:ind w:left="720" w:leftChars="200" w:hanging="240" w:hangingChars="100"/>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2 建筑物出入口均设外墙饰面、门窗玻璃意外脱落的防护措施，并与人员通行区域的遮阳、遮风或挡雨措施结合，得 5 分； </w:t>
      </w:r>
    </w:p>
    <w:p>
      <w:pPr>
        <w:rPr>
          <w:rFonts w:ascii="宋体" w:hAnsi="宋体" w:eastAsia="宋体" w:cs="宋体"/>
          <w:sz w:val="24"/>
          <w:szCs w:val="24"/>
        </w:rPr>
      </w:pPr>
      <w:r>
        <w:rPr>
          <w:rFonts w:ascii="宋体" w:hAnsi="宋体" w:eastAsia="宋体" w:cs="宋体"/>
          <w:sz w:val="24"/>
          <w:szCs w:val="24"/>
        </w:rPr>
        <w:t>3 利用场地或景观形成可降低坠物风险的缓冲区、隔离带，得 5 分。</w:t>
      </w:r>
    </w:p>
    <w:p>
      <w:pPr>
        <w:ind w:left="0" w:leftChars="0" w:firstLine="0" w:firstLineChars="0"/>
        <w:rPr>
          <w:rFonts w:hint="eastAsia"/>
        </w:rPr>
      </w:pPr>
      <w:r>
        <w:rPr>
          <w:rFonts w:ascii="宋体" w:hAnsi="宋体" w:eastAsia="宋体" w:cs="宋体"/>
          <w:sz w:val="24"/>
          <w:szCs w:val="24"/>
        </w:rPr>
        <w:t xml:space="preserve"> 【条文说明扩展】 第 1 款主要是主动防坠设计，阳台、窗户、窗台、防护栏杆等强化防坠设计 有利于降低坠物伤人风险，可采取阳台外窗采用高窗设计、限制窗扇开启角度、 增加栏板宽度、窗台与绿化种植整合设计、适度减少防护栏杆垂直杆件水平净距、 安装隐形防盗网、住宅外窗的安全防护可与纱窗等相结合的措施。防护栏杆同时 需要满足抗水平力验算的要求及国家规范规定的材料最小截面厚度的构造要求。 第 2、3 款主要是采取被动方法降低防坠物风险，第 2 款系指建筑物出入口， 第 3 款系指建筑物周边。</w:t>
      </w:r>
    </w:p>
    <w:p>
      <w:pPr>
        <w:rPr>
          <w:rFonts w:hint="eastAsia"/>
        </w:rPr>
      </w:pPr>
    </w:p>
    <w:p>
      <w:pPr>
        <w:pStyle w:val="2"/>
        <w:rPr>
          <w:rFonts w:hint="eastAsia"/>
        </w:rPr>
      </w:pPr>
      <w:r>
        <w:rPr>
          <w:rFonts w:hint="eastAsia"/>
          <w:lang w:val="en-US" w:eastAsia="zh-CN"/>
        </w:rPr>
        <w:t>2 设计措施</w:t>
      </w:r>
    </w:p>
    <w:p>
      <w:pPr>
        <w:rPr>
          <w:rFonts w:hint="eastAsia"/>
        </w:rPr>
      </w:pPr>
      <w:r>
        <w:rPr>
          <w:rFonts w:hint="eastAsia"/>
        </w:rPr>
        <w:t>建筑入口处设雨棚防护，楼梯口设置警示标志，提醒公民避免高空抛撒垃圾。窗台下方绿化种植及水池整合设计。提高落地窗及防护栏杆的防护水平，并设置纱窗及下方防护网，屋顶设置防护栏及防护网。</w:t>
      </w:r>
    </w:p>
    <w:p>
      <w:pPr>
        <w:pStyle w:val="2"/>
        <w:rPr>
          <w:rFonts w:hint="eastAsia"/>
          <w:lang w:val="en-US" w:eastAsia="zh-CN"/>
        </w:rPr>
      </w:pPr>
    </w:p>
    <w:p>
      <w:pPr>
        <w:pStyle w:val="2"/>
        <w:rPr>
          <w:rFonts w:hint="eastAsia"/>
          <w:lang w:val="en-US" w:eastAsia="zh-CN"/>
        </w:rPr>
      </w:pPr>
      <w:r>
        <w:rPr>
          <w:rFonts w:hint="eastAsia"/>
          <w:lang w:val="en-US" w:eastAsia="zh-CN"/>
        </w:rPr>
        <w:t>3</w:t>
      </w:r>
      <w:r>
        <w:rPr>
          <w:rFonts w:hint="default"/>
          <w:lang w:val="en-US" w:eastAsia="zh-CN"/>
        </w:rPr>
        <w:t> </w:t>
      </w:r>
      <w:r>
        <w:rPr>
          <w:rFonts w:hint="eastAsia"/>
          <w:lang w:val="en-US" w:eastAsia="zh-CN"/>
        </w:rPr>
        <w:t>评价要点</w:t>
      </w:r>
    </w:p>
    <w:tbl>
      <w:tblPr>
        <w:tblW w:w="82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91"/>
        <w:gridCol w:w="4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823"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7"/>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sz w:val="21"/>
                <w:szCs w:val="21"/>
              </w:rPr>
              <w:t>类型</w:t>
            </w:r>
          </w:p>
        </w:tc>
        <w:tc>
          <w:tcPr>
            <w:tcW w:w="4063"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7"/>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sz w:val="21"/>
                <w:szCs w:val="21"/>
              </w:rPr>
              <w:t>项目情况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823"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7"/>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sz w:val="21"/>
                <w:szCs w:val="21"/>
              </w:rPr>
              <w:t>建筑出入口的防护措施</w:t>
            </w:r>
          </w:p>
        </w:tc>
        <w:tc>
          <w:tcPr>
            <w:tcW w:w="4063"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7"/>
              <w:keepNext w:val="0"/>
              <w:keepLines w:val="0"/>
              <w:widowControl/>
              <w:suppressLineNumbers w:val="0"/>
              <w:spacing w:before="0" w:beforeAutospacing="0" w:after="0" w:afterAutospacing="0" w:line="18" w:lineRule="atLeast"/>
              <w:ind w:left="0" w:right="0"/>
              <w:jc w:val="both"/>
            </w:pPr>
            <w:r>
              <w:rPr>
                <w:rFonts w:hint="default" w:ascii="Times New Roman" w:hAnsi="Times New Roman" w:eastAsia="Tahoma" w:cs="Times New Roman"/>
                <w:sz w:val="21"/>
                <w:szCs w:val="21"/>
              </w:rPr>
              <w:t> 设雨棚防护。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23"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7"/>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sz w:val="21"/>
                <w:szCs w:val="21"/>
              </w:rPr>
              <w:t>防护措施与其他措施结合做法</w:t>
            </w:r>
          </w:p>
        </w:tc>
        <w:tc>
          <w:tcPr>
            <w:tcW w:w="4063"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7"/>
              <w:keepNext w:val="0"/>
              <w:keepLines w:val="0"/>
              <w:widowControl/>
              <w:suppressLineNumbers w:val="0"/>
              <w:spacing w:before="0" w:beforeAutospacing="0" w:after="0" w:afterAutospacing="0" w:line="18" w:lineRule="atLeast"/>
              <w:ind w:left="0" w:right="0"/>
              <w:jc w:val="both"/>
            </w:pPr>
            <w:r>
              <w:rPr>
                <w:rFonts w:hint="default" w:ascii="Times New Roman" w:hAnsi="Times New Roman" w:eastAsia="Tahoma" w:cs="Times New Roman"/>
                <w:sz w:val="21"/>
                <w:szCs w:val="21"/>
              </w:rPr>
              <w:t> 窗台与绿化种植整合设计，外窗的安全防护与纱窗相结合。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23"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7"/>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sz w:val="21"/>
                <w:szCs w:val="21"/>
              </w:rPr>
              <w:t>缓冲区和隔离带的形式</w:t>
            </w:r>
          </w:p>
        </w:tc>
        <w:tc>
          <w:tcPr>
            <w:tcW w:w="4063"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7"/>
              <w:keepNext w:val="0"/>
              <w:keepLines w:val="0"/>
              <w:widowControl/>
              <w:suppressLineNumbers w:val="0"/>
              <w:spacing w:before="0" w:beforeAutospacing="0" w:after="0" w:afterAutospacing="0" w:line="18" w:lineRule="atLeast"/>
              <w:ind w:left="0" w:right="0"/>
              <w:jc w:val="both"/>
            </w:pPr>
            <w:r>
              <w:rPr>
                <w:rFonts w:hint="default" w:ascii="Times New Roman" w:hAnsi="Times New Roman" w:eastAsia="Tahoma" w:cs="Times New Roman"/>
                <w:sz w:val="21"/>
                <w:szCs w:val="21"/>
              </w:rPr>
              <w:t> 绿化种植，水池设置。</w:t>
            </w:r>
          </w:p>
        </w:tc>
      </w:tr>
    </w:tbl>
    <w:p>
      <w:pPr>
        <w:pStyle w:val="2"/>
        <w:rPr>
          <w:rFonts w:hint="eastAsia"/>
          <w:lang w:val="en-US" w:eastAsia="zh-CN"/>
        </w:rPr>
      </w:pPr>
    </w:p>
    <w:p>
      <w:pPr>
        <w:pStyle w:val="2"/>
        <w:rPr>
          <w:rFonts w:hint="eastAsia"/>
          <w:lang w:val="en-US" w:eastAsia="zh-CN"/>
        </w:rPr>
      </w:pPr>
      <w:bookmarkStart w:id="3" w:name="_GoBack"/>
      <w:bookmarkEnd w:id="3"/>
      <w:r>
        <w:rPr>
          <w:rFonts w:hint="eastAsia"/>
          <w:lang w:val="en-US" w:eastAsia="zh-CN"/>
        </w:rPr>
        <w:t>4得分自评</w:t>
      </w:r>
    </w:p>
    <w:tbl>
      <w:tblPr>
        <w:tblW w:w="82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09"/>
        <w:gridCol w:w="4865"/>
        <w:gridCol w:w="1132"/>
        <w:gridCol w:w="1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83"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7"/>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sz w:val="21"/>
                <w:szCs w:val="21"/>
              </w:rPr>
              <w:t>序号</w:t>
            </w:r>
          </w:p>
        </w:tc>
        <w:tc>
          <w:tcPr>
            <w:tcW w:w="477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7"/>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sz w:val="21"/>
                <w:szCs w:val="21"/>
              </w:rPr>
              <w:t>评价内容</w:t>
            </w:r>
          </w:p>
        </w:tc>
        <w:tc>
          <w:tcPr>
            <w:tcW w:w="99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7"/>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sz w:val="21"/>
                <w:szCs w:val="21"/>
              </w:rPr>
              <w:t>评价分值</w:t>
            </w:r>
          </w:p>
        </w:tc>
        <w:tc>
          <w:tcPr>
            <w:tcW w:w="1195"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7"/>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sz w:val="21"/>
                <w:szCs w:val="21"/>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3"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7"/>
              <w:keepNext w:val="0"/>
              <w:keepLines w:val="0"/>
              <w:widowControl/>
              <w:suppressLineNumbers w:val="0"/>
              <w:spacing w:before="0" w:beforeAutospacing="0" w:after="0" w:afterAutospacing="0" w:line="18" w:lineRule="atLeast"/>
              <w:ind w:left="0" w:right="0"/>
              <w:jc w:val="center"/>
            </w:pPr>
            <w:r>
              <w:rPr>
                <w:rFonts w:hint="default" w:ascii="Times New Roman" w:hAnsi="Times New Roman" w:eastAsia="Tahoma" w:cs="Times New Roman"/>
                <w:sz w:val="21"/>
                <w:szCs w:val="21"/>
              </w:rPr>
              <w:t>1</w:t>
            </w:r>
          </w:p>
        </w:tc>
        <w:tc>
          <w:tcPr>
            <w:tcW w:w="477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7"/>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sz w:val="21"/>
                <w:szCs w:val="21"/>
              </w:rPr>
              <w:t>提高阳台、外窗、窗台、防护栏杆等安全防护水平</w:t>
            </w:r>
          </w:p>
        </w:tc>
        <w:tc>
          <w:tcPr>
            <w:tcW w:w="99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7"/>
              <w:keepNext w:val="0"/>
              <w:keepLines w:val="0"/>
              <w:widowControl/>
              <w:suppressLineNumbers w:val="0"/>
              <w:spacing w:before="0" w:beforeAutospacing="0" w:after="0" w:afterAutospacing="0" w:line="18" w:lineRule="atLeast"/>
              <w:ind w:left="0" w:right="0"/>
              <w:jc w:val="center"/>
            </w:pPr>
            <w:r>
              <w:rPr>
                <w:rFonts w:hint="default" w:ascii="Times New Roman" w:hAnsi="Times New Roman" w:eastAsia="Tahoma" w:cs="Times New Roman"/>
                <w:sz w:val="21"/>
                <w:szCs w:val="21"/>
              </w:rPr>
              <w:t>5</w:t>
            </w:r>
          </w:p>
        </w:tc>
        <w:tc>
          <w:tcPr>
            <w:tcW w:w="1195"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7"/>
              <w:keepNext w:val="0"/>
              <w:keepLines w:val="0"/>
              <w:widowControl/>
              <w:suppressLineNumbers w:val="0"/>
              <w:spacing w:before="0" w:beforeAutospacing="0" w:after="0" w:afterAutospacing="0" w:line="18" w:lineRule="atLeast"/>
              <w:ind w:left="0" w:right="0"/>
              <w:jc w:val="center"/>
            </w:pPr>
            <w:r>
              <w:rPr>
                <w:rFonts w:hint="default" w:ascii="Times New Roman" w:hAnsi="Times New Roman" w:eastAsia="Tahoma" w:cs="Times New Roman"/>
                <w:sz w:val="21"/>
                <w:szCs w:val="21"/>
              </w:rPr>
              <w:t>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3"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7"/>
              <w:keepNext w:val="0"/>
              <w:keepLines w:val="0"/>
              <w:widowControl/>
              <w:suppressLineNumbers w:val="0"/>
              <w:spacing w:before="0" w:beforeAutospacing="0" w:after="0" w:afterAutospacing="0" w:line="18" w:lineRule="atLeast"/>
              <w:ind w:left="0" w:right="0"/>
              <w:jc w:val="center"/>
            </w:pPr>
            <w:r>
              <w:rPr>
                <w:rFonts w:hint="default" w:ascii="Times New Roman" w:hAnsi="Times New Roman" w:eastAsia="Tahoma" w:cs="Times New Roman"/>
                <w:sz w:val="21"/>
                <w:szCs w:val="21"/>
              </w:rPr>
              <w:t>2</w:t>
            </w:r>
          </w:p>
        </w:tc>
        <w:tc>
          <w:tcPr>
            <w:tcW w:w="477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7"/>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sz w:val="21"/>
                <w:szCs w:val="21"/>
              </w:rPr>
              <w:t>建筑物出入口均设外墙饰面、门窗玻璃意外脱落的防护措施，并与人员通行区域的遮阳、遮风或挡雨措施结合</w:t>
            </w:r>
          </w:p>
        </w:tc>
        <w:tc>
          <w:tcPr>
            <w:tcW w:w="99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7"/>
              <w:keepNext w:val="0"/>
              <w:keepLines w:val="0"/>
              <w:widowControl/>
              <w:suppressLineNumbers w:val="0"/>
              <w:spacing w:before="0" w:beforeAutospacing="0" w:after="0" w:afterAutospacing="0" w:line="18" w:lineRule="atLeast"/>
              <w:ind w:left="0" w:right="0"/>
              <w:jc w:val="center"/>
            </w:pPr>
            <w:r>
              <w:rPr>
                <w:rFonts w:hint="default" w:ascii="Times New Roman" w:hAnsi="Times New Roman" w:eastAsia="Tahoma" w:cs="Times New Roman"/>
                <w:sz w:val="21"/>
                <w:szCs w:val="21"/>
              </w:rPr>
              <w:t>5</w:t>
            </w:r>
          </w:p>
        </w:tc>
        <w:tc>
          <w:tcPr>
            <w:tcW w:w="1195"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7"/>
              <w:keepNext w:val="0"/>
              <w:keepLines w:val="0"/>
              <w:widowControl/>
              <w:suppressLineNumbers w:val="0"/>
              <w:spacing w:before="0" w:beforeAutospacing="0" w:after="0" w:afterAutospacing="0" w:line="18" w:lineRule="atLeast"/>
              <w:ind w:left="0" w:right="0"/>
              <w:jc w:val="center"/>
            </w:pPr>
            <w:r>
              <w:rPr>
                <w:rFonts w:hint="default" w:ascii="Times New Roman" w:hAnsi="Times New Roman" w:eastAsia="Tahoma" w:cs="Times New Roman"/>
                <w:sz w:val="21"/>
                <w:szCs w:val="21"/>
              </w:rPr>
              <w:t>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3"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7"/>
              <w:keepNext w:val="0"/>
              <w:keepLines w:val="0"/>
              <w:widowControl/>
              <w:suppressLineNumbers w:val="0"/>
              <w:spacing w:before="0" w:beforeAutospacing="0" w:after="0" w:afterAutospacing="0" w:line="18" w:lineRule="atLeast"/>
              <w:ind w:left="0" w:right="0"/>
              <w:jc w:val="center"/>
            </w:pPr>
            <w:r>
              <w:rPr>
                <w:rFonts w:hint="default" w:ascii="Times New Roman" w:hAnsi="Times New Roman" w:eastAsia="Tahoma" w:cs="Times New Roman"/>
                <w:sz w:val="21"/>
                <w:szCs w:val="21"/>
              </w:rPr>
              <w:t>3</w:t>
            </w:r>
          </w:p>
        </w:tc>
        <w:tc>
          <w:tcPr>
            <w:tcW w:w="477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7"/>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sz w:val="21"/>
                <w:szCs w:val="21"/>
              </w:rPr>
              <w:t>利用场地或景观形成可降低坠物风险的缓冲区、隔离带</w:t>
            </w:r>
          </w:p>
        </w:tc>
        <w:tc>
          <w:tcPr>
            <w:tcW w:w="99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7"/>
              <w:keepNext w:val="0"/>
              <w:keepLines w:val="0"/>
              <w:widowControl/>
              <w:suppressLineNumbers w:val="0"/>
              <w:spacing w:before="0" w:beforeAutospacing="0" w:after="0" w:afterAutospacing="0" w:line="18" w:lineRule="atLeast"/>
              <w:ind w:left="0" w:right="0"/>
              <w:jc w:val="center"/>
            </w:pPr>
            <w:r>
              <w:rPr>
                <w:rFonts w:hint="default" w:ascii="Times New Roman" w:hAnsi="Times New Roman" w:eastAsia="Tahoma" w:cs="Times New Roman"/>
                <w:sz w:val="21"/>
                <w:szCs w:val="21"/>
              </w:rPr>
              <w:t>5</w:t>
            </w:r>
          </w:p>
        </w:tc>
        <w:tc>
          <w:tcPr>
            <w:tcW w:w="1195"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7"/>
              <w:keepNext w:val="0"/>
              <w:keepLines w:val="0"/>
              <w:widowControl/>
              <w:suppressLineNumbers w:val="0"/>
              <w:spacing w:before="0" w:beforeAutospacing="0" w:after="0" w:afterAutospacing="0" w:line="18" w:lineRule="atLeast"/>
              <w:ind w:left="0" w:right="0"/>
              <w:jc w:val="center"/>
            </w:pPr>
            <w:r>
              <w:rPr>
                <w:rFonts w:hint="default" w:ascii="Times New Roman" w:hAnsi="Times New Roman" w:eastAsia="Tahoma" w:cs="Times New Roman"/>
                <w:sz w:val="21"/>
                <w:szCs w:val="21"/>
              </w:rPr>
              <w:t>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 w:hRule="atLeast"/>
          <w:jc w:val="center"/>
        </w:trPr>
        <w:tc>
          <w:tcPr>
            <w:tcW w:w="0" w:type="auto"/>
            <w:gridSpan w:val="2"/>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7"/>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sz w:val="21"/>
                <w:szCs w:val="21"/>
              </w:rPr>
              <w:t>合计</w:t>
            </w:r>
          </w:p>
        </w:tc>
        <w:tc>
          <w:tcPr>
            <w:tcW w:w="99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7"/>
              <w:keepNext w:val="0"/>
              <w:keepLines w:val="0"/>
              <w:widowControl/>
              <w:suppressLineNumbers w:val="0"/>
              <w:spacing w:before="0" w:beforeAutospacing="0" w:after="0" w:afterAutospacing="0" w:line="18" w:lineRule="atLeast"/>
              <w:ind w:left="0" w:right="0"/>
              <w:jc w:val="center"/>
            </w:pPr>
            <w:r>
              <w:rPr>
                <w:rFonts w:hint="default" w:ascii="Times New Roman" w:hAnsi="Times New Roman" w:eastAsia="Tahoma" w:cs="Times New Roman"/>
                <w:sz w:val="21"/>
                <w:szCs w:val="21"/>
              </w:rPr>
              <w:t>15</w:t>
            </w:r>
          </w:p>
        </w:tc>
        <w:tc>
          <w:tcPr>
            <w:tcW w:w="1195"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7"/>
              <w:keepNext w:val="0"/>
              <w:keepLines w:val="0"/>
              <w:widowControl/>
              <w:suppressLineNumbers w:val="0"/>
              <w:spacing w:before="0" w:beforeAutospacing="0" w:after="0" w:afterAutospacing="0" w:line="18" w:lineRule="atLeast"/>
              <w:ind w:left="0" w:right="0"/>
              <w:jc w:val="center"/>
            </w:pPr>
            <w:r>
              <w:rPr>
                <w:rFonts w:hint="default" w:ascii="Times New Roman" w:hAnsi="Times New Roman" w:eastAsia="Tahoma" w:cs="Times New Roman"/>
                <w:sz w:val="21"/>
                <w:szCs w:val="21"/>
              </w:rPr>
              <w:t>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8" w:type="dxa"/>
            <w:tcBorders>
              <w:top w:val="nil"/>
              <w:left w:val="nil"/>
              <w:bottom w:val="nil"/>
              <w:right w:val="nil"/>
            </w:tcBorders>
            <w:shd w:val="clear"/>
            <w:vAlign w:val="center"/>
          </w:tcPr>
          <w:p>
            <w:pPr>
              <w:rPr>
                <w:rFonts w:hint="default" w:ascii="Tahoma" w:hAnsi="Tahoma" w:eastAsia="Tahoma" w:cs="Tahoma"/>
                <w:sz w:val="14"/>
                <w:szCs w:val="14"/>
              </w:rPr>
            </w:pPr>
          </w:p>
        </w:tc>
        <w:tc>
          <w:tcPr>
            <w:tcW w:w="4674" w:type="dxa"/>
            <w:tcBorders>
              <w:top w:val="nil"/>
              <w:left w:val="nil"/>
              <w:bottom w:val="nil"/>
              <w:right w:val="nil"/>
            </w:tcBorders>
            <w:shd w:val="clear"/>
            <w:vAlign w:val="center"/>
          </w:tcPr>
          <w:p>
            <w:pPr>
              <w:rPr>
                <w:rFonts w:hint="default" w:ascii="Tahoma" w:hAnsi="Tahoma" w:eastAsia="Tahoma" w:cs="Tahoma"/>
                <w:sz w:val="14"/>
                <w:szCs w:val="14"/>
              </w:rPr>
            </w:pPr>
          </w:p>
        </w:tc>
        <w:tc>
          <w:tcPr>
            <w:tcW w:w="1110" w:type="dxa"/>
            <w:tcBorders>
              <w:top w:val="nil"/>
              <w:left w:val="nil"/>
              <w:bottom w:val="nil"/>
              <w:right w:val="nil"/>
            </w:tcBorders>
            <w:shd w:val="clear"/>
            <w:vAlign w:val="center"/>
          </w:tcPr>
          <w:p>
            <w:pPr>
              <w:rPr>
                <w:rFonts w:hint="default" w:ascii="Tahoma" w:hAnsi="Tahoma" w:eastAsia="Tahoma" w:cs="Tahoma"/>
                <w:sz w:val="14"/>
                <w:szCs w:val="14"/>
              </w:rPr>
            </w:pPr>
          </w:p>
        </w:tc>
        <w:tc>
          <w:tcPr>
            <w:tcW w:w="1300" w:type="dxa"/>
            <w:tcBorders>
              <w:top w:val="nil"/>
              <w:left w:val="nil"/>
              <w:bottom w:val="nil"/>
              <w:right w:val="nil"/>
            </w:tcBorders>
            <w:shd w:val="clear"/>
            <w:vAlign w:val="center"/>
          </w:tcPr>
          <w:p>
            <w:pPr>
              <w:rPr>
                <w:rFonts w:hint="default" w:ascii="Tahoma" w:hAnsi="Tahoma" w:eastAsia="Tahoma" w:cs="Tahoma"/>
                <w:sz w:val="14"/>
                <w:szCs w:val="14"/>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A1C81"/>
    <w:rsid w:val="0AC72460"/>
    <w:rsid w:val="10704525"/>
    <w:rsid w:val="157D1DED"/>
    <w:rsid w:val="15D063C0"/>
    <w:rsid w:val="25B23BFB"/>
    <w:rsid w:val="32DD74DA"/>
    <w:rsid w:val="3928526A"/>
    <w:rsid w:val="4B0C0DA6"/>
    <w:rsid w:val="4DDE3826"/>
    <w:rsid w:val="4F0E4E37"/>
    <w:rsid w:val="67546FAE"/>
    <w:rsid w:val="68DB564C"/>
    <w:rsid w:val="69447378"/>
    <w:rsid w:val="712D1657"/>
    <w:rsid w:val="768B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420" w:firstLineChars="200"/>
      <w:jc w:val="both"/>
      <w:textAlignment w:val="center"/>
    </w:pPr>
    <w:rPr>
      <w:rFonts w:ascii="Times New Roman" w:hAnsi="Times New Roman" w:eastAsia="宋体" w:cs="宋体"/>
      <w:kern w:val="2"/>
      <w:sz w:val="24"/>
      <w:szCs w:val="24"/>
      <w:lang w:val="en-US" w:eastAsia="zh-CN" w:bidi="ar-SA"/>
    </w:rPr>
  </w:style>
  <w:style w:type="paragraph" w:styleId="2">
    <w:name w:val="heading 1"/>
    <w:basedOn w:val="1"/>
    <w:next w:val="3"/>
    <w:qFormat/>
    <w:uiPriority w:val="0"/>
    <w:pPr>
      <w:spacing w:line="360" w:lineRule="auto"/>
      <w:ind w:firstLine="0" w:firstLineChars="0"/>
      <w:jc w:val="left"/>
      <w:outlineLvl w:val="0"/>
    </w:pPr>
    <w:rPr>
      <w:rFonts w:eastAsiaTheme="majorEastAsia"/>
      <w:b/>
      <w:bCs/>
      <w:kern w:val="44"/>
      <w:sz w:val="28"/>
      <w:szCs w:val="44"/>
    </w:rPr>
  </w:style>
  <w:style w:type="paragraph" w:styleId="4">
    <w:name w:val="heading 2"/>
    <w:basedOn w:val="1"/>
    <w:next w:val="1"/>
    <w:semiHidden/>
    <w:unhideWhenUsed/>
    <w:qFormat/>
    <w:uiPriority w:val="0"/>
    <w:pPr>
      <w:spacing w:line="360" w:lineRule="auto"/>
      <w:ind w:firstLine="0" w:firstLineChars="0"/>
      <w:jc w:val="left"/>
      <w:outlineLvl w:val="1"/>
    </w:pPr>
    <w:rPr>
      <w:rFonts w:asciiTheme="majorAscii" w:hAnsiTheme="majorAscii" w:cstheme="majorBidi"/>
      <w:b/>
      <w:bCs/>
      <w:szCs w:val="32"/>
    </w:rPr>
  </w:style>
  <w:style w:type="paragraph" w:styleId="5">
    <w:name w:val="heading 3"/>
    <w:basedOn w:val="1"/>
    <w:next w:val="1"/>
    <w:semiHidden/>
    <w:unhideWhenUsed/>
    <w:qFormat/>
    <w:uiPriority w:val="0"/>
    <w:pPr>
      <w:spacing w:line="360" w:lineRule="auto"/>
      <w:ind w:firstLine="0" w:firstLineChars="0"/>
      <w:jc w:val="left"/>
      <w:outlineLvl w:val="2"/>
    </w:pPr>
    <w:rPr>
      <w:rFonts w:eastAsiaTheme="majorEastAsia"/>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6">
    <w:name w:val="caption"/>
    <w:basedOn w:val="1"/>
    <w:next w:val="1"/>
    <w:semiHidden/>
    <w:unhideWhenUsed/>
    <w:qFormat/>
    <w:uiPriority w:val="0"/>
    <w:pPr>
      <w:ind w:firstLine="0" w:firstLineChars="0"/>
      <w:jc w:val="center"/>
    </w:pPr>
    <w:rPr>
      <w:rFonts w:ascii="Arial" w:hAnsi="Arial" w:eastAsia="宋体"/>
      <w:b/>
      <w:sz w:val="21"/>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公式"/>
    <w:basedOn w:val="6"/>
    <w:next w:val="1"/>
    <w:uiPriority w:val="0"/>
    <w:pPr>
      <w:tabs>
        <w:tab w:val="left" w:pos="0"/>
        <w:tab w:val="center" w:pos="4200"/>
        <w:tab w:val="right" w:pos="8190"/>
      </w:tabs>
      <w:ind w:firstLine="0" w:firstLineChars="0"/>
    </w:pPr>
    <w:rPr>
      <w:rFonts w:ascii="Times New Roman" w:hAnsi="Times New Roman" w:eastAsia="Times New Roman" w:cs="宋体"/>
      <w:sz w:val="24"/>
    </w:rPr>
  </w:style>
  <w:style w:type="paragraph" w:customStyle="1" w:styleId="11">
    <w:name w:val="表格中文字"/>
    <w:basedOn w:val="1"/>
    <w:uiPriority w:val="0"/>
    <w:pPr>
      <w:ind w:firstLine="0" w:firstLineChars="0"/>
      <w:jc w:val="center"/>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换位思考LINDA</cp:lastModifiedBy>
  <dcterms:modified xsi:type="dcterms:W3CDTF">2021-03-05T10:50:39Z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