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2"/>
        <w:jc w:val="center"/>
        <w:rPr>
          <w:rFonts w:hint="default" w:ascii="Times New Roman" w:hAnsi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/>
          <w:sz w:val="40"/>
          <w:szCs w:val="40"/>
          <w:lang w:val="en-US" w:eastAsia="zh-CN"/>
        </w:rPr>
        <w:t>工程材料决算清单</w:t>
      </w:r>
    </w:p>
    <w:p>
      <w:pPr>
        <w:ind w:firstLine="422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表1 建筑改造经济分析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1379"/>
        <w:gridCol w:w="164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改造项目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材料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面积/体积</w:t>
            </w:r>
          </w:p>
        </w:tc>
        <w:tc>
          <w:tcPr>
            <w:tcW w:w="1645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单价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绿植屋顶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佛甲草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1840 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645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20 元/㎡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3.6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土工布（过滤层）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1840 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645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2 元/㎡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0.35万元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PVC排水板（蓄排水层）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1840 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645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3元/㎡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0.56万元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改性沥青耐根穿刺防水卷材（阻根层及防渗漏层）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1840 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645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9元/㎡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1.7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安装及其他费用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645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4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窗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LOW-E双层玻璃窗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2104 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645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350元/㎡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73.6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墙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卵石混凝土40mm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210 m³</w:t>
            </w:r>
          </w:p>
        </w:tc>
        <w:tc>
          <w:tcPr>
            <w:tcW w:w="1645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448 元/ m³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9.4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泡沫混凝土、加气混凝土80mm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420 m³</w:t>
            </w:r>
          </w:p>
        </w:tc>
        <w:tc>
          <w:tcPr>
            <w:tcW w:w="1645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443元/ m³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18.6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地板</w:t>
            </w:r>
          </w:p>
        </w:tc>
        <w:tc>
          <w:tcPr>
            <w:tcW w:w="2977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挤塑聚苯板</w:t>
            </w:r>
          </w:p>
        </w:tc>
        <w:tc>
          <w:tcPr>
            <w:tcW w:w="137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14200 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645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7元/㎡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9.9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8" w:type="dxa"/>
            <w:gridSpan w:val="4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总计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121.8 万元</w:t>
            </w:r>
          </w:p>
        </w:tc>
      </w:tr>
    </w:tbl>
    <w:p>
      <w:pPr>
        <w:ind w:firstLine="422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表</w:t>
      </w:r>
      <w:r>
        <w:rPr>
          <w:rFonts w:hint="eastAsia" w:ascii="Times New Roman" w:hAnsi="Times New Roman"/>
          <w:b/>
          <w:bCs/>
          <w:sz w:val="21"/>
          <w:szCs w:val="21"/>
          <w:lang w:val="en-US" w:eastAsia="zh-CN"/>
        </w:rPr>
        <w:t>2</w:t>
      </w:r>
      <w:r>
        <w:rPr>
          <w:rFonts w:ascii="Times New Roman" w:hAnsi="Times New Roman"/>
          <w:b/>
          <w:bCs/>
          <w:sz w:val="21"/>
          <w:szCs w:val="21"/>
        </w:rPr>
        <w:t xml:space="preserve"> 设备改造经济分析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503"/>
        <w:gridCol w:w="929"/>
        <w:gridCol w:w="1658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改造项目</w:t>
            </w:r>
          </w:p>
        </w:tc>
        <w:tc>
          <w:tcPr>
            <w:tcW w:w="2503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数量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单价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多联机系统</w:t>
            </w:r>
          </w:p>
        </w:tc>
        <w:tc>
          <w:tcPr>
            <w:tcW w:w="2503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TICA 180W变频多联机空调</w:t>
            </w: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91979元/台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55.2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</w:p>
        </w:tc>
        <w:tc>
          <w:tcPr>
            <w:tcW w:w="2503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安装及其他费用</w:t>
            </w: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太阳能热水器</w:t>
            </w:r>
          </w:p>
        </w:tc>
        <w:tc>
          <w:tcPr>
            <w:tcW w:w="2503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300L+2匹太阳能/电能热水器</w:t>
            </w: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4台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8000元/台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2503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安装及其他费用</w:t>
            </w: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0.5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导光系统</w:t>
            </w:r>
          </w:p>
        </w:tc>
        <w:tc>
          <w:tcPr>
            <w:tcW w:w="2503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导光管</w:t>
            </w: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133台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1000元/台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13.3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2503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安装及其他费用</w:t>
            </w:r>
          </w:p>
        </w:tc>
        <w:tc>
          <w:tcPr>
            <w:tcW w:w="929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10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6" w:type="dxa"/>
            <w:gridSpan w:val="4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总计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93.2万元</w:t>
            </w:r>
          </w:p>
        </w:tc>
      </w:tr>
    </w:tbl>
    <w:p>
      <w:pPr>
        <w:ind w:firstLine="0" w:firstLineChars="0"/>
        <w:rPr>
          <w:rFonts w:ascii="Times New Roman" w:hAnsi="Times New Roman"/>
          <w:b/>
          <w:bCs/>
        </w:rPr>
      </w:pPr>
    </w:p>
    <w:p>
      <w:pPr>
        <w:ind w:firstLine="422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表</w:t>
      </w:r>
      <w:r>
        <w:rPr>
          <w:rFonts w:hint="eastAsia" w:ascii="Times New Roman" w:hAnsi="Times New Roman"/>
          <w:b/>
          <w:bCs/>
          <w:sz w:val="21"/>
          <w:szCs w:val="21"/>
          <w:lang w:val="en-US" w:eastAsia="zh-CN"/>
        </w:rPr>
        <w:t>3</w:t>
      </w:r>
      <w:r>
        <w:rPr>
          <w:rFonts w:ascii="Times New Roman" w:hAnsi="Times New Roman"/>
          <w:b/>
          <w:bCs/>
          <w:sz w:val="21"/>
          <w:szCs w:val="21"/>
        </w:rPr>
        <w:t xml:space="preserve"> 周边及装饰性构件改造经济分析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638"/>
        <w:gridCol w:w="1716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改造项目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面积/体积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单价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坡地楼梯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混凝土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288 m³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492元/ m³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14.2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地砖（火烧石）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960 ㎡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32元/ ㎡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3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安装及其他费用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6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坡地广场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地砖（火烧石）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526 </w: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QUOTE </w:instrText>
            </w:r>
            <w:r>
              <w:rPr>
                <w:position w:val="-16"/>
              </w:rPr>
              <w:pict>
                <v:shape id="_x0000_i1025" o:spt="75" type="#_x0000_t75" style="height:24.6pt;width:15.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8&quot;/&gt;&lt;w:doNotEmbedSystemFonts/&gt;&lt;w:bordersDontSurroundHeader/&gt;&lt;w:bordersDontSurroundFooter/&gt;&lt;w:defaultTabStop w:val=&quot;420&quot;/&gt;&lt;w:drawingGridHorizontalSpacing w:val=&quot;120&quot;/&gt;&lt;w:drawingGridVerticalSpacing w:val=&quot;163&quot;/&gt;&lt;w:displayHorizontalDrawingGridEvery w:val=&quot;2&quot;/&gt;&lt;w:displayVerticalDrawingGridEvery w:val=&quot;2&quot;/&gt;&lt;w:characterSpacingControl w:val=&quot;CompressPunctuation&quot;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40BDC&quot;/&gt;&lt;wsp:rsid wsp:val=&quot;0000101A&quot;/&gt;&lt;wsp:rsid wsp:val=&quot;000231FC&quot;/&gt;&lt;wsp:rsid wsp:val=&quot;00036990&quot;/&gt;&lt;wsp:rsid wsp:val=&quot;00061FAE&quot;/&gt;&lt;wsp:rsid wsp:val=&quot;000853E0&quot;/&gt;&lt;wsp:rsid wsp:val=&quot;000870E2&quot;/&gt;&lt;wsp:rsid wsp:val=&quot;0009094A&quot;/&gt;&lt;wsp:rsid wsp:val=&quot;00092704&quot;/&gt;&lt;wsp:rsid wsp:val=&quot;000965D9&quot;/&gt;&lt;wsp:rsid wsp:val=&quot;00096948&quot;/&gt;&lt;wsp:rsid wsp:val=&quot;000C6BEC&quot;/&gt;&lt;wsp:rsid wsp:val=&quot;0011063E&quot;/&gt;&lt;wsp:rsid wsp:val=&quot;001317B1&quot;/&gt;&lt;wsp:rsid wsp:val=&quot;001360A3&quot;/&gt;&lt;wsp:rsid wsp:val=&quot;00152BFB&quot;/&gt;&lt;wsp:rsid wsp:val=&quot;00156F95&quot;/&gt;&lt;wsp:rsid wsp:val=&quot;0019112D&quot;/&gt;&lt;wsp:rsid wsp:val=&quot;00196CBE&quot;/&gt;&lt;wsp:rsid wsp:val=&quot;001A5238&quot;/&gt;&lt;wsp:rsid wsp:val=&quot;001A6828&quot;/&gt;&lt;wsp:rsid wsp:val=&quot;001B60BB&quot;/&gt;&lt;wsp:rsid wsp:val=&quot;001C0DA5&quot;/&gt;&lt;wsp:rsid wsp:val=&quot;001C3B1B&quot;/&gt;&lt;wsp:rsid wsp:val=&quot;001C4B29&quot;/&gt;&lt;wsp:rsid wsp:val=&quot;001E5381&quot;/&gt;&lt;wsp:rsid wsp:val=&quot;001F14D9&quot;/&gt;&lt;wsp:rsid wsp:val=&quot;001F5B8B&quot;/&gt;&lt;wsp:rsid wsp:val=&quot;001F71A8&quot;/&gt;&lt;wsp:rsid wsp:val=&quot;00203488&quot;/&gt;&lt;wsp:rsid wsp:val=&quot;00203B64&quot;/&gt;&lt;wsp:rsid wsp:val=&quot;002166B3&quot;/&gt;&lt;wsp:rsid wsp:val=&quot;00225578&quot;/&gt;&lt;wsp:rsid wsp:val=&quot;00234BFC&quot;/&gt;&lt;wsp:rsid wsp:val=&quot;002418CB&quot;/&gt;&lt;wsp:rsid wsp:val=&quot;00253152&quot;/&gt;&lt;wsp:rsid wsp:val=&quot;002571B8&quot;/&gt;&lt;wsp:rsid wsp:val=&quot;002629BA&quot;/&gt;&lt;wsp:rsid wsp:val=&quot;00266A37&quot;/&gt;&lt;wsp:rsid wsp:val=&quot;00283923&quot;/&gt;&lt;wsp:rsid wsp:val=&quot;0029037C&quot;/&gt;&lt;wsp:rsid wsp:val=&quot;002948F8&quot;/&gt;&lt;wsp:rsid wsp:val=&quot;002B4122&quot;/&gt;&lt;wsp:rsid wsp:val=&quot;002C0015&quot;/&gt;&lt;wsp:rsid wsp:val=&quot;002C3363&quot;/&gt;&lt;wsp:rsid wsp:val=&quot;002C7139&quot;/&gt;&lt;wsp:rsid wsp:val=&quot;002E4C0D&quot;/&gt;&lt;wsp:rsid wsp:val=&quot;002E6C3E&quot;/&gt;&lt;wsp:rsid wsp:val=&quot;002E7656&quot;/&gt;&lt;wsp:rsid wsp:val=&quot;002F1561&quot;/&gt;&lt;wsp:rsid wsp:val=&quot;002F59BD&quot;/&gt;&lt;wsp:rsid wsp:val=&quot;00302F68&quot;/&gt;&lt;wsp:rsid wsp:val=&quot;00313B2D&quot;/&gt;&lt;wsp:rsid wsp:val=&quot;0031692B&quot;/&gt;&lt;wsp:rsid wsp:val=&quot;0034744F&quot;/&gt;&lt;wsp:rsid wsp:val=&quot;0037355F&quot;/&gt;&lt;wsp:rsid wsp:val=&quot;00375706&quot;/&gt;&lt;wsp:rsid wsp:val=&quot;00377928&quot;/&gt;&lt;wsp:rsid wsp:val=&quot;00383532&quot;/&gt;&lt;wsp:rsid wsp:val=&quot;00384F07&quot;/&gt;&lt;wsp:rsid wsp:val=&quot;0039685E&quot;/&gt;&lt;wsp:rsid wsp:val=&quot;0039787C&quot;/&gt;&lt;wsp:rsid wsp:val=&quot;00397A8C&quot;/&gt;&lt;wsp:rsid wsp:val=&quot;003A1E20&quot;/&gt;&lt;wsp:rsid wsp:val=&quot;003C0E8C&quot;/&gt;&lt;wsp:rsid wsp:val=&quot;003C1403&quot;/&gt;&lt;wsp:rsid wsp:val=&quot;003D3DF2&quot;/&gt;&lt;wsp:rsid wsp:val=&quot;003D6C9C&quot;/&gt;&lt;wsp:rsid wsp:val=&quot;003E4FC0&quot;/&gt;&lt;wsp:rsid wsp:val=&quot;003F0202&quot;/&gt;&lt;wsp:rsid wsp:val=&quot;003F125F&quot;/&gt;&lt;wsp:rsid wsp:val=&quot;004071FF&quot;/&gt;&lt;wsp:rsid wsp:val=&quot;004106E3&quot;/&gt;&lt;wsp:rsid wsp:val=&quot;00413093&quot;/&gt;&lt;wsp:rsid wsp:val=&quot;00414DB5&quot;/&gt;&lt;wsp:rsid wsp:val=&quot;00441863&quot;/&gt;&lt;wsp:rsid wsp:val=&quot;00442F44&quot;/&gt;&lt;wsp:rsid wsp:val=&quot;00446156&quot;/&gt;&lt;wsp:rsid wsp:val=&quot;00451379&quot;/&gt;&lt;wsp:rsid wsp:val=&quot;0047099A&quot;/&gt;&lt;wsp:rsid wsp:val=&quot;004712ED&quot;/&gt;&lt;wsp:rsid wsp:val=&quot;00472D0E&quot;/&gt;&lt;wsp:rsid wsp:val=&quot;004751D3&quot;/&gt;&lt;wsp:rsid wsp:val=&quot;0048000D&quot;/&gt;&lt;wsp:rsid wsp:val=&quot;00487E11&quot;/&gt;&lt;wsp:rsid wsp:val=&quot;00495EE0&quot;/&gt;&lt;wsp:rsid wsp:val=&quot;004A132D&quot;/&gt;&lt;wsp:rsid wsp:val=&quot;004A3304&quot;/&gt;&lt;wsp:rsid wsp:val=&quot;004B7394&quot;/&gt;&lt;wsp:rsid wsp:val=&quot;004D1F83&quot;/&gt;&lt;wsp:rsid wsp:val=&quot;004E085A&quot;/&gt;&lt;wsp:rsid wsp:val=&quot;004E513A&quot;/&gt;&lt;wsp:rsid wsp:val=&quot;00540BDC&quot;/&gt;&lt;wsp:rsid wsp:val=&quot;00540E57&quot;/&gt;&lt;wsp:rsid wsp:val=&quot;00550B32&quot;/&gt;&lt;wsp:rsid wsp:val=&quot;00556C31&quot;/&gt;&lt;wsp:rsid wsp:val=&quot;00563CF8&quot;/&gt;&lt;wsp:rsid wsp:val=&quot;00565258&quot;/&gt;&lt;wsp:rsid wsp:val=&quot;00573855&quot;/&gt;&lt;wsp:rsid wsp:val=&quot;005852E1&quot;/&gt;&lt;wsp:rsid wsp:val=&quot;005A67EF&quot;/&gt;&lt;wsp:rsid wsp:val=&quot;005B243C&quot;/&gt;&lt;wsp:rsid wsp:val=&quot;005D4692&quot;/&gt;&lt;wsp:rsid wsp:val=&quot;005D4FEA&quot;/&gt;&lt;wsp:rsid wsp:val=&quot;005F2F4A&quot;/&gt;&lt;wsp:rsid wsp:val=&quot;00634FF2&quot;/&gt;&lt;wsp:rsid wsp:val=&quot;006521A1&quot;/&gt;&lt;wsp:rsid wsp:val=&quot;00661143&quot;/&gt;&lt;wsp:rsid wsp:val=&quot;00661CBB&quot;/&gt;&lt;wsp:rsid wsp:val=&quot;0066350F&quot;/&gt;&lt;wsp:rsid wsp:val=&quot;00671782&quot;/&gt;&lt;wsp:rsid wsp:val=&quot;00673E37&quot;/&gt;&lt;wsp:rsid wsp:val=&quot;006874CE&quot;/&gt;&lt;wsp:rsid wsp:val=&quot;00690366&quot;/&gt;&lt;wsp:rsid wsp:val=&quot;006A27EB&quot;/&gt;&lt;wsp:rsid wsp:val=&quot;006B45CC&quot;/&gt;&lt;wsp:rsid wsp:val=&quot;006B5B65&quot;/&gt;&lt;wsp:rsid wsp:val=&quot;006D2877&quot;/&gt;&lt;wsp:rsid wsp:val=&quot;006D79E3&quot;/&gt;&lt;wsp:rsid wsp:val=&quot;006E39BE&quot;/&gt;&lt;wsp:rsid wsp:val=&quot;006F5EE7&quot;/&gt;&lt;wsp:rsid wsp:val=&quot;00701B45&quot;/&gt;&lt;wsp:rsid wsp:val=&quot;00704130&quot;/&gt;&lt;wsp:rsid wsp:val=&quot;00714482&quot;/&gt;&lt;wsp:rsid wsp:val=&quot;007342FC&quot;/&gt;&lt;wsp:rsid wsp:val=&quot;00734BB5&quot;/&gt;&lt;wsp:rsid wsp:val=&quot;00736284&quot;/&gt;&lt;wsp:rsid wsp:val=&quot;00740A7E&quot;/&gt;&lt;wsp:rsid wsp:val=&quot;00744E99&quot;/&gt;&lt;wsp:rsid wsp:val=&quot;0078238D&quot;/&gt;&lt;wsp:rsid wsp:val=&quot;007847AC&quot;/&gt;&lt;wsp:rsid wsp:val=&quot;00785669&quot;/&gt;&lt;wsp:rsid wsp:val=&quot;007948C0&quot;/&gt;&lt;wsp:rsid wsp:val=&quot;007975F7&quot;/&gt;&lt;wsp:rsid wsp:val=&quot;007A7665&quot;/&gt;&lt;wsp:rsid wsp:val=&quot;007E1AB5&quot;/&gt;&lt;wsp:rsid wsp:val=&quot;007F77DD&quot;/&gt;&lt;wsp:rsid wsp:val=&quot;00810D9F&quot;/&gt;&lt;wsp:rsid wsp:val=&quot;00816EC8&quot;/&gt;&lt;wsp:rsid wsp:val=&quot;00817E11&quot;/&gt;&lt;wsp:rsid wsp:val=&quot;00820F7F&quot;/&gt;&lt;wsp:rsid wsp:val=&quot;00821E65&quot;/&gt;&lt;wsp:rsid wsp:val=&quot;00831E12&quot;/&gt;&lt;wsp:rsid wsp:val=&quot;0084790C&quot;/&gt;&lt;wsp:rsid wsp:val=&quot;00857A37&quot;/&gt;&lt;wsp:rsid wsp:val=&quot;0086372F&quot;/&gt;&lt;wsp:rsid wsp:val=&quot;008661CA&quot;/&gt;&lt;wsp:rsid wsp:val=&quot;008717CD&quot;/&gt;&lt;wsp:rsid wsp:val=&quot;00892165&quot;/&gt;&lt;wsp:rsid wsp:val=&quot;00894DB3&quot;/&gt;&lt;wsp:rsid wsp:val=&quot;008A7ABA&quot;/&gt;&lt;wsp:rsid wsp:val=&quot;008B5F0A&quot;/&gt;&lt;wsp:rsid wsp:val=&quot;008B755D&quot;/&gt;&lt;wsp:rsid wsp:val=&quot;008E33C0&quot;/&gt;&lt;wsp:rsid wsp:val=&quot;008F4D83&quot;/&gt;&lt;wsp:rsid wsp:val=&quot;009058AC&quot;/&gt;&lt;wsp:rsid wsp:val=&quot;00915885&quot;/&gt;&lt;wsp:rsid wsp:val=&quot;009361D5&quot;/&gt;&lt;wsp:rsid wsp:val=&quot;00936B15&quot;/&gt;&lt;wsp:rsid wsp:val=&quot;00936FC3&quot;/&gt;&lt;wsp:rsid wsp:val=&quot;009430A8&quot;/&gt;&lt;wsp:rsid wsp:val=&quot;00951CB8&quot;/&gt;&lt;wsp:rsid wsp:val=&quot;00955E35&quot;/&gt;&lt;wsp:rsid wsp:val=&quot;00964457&quot;/&gt;&lt;wsp:rsid wsp:val=&quot;009915FD&quot;/&gt;&lt;wsp:rsid wsp:val=&quot;00996315&quot;/&gt;&lt;wsp:rsid wsp:val=&quot;00996959&quot;/&gt;&lt;wsp:rsid wsp:val=&quot;009A5EEA&quot;/&gt;&lt;wsp:rsid wsp:val=&quot;009D4059&quot;/&gt;&lt;wsp:rsid wsp:val=&quot;009E1000&quot;/&gt;&lt;wsp:rsid wsp:val=&quot;009E7F06&quot;/&gt;&lt;wsp:rsid wsp:val=&quot;009F2105&quot;/&gt;&lt;wsp:rsid wsp:val=&quot;009F27AC&quot;/&gt;&lt;wsp:rsid wsp:val=&quot;009F4260&quot;/&gt;&lt;wsp:rsid wsp:val=&quot;00A15F9A&quot;/&gt;&lt;wsp:rsid wsp:val=&quot;00A22FB0&quot;/&gt;&lt;wsp:rsid wsp:val=&quot;00A25828&quot;/&gt;&lt;wsp:rsid wsp:val=&quot;00A26E6B&quot;/&gt;&lt;wsp:rsid wsp:val=&quot;00A30092&quot;/&gt;&lt;wsp:rsid wsp:val=&quot;00A35FF8&quot;/&gt;&lt;wsp:rsid wsp:val=&quot;00A433F9&quot;/&gt;&lt;wsp:rsid wsp:val=&quot;00A5440F&quot;/&gt;&lt;wsp:rsid wsp:val=&quot;00A545B7&quot;/&gt;&lt;wsp:rsid wsp:val=&quot;00A54CC3&quot;/&gt;&lt;wsp:rsid wsp:val=&quot;00A56E58&quot;/&gt;&lt;wsp:rsid wsp:val=&quot;00A63097&quot;/&gt;&lt;wsp:rsid wsp:val=&quot;00A64EFD&quot;/&gt;&lt;wsp:rsid wsp:val=&quot;00A806E2&quot;/&gt;&lt;wsp:rsid wsp:val=&quot;00A92540&quot;/&gt;&lt;wsp:rsid wsp:val=&quot;00A9618F&quot;/&gt;&lt;wsp:rsid wsp:val=&quot;00AA703B&quot;/&gt;&lt;wsp:rsid wsp:val=&quot;00AC6806&quot;/&gt;&lt;wsp:rsid wsp:val=&quot;00AD08E3&quot;/&gt;&lt;wsp:rsid wsp:val=&quot;00AE0C27&quot;/&gt;&lt;wsp:rsid wsp:val=&quot;00AF2BF7&quot;/&gt;&lt;wsp:rsid wsp:val=&quot;00B10DD4&quot;/&gt;&lt;wsp:rsid wsp:val=&quot;00B22980&quot;/&gt;&lt;wsp:rsid wsp:val=&quot;00B24192&quot;/&gt;&lt;wsp:rsid wsp:val=&quot;00B27FAF&quot;/&gt;&lt;wsp:rsid wsp:val=&quot;00B4162C&quot;/&gt;&lt;wsp:rsid wsp:val=&quot;00B91BA2&quot;/&gt;&lt;wsp:rsid wsp:val=&quot;00B93112&quot;/&gt;&lt;wsp:rsid wsp:val=&quot;00BB4C11&quot;/&gt;&lt;wsp:rsid wsp:val=&quot;00BB5171&quot;/&gt;&lt;wsp:rsid wsp:val=&quot;00BB7A79&quot;/&gt;&lt;wsp:rsid wsp:val=&quot;00BC4D50&quot;/&gt;&lt;wsp:rsid wsp:val=&quot;00C21934&quot;/&gt;&lt;wsp:rsid wsp:val=&quot;00C21BB6&quot;/&gt;&lt;wsp:rsid wsp:val=&quot;00C232D5&quot;/&gt;&lt;wsp:rsid wsp:val=&quot;00C35D4F&quot;/&gt;&lt;wsp:rsid wsp:val=&quot;00C375FB&quot;/&gt;&lt;wsp:rsid wsp:val=&quot;00C538B4&quot;/&gt;&lt;wsp:rsid wsp:val=&quot;00C55918&quot;/&gt;&lt;wsp:rsid wsp:val=&quot;00C5683C&quot;/&gt;&lt;wsp:rsid wsp:val=&quot;00C658CE&quot;/&gt;&lt;wsp:rsid wsp:val=&quot;00C72739&quot;/&gt;&lt;wsp:rsid wsp:val=&quot;00C84621&quot;/&gt;&lt;wsp:rsid wsp:val=&quot;00C8628D&quot;/&gt;&lt;wsp:rsid wsp:val=&quot;00C9478A&quot;/&gt;&lt;wsp:rsid wsp:val=&quot;00CA08ED&quot;/&gt;&lt;wsp:rsid wsp:val=&quot;00CD1CF9&quot;/&gt;&lt;wsp:rsid wsp:val=&quot;00CF0974&quot;/&gt;&lt;wsp:rsid wsp:val=&quot;00CF74C4&quot;/&gt;&lt;wsp:rsid wsp:val=&quot;00D03BDC&quot;/&gt;&lt;wsp:rsid wsp:val=&quot;00D126EE&quot;/&gt;&lt;wsp:rsid wsp:val=&quot;00D16840&quot;/&gt;&lt;wsp:rsid wsp:val=&quot;00D20356&quot;/&gt;&lt;wsp:rsid wsp:val=&quot;00D23CDE&quot;/&gt;&lt;wsp:rsid wsp:val=&quot;00D27B0A&quot;/&gt;&lt;wsp:rsid wsp:val=&quot;00D30FF1&quot;/&gt;&lt;wsp:rsid wsp:val=&quot;00D41AFA&quot;/&gt;&lt;wsp:rsid wsp:val=&quot;00D42766&quot;/&gt;&lt;wsp:rsid wsp:val=&quot;00D67F03&quot;/&gt;&lt;wsp:rsid wsp:val=&quot;00D76E07&quot;/&gt;&lt;wsp:rsid wsp:val=&quot;00D906B8&quot;/&gt;&lt;wsp:rsid wsp:val=&quot;00D93D3E&quot;/&gt;&lt;wsp:rsid wsp:val=&quot;00DA279D&quot;/&gt;&lt;wsp:rsid wsp:val=&quot;00DA4D40&quot;/&gt;&lt;wsp:rsid wsp:val=&quot;00DA75D9&quot;/&gt;&lt;wsp:rsid wsp:val=&quot;00DB2FC2&quot;/&gt;&lt;wsp:rsid wsp:val=&quot;00DB7A8E&quot;/&gt;&lt;wsp:rsid wsp:val=&quot;00DE546E&quot;/&gt;&lt;wsp:rsid wsp:val=&quot;00DF33FC&quot;/&gt;&lt;wsp:rsid wsp:val=&quot;00E05D5D&quot;/&gt;&lt;wsp:rsid wsp:val=&quot;00E07352&quot;/&gt;&lt;wsp:rsid wsp:val=&quot;00E10252&quot;/&gt;&lt;wsp:rsid wsp:val=&quot;00E23D53&quot;/&gt;&lt;wsp:rsid wsp:val=&quot;00E4028D&quot;/&gt;&lt;wsp:rsid wsp:val=&quot;00E473AF&quot;/&gt;&lt;wsp:rsid wsp:val=&quot;00E53C2A&quot;/&gt;&lt;wsp:rsid wsp:val=&quot;00E54FD3&quot;/&gt;&lt;wsp:rsid wsp:val=&quot;00E55CC8&quot;/&gt;&lt;wsp:rsid wsp:val=&quot;00E7095D&quot;/&gt;&lt;wsp:rsid wsp:val=&quot;00E73A61&quot;/&gt;&lt;wsp:rsid wsp:val=&quot;00E80A80&quot;/&gt;&lt;wsp:rsid wsp:val=&quot;00E8365F&quot;/&gt;&lt;wsp:rsid wsp:val=&quot;00E96634&quot;/&gt;&lt;wsp:rsid wsp:val=&quot;00E97854&quot;/&gt;&lt;wsp:rsid wsp:val=&quot;00EA376F&quot;/&gt;&lt;wsp:rsid wsp:val=&quot;00EB796F&quot;/&gt;&lt;wsp:rsid wsp:val=&quot;00EC2119&quot;/&gt;&lt;wsp:rsid wsp:val=&quot;00EC5F39&quot;/&gt;&lt;wsp:rsid wsp:val=&quot;00ED2AA4&quot;/&gt;&lt;wsp:rsid wsp:val=&quot;00EF77AC&quot;/&gt;&lt;wsp:rsid wsp:val=&quot;00F132C6&quot;/&gt;&lt;wsp:rsid wsp:val=&quot;00F2128D&quot;/&gt;&lt;wsp:rsid wsp:val=&quot;00F26E25&quot;/&gt;&lt;wsp:rsid wsp:val=&quot;00F3304F&quot;/&gt;&lt;wsp:rsid wsp:val=&quot;00F5283C&quot;/&gt;&lt;wsp:rsid wsp:val=&quot;00F557B3&quot;/&gt;&lt;wsp:rsid wsp:val=&quot;00F55BC3&quot;/&gt;&lt;wsp:rsid wsp:val=&quot;00F71D87&quot;/&gt;&lt;wsp:rsid wsp:val=&quot;00F8191B&quot;/&gt;&lt;wsp:rsid wsp:val=&quot;00F8587E&quot;/&gt;&lt;wsp:rsid wsp:val=&quot;00F90953&quot;/&gt;&lt;wsp:rsid wsp:val=&quot;00FA7804&quot;/&gt;&lt;wsp:rsid wsp:val=&quot;00FD2ED0&quot;/&gt;&lt;wsp:rsid wsp:val=&quot;00FE2932&quot;/&gt;&lt;wsp:rsid wsp:val=&quot;00FE43A4&quot;/&gt;&lt;wsp:rsid wsp:val=&quot;00FE5AFD&quot;/&gt;&lt;wsp:rsid wsp:val=&quot;00FE5E50&quot;/&gt;&lt;wsp:rsid wsp:val=&quot;00FE6F1E&quot;/&gt;&lt;wsp:rsid wsp:val=&quot;205806D5&quot;/&gt;&lt;/wsp:rsids&gt;&lt;/w:docPr&gt;&lt;w:body&gt;&lt;wx:sect&gt;&lt;w:p wsp:rsidR=&quot;00000000&quot; wsp:rsidRDefault=&quot;000C6BEC&quot; wsp:rsidP=&quot;000C6BEC&quot;&gt;&lt;w:pPr&gt;&lt;w:ind w:first-line=&quot;480&quot;/&gt;&lt;/w:pPr&gt;&lt;m:oMathPara&gt;&lt;m:oMath&gt;&lt;m:sSup&gt;&lt;m:sSupPr&gt;&lt;m:ctrlPr&gt;&lt;w:rPr&gt;&lt;w:rFonts w:ascii=&quot;Cambria Math&quot; w:h-ansi=&quot;Cambria Math&quot;/&gt;&lt;wx:font wx:val=&quot;Cambria Math&quot;/&gt;&lt;w:i/&gt;&lt;w:sz-cs w:val=&quot;24&quot;/&gt;&lt;/w:rPr&gt;&lt;/m:ctrlPr&gt;&lt;/m:sSupPr&gt;&lt;m:e&gt;&lt;m:r&gt;&lt;w:rPr&gt;&lt;w:rFonts w:ascii=&quot;Cambria Math&quot; w:h-ansi=&quot;Cambria Math&quot;/&gt;&lt;wx:font wx:val=&quot;Cambria Math&quot;/&gt;&lt;w:i/&gt;&lt;w:sz-cs w:val=&quot;24&quot;/&gt;&lt;/w:rPr&gt;&lt;m:t&gt;m&lt;/m:t&gt;&lt;/m:r&gt;&lt;/m:e&gt;&lt;m:sup&gt;&lt;m:r&gt;&lt;w:rPr&gt;&lt;w:rFonts w:ascii=&quot;Cambria Math&quot; w:h-ansi=&quot;Cambria Math&quot;/&gt;&lt;wx:font wx:val=&quot;Cambria Math&quot;/&gt;&lt;w:i/&gt;&lt;w:sz-cs w:val=&quot;24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Cs w:val="24"/>
              </w:rPr>
              <w:instrText xml:space="preserve"> </w:instrText>
            </w:r>
            <w:r>
              <w:rPr>
                <w:szCs w:val="24"/>
              </w:rPr>
              <w:fldChar w:fldCharType="separate"/>
            </w:r>
            <w:r>
              <w:rPr>
                <w:position w:val="-16"/>
              </w:rPr>
              <w:pict>
                <v:shape id="_x0000_i1026" o:spt="75" type="#_x0000_t75" style="height:24.6pt;width:15.6pt;" filled="f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8&quot;/&gt;&lt;w:doNotEmbedSystemFonts/&gt;&lt;w:bordersDontSurroundHeader/&gt;&lt;w:bordersDontSurroundFooter/&gt;&lt;w:defaultTabStop w:val=&quot;420&quot;/&gt;&lt;w:drawingGridHorizontalSpacing w:val=&quot;120&quot;/&gt;&lt;w:drawingGridVerticalSpacing w:val=&quot;163&quot;/&gt;&lt;w:displayHorizontalDrawingGridEvery w:val=&quot;2&quot;/&gt;&lt;w:displayVerticalDrawingGridEvery w:val=&quot;2&quot;/&gt;&lt;w:characterSpacingControl w:val=&quot;CompressPunctuation&quot;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40BDC&quot;/&gt;&lt;wsp:rsid wsp:val=&quot;0000101A&quot;/&gt;&lt;wsp:rsid wsp:val=&quot;000231FC&quot;/&gt;&lt;wsp:rsid wsp:val=&quot;00036990&quot;/&gt;&lt;wsp:rsid wsp:val=&quot;00061FAE&quot;/&gt;&lt;wsp:rsid wsp:val=&quot;000853E0&quot;/&gt;&lt;wsp:rsid wsp:val=&quot;000870E2&quot;/&gt;&lt;wsp:rsid wsp:val=&quot;0009094A&quot;/&gt;&lt;wsp:rsid wsp:val=&quot;00092704&quot;/&gt;&lt;wsp:rsid wsp:val=&quot;000965D9&quot;/&gt;&lt;wsp:rsid wsp:val=&quot;00096948&quot;/&gt;&lt;wsp:rsid wsp:val=&quot;000C6BEC&quot;/&gt;&lt;wsp:rsid wsp:val=&quot;0011063E&quot;/&gt;&lt;wsp:rsid wsp:val=&quot;001317B1&quot;/&gt;&lt;wsp:rsid wsp:val=&quot;001360A3&quot;/&gt;&lt;wsp:rsid wsp:val=&quot;00152BFB&quot;/&gt;&lt;wsp:rsid wsp:val=&quot;00156F95&quot;/&gt;&lt;wsp:rsid wsp:val=&quot;0019112D&quot;/&gt;&lt;wsp:rsid wsp:val=&quot;00196CBE&quot;/&gt;&lt;wsp:rsid wsp:val=&quot;001A5238&quot;/&gt;&lt;wsp:rsid wsp:val=&quot;001A6828&quot;/&gt;&lt;wsp:rsid wsp:val=&quot;001B60BB&quot;/&gt;&lt;wsp:rsid wsp:val=&quot;001C0DA5&quot;/&gt;&lt;wsp:rsid wsp:val=&quot;001C3B1B&quot;/&gt;&lt;wsp:rsid wsp:val=&quot;001C4B29&quot;/&gt;&lt;wsp:rsid wsp:val=&quot;001E5381&quot;/&gt;&lt;wsp:rsid wsp:val=&quot;001F14D9&quot;/&gt;&lt;wsp:rsid wsp:val=&quot;001F5B8B&quot;/&gt;&lt;wsp:rsid wsp:val=&quot;001F71A8&quot;/&gt;&lt;wsp:rsid wsp:val=&quot;00203488&quot;/&gt;&lt;wsp:rsid wsp:val=&quot;00203B64&quot;/&gt;&lt;wsp:rsid wsp:val=&quot;002166B3&quot;/&gt;&lt;wsp:rsid wsp:val=&quot;00225578&quot;/&gt;&lt;wsp:rsid wsp:val=&quot;00234BFC&quot;/&gt;&lt;wsp:rsid wsp:val=&quot;002418CB&quot;/&gt;&lt;wsp:rsid wsp:val=&quot;00253152&quot;/&gt;&lt;wsp:rsid wsp:val=&quot;002571B8&quot;/&gt;&lt;wsp:rsid wsp:val=&quot;002629BA&quot;/&gt;&lt;wsp:rsid wsp:val=&quot;00266A37&quot;/&gt;&lt;wsp:rsid wsp:val=&quot;00283923&quot;/&gt;&lt;wsp:rsid wsp:val=&quot;0029037C&quot;/&gt;&lt;wsp:rsid wsp:val=&quot;002948F8&quot;/&gt;&lt;wsp:rsid wsp:val=&quot;002B4122&quot;/&gt;&lt;wsp:rsid wsp:val=&quot;002C0015&quot;/&gt;&lt;wsp:rsid wsp:val=&quot;002C3363&quot;/&gt;&lt;wsp:rsid wsp:val=&quot;002C7139&quot;/&gt;&lt;wsp:rsid wsp:val=&quot;002E4C0D&quot;/&gt;&lt;wsp:rsid wsp:val=&quot;002E6C3E&quot;/&gt;&lt;wsp:rsid wsp:val=&quot;002E7656&quot;/&gt;&lt;wsp:rsid wsp:val=&quot;002F1561&quot;/&gt;&lt;wsp:rsid wsp:val=&quot;002F59BD&quot;/&gt;&lt;wsp:rsid wsp:val=&quot;00302F68&quot;/&gt;&lt;wsp:rsid wsp:val=&quot;00313B2D&quot;/&gt;&lt;wsp:rsid wsp:val=&quot;0031692B&quot;/&gt;&lt;wsp:rsid wsp:val=&quot;0034744F&quot;/&gt;&lt;wsp:rsid wsp:val=&quot;0037355F&quot;/&gt;&lt;wsp:rsid wsp:val=&quot;00375706&quot;/&gt;&lt;wsp:rsid wsp:val=&quot;00377928&quot;/&gt;&lt;wsp:rsid wsp:val=&quot;00383532&quot;/&gt;&lt;wsp:rsid wsp:val=&quot;00384F07&quot;/&gt;&lt;wsp:rsid wsp:val=&quot;0039685E&quot;/&gt;&lt;wsp:rsid wsp:val=&quot;0039787C&quot;/&gt;&lt;wsp:rsid wsp:val=&quot;00397A8C&quot;/&gt;&lt;wsp:rsid wsp:val=&quot;003A1E20&quot;/&gt;&lt;wsp:rsid wsp:val=&quot;003C0E8C&quot;/&gt;&lt;wsp:rsid wsp:val=&quot;003C1403&quot;/&gt;&lt;wsp:rsid wsp:val=&quot;003D3DF2&quot;/&gt;&lt;wsp:rsid wsp:val=&quot;003D6C9C&quot;/&gt;&lt;wsp:rsid wsp:val=&quot;003E4FC0&quot;/&gt;&lt;wsp:rsid wsp:val=&quot;003F0202&quot;/&gt;&lt;wsp:rsid wsp:val=&quot;003F125F&quot;/&gt;&lt;wsp:rsid wsp:val=&quot;004071FF&quot;/&gt;&lt;wsp:rsid wsp:val=&quot;004106E3&quot;/&gt;&lt;wsp:rsid wsp:val=&quot;00413093&quot;/&gt;&lt;wsp:rsid wsp:val=&quot;00414DB5&quot;/&gt;&lt;wsp:rsid wsp:val=&quot;00441863&quot;/&gt;&lt;wsp:rsid wsp:val=&quot;00442F44&quot;/&gt;&lt;wsp:rsid wsp:val=&quot;00446156&quot;/&gt;&lt;wsp:rsid wsp:val=&quot;00451379&quot;/&gt;&lt;wsp:rsid wsp:val=&quot;0047099A&quot;/&gt;&lt;wsp:rsid wsp:val=&quot;004712ED&quot;/&gt;&lt;wsp:rsid wsp:val=&quot;00472D0E&quot;/&gt;&lt;wsp:rsid wsp:val=&quot;004751D3&quot;/&gt;&lt;wsp:rsid wsp:val=&quot;0048000D&quot;/&gt;&lt;wsp:rsid wsp:val=&quot;00487E11&quot;/&gt;&lt;wsp:rsid wsp:val=&quot;00495EE0&quot;/&gt;&lt;wsp:rsid wsp:val=&quot;004A132D&quot;/&gt;&lt;wsp:rsid wsp:val=&quot;004A3304&quot;/&gt;&lt;wsp:rsid wsp:val=&quot;004B7394&quot;/&gt;&lt;wsp:rsid wsp:val=&quot;004D1F83&quot;/&gt;&lt;wsp:rsid wsp:val=&quot;004E085A&quot;/&gt;&lt;wsp:rsid wsp:val=&quot;004E513A&quot;/&gt;&lt;wsp:rsid wsp:val=&quot;00540BDC&quot;/&gt;&lt;wsp:rsid wsp:val=&quot;00540E57&quot;/&gt;&lt;wsp:rsid wsp:val=&quot;00550B32&quot;/&gt;&lt;wsp:rsid wsp:val=&quot;00556C31&quot;/&gt;&lt;wsp:rsid wsp:val=&quot;00563CF8&quot;/&gt;&lt;wsp:rsid wsp:val=&quot;00565258&quot;/&gt;&lt;wsp:rsid wsp:val=&quot;00573855&quot;/&gt;&lt;wsp:rsid wsp:val=&quot;005852E1&quot;/&gt;&lt;wsp:rsid wsp:val=&quot;005A67EF&quot;/&gt;&lt;wsp:rsid wsp:val=&quot;005B243C&quot;/&gt;&lt;wsp:rsid wsp:val=&quot;005D4692&quot;/&gt;&lt;wsp:rsid wsp:val=&quot;005D4FEA&quot;/&gt;&lt;wsp:rsid wsp:val=&quot;005F2F4A&quot;/&gt;&lt;wsp:rsid wsp:val=&quot;00634FF2&quot;/&gt;&lt;wsp:rsid wsp:val=&quot;006521A1&quot;/&gt;&lt;wsp:rsid wsp:val=&quot;00661143&quot;/&gt;&lt;wsp:rsid wsp:val=&quot;00661CBB&quot;/&gt;&lt;wsp:rsid wsp:val=&quot;0066350F&quot;/&gt;&lt;wsp:rsid wsp:val=&quot;00671782&quot;/&gt;&lt;wsp:rsid wsp:val=&quot;00673E37&quot;/&gt;&lt;wsp:rsid wsp:val=&quot;006874CE&quot;/&gt;&lt;wsp:rsid wsp:val=&quot;00690366&quot;/&gt;&lt;wsp:rsid wsp:val=&quot;006A27EB&quot;/&gt;&lt;wsp:rsid wsp:val=&quot;006B45CC&quot;/&gt;&lt;wsp:rsid wsp:val=&quot;006B5B65&quot;/&gt;&lt;wsp:rsid wsp:val=&quot;006D2877&quot;/&gt;&lt;wsp:rsid wsp:val=&quot;006D79E3&quot;/&gt;&lt;wsp:rsid wsp:val=&quot;006E39BE&quot;/&gt;&lt;wsp:rsid wsp:val=&quot;006F5EE7&quot;/&gt;&lt;wsp:rsid wsp:val=&quot;00701B45&quot;/&gt;&lt;wsp:rsid wsp:val=&quot;00704130&quot;/&gt;&lt;wsp:rsid wsp:val=&quot;00714482&quot;/&gt;&lt;wsp:rsid wsp:val=&quot;007342FC&quot;/&gt;&lt;wsp:rsid wsp:val=&quot;00734BB5&quot;/&gt;&lt;wsp:rsid wsp:val=&quot;00736284&quot;/&gt;&lt;wsp:rsid wsp:val=&quot;00740A7E&quot;/&gt;&lt;wsp:rsid wsp:val=&quot;00744E99&quot;/&gt;&lt;wsp:rsid wsp:val=&quot;0078238D&quot;/&gt;&lt;wsp:rsid wsp:val=&quot;007847AC&quot;/&gt;&lt;wsp:rsid wsp:val=&quot;00785669&quot;/&gt;&lt;wsp:rsid wsp:val=&quot;007948C0&quot;/&gt;&lt;wsp:rsid wsp:val=&quot;007975F7&quot;/&gt;&lt;wsp:rsid wsp:val=&quot;007A7665&quot;/&gt;&lt;wsp:rsid wsp:val=&quot;007E1AB5&quot;/&gt;&lt;wsp:rsid wsp:val=&quot;007F77DD&quot;/&gt;&lt;wsp:rsid wsp:val=&quot;00810D9F&quot;/&gt;&lt;wsp:rsid wsp:val=&quot;00816EC8&quot;/&gt;&lt;wsp:rsid wsp:val=&quot;00817E11&quot;/&gt;&lt;wsp:rsid wsp:val=&quot;00820F7F&quot;/&gt;&lt;wsp:rsid wsp:val=&quot;00821E65&quot;/&gt;&lt;wsp:rsid wsp:val=&quot;00831E12&quot;/&gt;&lt;wsp:rsid wsp:val=&quot;0084790C&quot;/&gt;&lt;wsp:rsid wsp:val=&quot;00857A37&quot;/&gt;&lt;wsp:rsid wsp:val=&quot;0086372F&quot;/&gt;&lt;wsp:rsid wsp:val=&quot;008661CA&quot;/&gt;&lt;wsp:rsid wsp:val=&quot;008717CD&quot;/&gt;&lt;wsp:rsid wsp:val=&quot;00892165&quot;/&gt;&lt;wsp:rsid wsp:val=&quot;00894DB3&quot;/&gt;&lt;wsp:rsid wsp:val=&quot;008A7ABA&quot;/&gt;&lt;wsp:rsid wsp:val=&quot;008B5F0A&quot;/&gt;&lt;wsp:rsid wsp:val=&quot;008B755D&quot;/&gt;&lt;wsp:rsid wsp:val=&quot;008E33C0&quot;/&gt;&lt;wsp:rsid wsp:val=&quot;008F4D83&quot;/&gt;&lt;wsp:rsid wsp:val=&quot;009058AC&quot;/&gt;&lt;wsp:rsid wsp:val=&quot;00915885&quot;/&gt;&lt;wsp:rsid wsp:val=&quot;009361D5&quot;/&gt;&lt;wsp:rsid wsp:val=&quot;00936B15&quot;/&gt;&lt;wsp:rsid wsp:val=&quot;00936FC3&quot;/&gt;&lt;wsp:rsid wsp:val=&quot;009430A8&quot;/&gt;&lt;wsp:rsid wsp:val=&quot;00951CB8&quot;/&gt;&lt;wsp:rsid wsp:val=&quot;00955E35&quot;/&gt;&lt;wsp:rsid wsp:val=&quot;00964457&quot;/&gt;&lt;wsp:rsid wsp:val=&quot;009915FD&quot;/&gt;&lt;wsp:rsid wsp:val=&quot;00996315&quot;/&gt;&lt;wsp:rsid wsp:val=&quot;00996959&quot;/&gt;&lt;wsp:rsid wsp:val=&quot;009A5EEA&quot;/&gt;&lt;wsp:rsid wsp:val=&quot;009D4059&quot;/&gt;&lt;wsp:rsid wsp:val=&quot;009E1000&quot;/&gt;&lt;wsp:rsid wsp:val=&quot;009E7F06&quot;/&gt;&lt;wsp:rsid wsp:val=&quot;009F2105&quot;/&gt;&lt;wsp:rsid wsp:val=&quot;009F27AC&quot;/&gt;&lt;wsp:rsid wsp:val=&quot;009F4260&quot;/&gt;&lt;wsp:rsid wsp:val=&quot;00A15F9A&quot;/&gt;&lt;wsp:rsid wsp:val=&quot;00A22FB0&quot;/&gt;&lt;wsp:rsid wsp:val=&quot;00A25828&quot;/&gt;&lt;wsp:rsid wsp:val=&quot;00A26E6B&quot;/&gt;&lt;wsp:rsid wsp:val=&quot;00A30092&quot;/&gt;&lt;wsp:rsid wsp:val=&quot;00A35FF8&quot;/&gt;&lt;wsp:rsid wsp:val=&quot;00A433F9&quot;/&gt;&lt;wsp:rsid wsp:val=&quot;00A5440F&quot;/&gt;&lt;wsp:rsid wsp:val=&quot;00A545B7&quot;/&gt;&lt;wsp:rsid wsp:val=&quot;00A54CC3&quot;/&gt;&lt;wsp:rsid wsp:val=&quot;00A56E58&quot;/&gt;&lt;wsp:rsid wsp:val=&quot;00A63097&quot;/&gt;&lt;wsp:rsid wsp:val=&quot;00A64EFD&quot;/&gt;&lt;wsp:rsid wsp:val=&quot;00A806E2&quot;/&gt;&lt;wsp:rsid wsp:val=&quot;00A92540&quot;/&gt;&lt;wsp:rsid wsp:val=&quot;00A9618F&quot;/&gt;&lt;wsp:rsid wsp:val=&quot;00AA703B&quot;/&gt;&lt;wsp:rsid wsp:val=&quot;00AC6806&quot;/&gt;&lt;wsp:rsid wsp:val=&quot;00AD08E3&quot;/&gt;&lt;wsp:rsid wsp:val=&quot;00AE0C27&quot;/&gt;&lt;wsp:rsid wsp:val=&quot;00AF2BF7&quot;/&gt;&lt;wsp:rsid wsp:val=&quot;00B10DD4&quot;/&gt;&lt;wsp:rsid wsp:val=&quot;00B22980&quot;/&gt;&lt;wsp:rsid wsp:val=&quot;00B24192&quot;/&gt;&lt;wsp:rsid wsp:val=&quot;00B27FAF&quot;/&gt;&lt;wsp:rsid wsp:val=&quot;00B4162C&quot;/&gt;&lt;wsp:rsid wsp:val=&quot;00B91BA2&quot;/&gt;&lt;wsp:rsid wsp:val=&quot;00B93112&quot;/&gt;&lt;wsp:rsid wsp:val=&quot;00BB4C11&quot;/&gt;&lt;wsp:rsid wsp:val=&quot;00BB5171&quot;/&gt;&lt;wsp:rsid wsp:val=&quot;00BB7A79&quot;/&gt;&lt;wsp:rsid wsp:val=&quot;00BC4D50&quot;/&gt;&lt;wsp:rsid wsp:val=&quot;00C21934&quot;/&gt;&lt;wsp:rsid wsp:val=&quot;00C21BB6&quot;/&gt;&lt;wsp:rsid wsp:val=&quot;00C232D5&quot;/&gt;&lt;wsp:rsid wsp:val=&quot;00C35D4F&quot;/&gt;&lt;wsp:rsid wsp:val=&quot;00C375FB&quot;/&gt;&lt;wsp:rsid wsp:val=&quot;00C538B4&quot;/&gt;&lt;wsp:rsid wsp:val=&quot;00C55918&quot;/&gt;&lt;wsp:rsid wsp:val=&quot;00C5683C&quot;/&gt;&lt;wsp:rsid wsp:val=&quot;00C658CE&quot;/&gt;&lt;wsp:rsid wsp:val=&quot;00C72739&quot;/&gt;&lt;wsp:rsid wsp:val=&quot;00C84621&quot;/&gt;&lt;wsp:rsid wsp:val=&quot;00C8628D&quot;/&gt;&lt;wsp:rsid wsp:val=&quot;00C9478A&quot;/&gt;&lt;wsp:rsid wsp:val=&quot;00CA08ED&quot;/&gt;&lt;wsp:rsid wsp:val=&quot;00CD1CF9&quot;/&gt;&lt;wsp:rsid wsp:val=&quot;00CF0974&quot;/&gt;&lt;wsp:rsid wsp:val=&quot;00CF74C4&quot;/&gt;&lt;wsp:rsid wsp:val=&quot;00D03BDC&quot;/&gt;&lt;wsp:rsid wsp:val=&quot;00D126EE&quot;/&gt;&lt;wsp:rsid wsp:val=&quot;00D16840&quot;/&gt;&lt;wsp:rsid wsp:val=&quot;00D20356&quot;/&gt;&lt;wsp:rsid wsp:val=&quot;00D23CDE&quot;/&gt;&lt;wsp:rsid wsp:val=&quot;00D27B0A&quot;/&gt;&lt;wsp:rsid wsp:val=&quot;00D30FF1&quot;/&gt;&lt;wsp:rsid wsp:val=&quot;00D41AFA&quot;/&gt;&lt;wsp:rsid wsp:val=&quot;00D42766&quot;/&gt;&lt;wsp:rsid wsp:val=&quot;00D67F03&quot;/&gt;&lt;wsp:rsid wsp:val=&quot;00D76E07&quot;/&gt;&lt;wsp:rsid wsp:val=&quot;00D906B8&quot;/&gt;&lt;wsp:rsid wsp:val=&quot;00D93D3E&quot;/&gt;&lt;wsp:rsid wsp:val=&quot;00DA279D&quot;/&gt;&lt;wsp:rsid wsp:val=&quot;00DA4D40&quot;/&gt;&lt;wsp:rsid wsp:val=&quot;00DA75D9&quot;/&gt;&lt;wsp:rsid wsp:val=&quot;00DB2FC2&quot;/&gt;&lt;wsp:rsid wsp:val=&quot;00DB7A8E&quot;/&gt;&lt;wsp:rsid wsp:val=&quot;00DE546E&quot;/&gt;&lt;wsp:rsid wsp:val=&quot;00DF33FC&quot;/&gt;&lt;wsp:rsid wsp:val=&quot;00E05D5D&quot;/&gt;&lt;wsp:rsid wsp:val=&quot;00E07352&quot;/&gt;&lt;wsp:rsid wsp:val=&quot;00E10252&quot;/&gt;&lt;wsp:rsid wsp:val=&quot;00E23D53&quot;/&gt;&lt;wsp:rsid wsp:val=&quot;00E4028D&quot;/&gt;&lt;wsp:rsid wsp:val=&quot;00E473AF&quot;/&gt;&lt;wsp:rsid wsp:val=&quot;00E53C2A&quot;/&gt;&lt;wsp:rsid wsp:val=&quot;00E54FD3&quot;/&gt;&lt;wsp:rsid wsp:val=&quot;00E55CC8&quot;/&gt;&lt;wsp:rsid wsp:val=&quot;00E7095D&quot;/&gt;&lt;wsp:rsid wsp:val=&quot;00E73A61&quot;/&gt;&lt;wsp:rsid wsp:val=&quot;00E80A80&quot;/&gt;&lt;wsp:rsid wsp:val=&quot;00E8365F&quot;/&gt;&lt;wsp:rsid wsp:val=&quot;00E96634&quot;/&gt;&lt;wsp:rsid wsp:val=&quot;00E97854&quot;/&gt;&lt;wsp:rsid wsp:val=&quot;00EA376F&quot;/&gt;&lt;wsp:rsid wsp:val=&quot;00EB796F&quot;/&gt;&lt;wsp:rsid wsp:val=&quot;00EC2119&quot;/&gt;&lt;wsp:rsid wsp:val=&quot;00EC5F39&quot;/&gt;&lt;wsp:rsid wsp:val=&quot;00ED2AA4&quot;/&gt;&lt;wsp:rsid wsp:val=&quot;00EF77AC&quot;/&gt;&lt;wsp:rsid wsp:val=&quot;00F132C6&quot;/&gt;&lt;wsp:rsid wsp:val=&quot;00F2128D&quot;/&gt;&lt;wsp:rsid wsp:val=&quot;00F26E25&quot;/&gt;&lt;wsp:rsid wsp:val=&quot;00F3304F&quot;/&gt;&lt;wsp:rsid wsp:val=&quot;00F5283C&quot;/&gt;&lt;wsp:rsid wsp:val=&quot;00F557B3&quot;/&gt;&lt;wsp:rsid wsp:val=&quot;00F55BC3&quot;/&gt;&lt;wsp:rsid wsp:val=&quot;00F71D87&quot;/&gt;&lt;wsp:rsid wsp:val=&quot;00F8191B&quot;/&gt;&lt;wsp:rsid wsp:val=&quot;00F8587E&quot;/&gt;&lt;wsp:rsid wsp:val=&quot;00F90953&quot;/&gt;&lt;wsp:rsid wsp:val=&quot;00FA7804&quot;/&gt;&lt;wsp:rsid wsp:val=&quot;00FD2ED0&quot;/&gt;&lt;wsp:rsid wsp:val=&quot;00FE2932&quot;/&gt;&lt;wsp:rsid wsp:val=&quot;00FE43A4&quot;/&gt;&lt;wsp:rsid wsp:val=&quot;00FE5AFD&quot;/&gt;&lt;wsp:rsid wsp:val=&quot;00FE5E50&quot;/&gt;&lt;wsp:rsid wsp:val=&quot;00FE6F1E&quot;/&gt;&lt;wsp:rsid wsp:val=&quot;205806D5&quot;/&gt;&lt;/wsp:rsids&gt;&lt;/w:docPr&gt;&lt;w:body&gt;&lt;wx:sect&gt;&lt;w:p wsp:rsidR=&quot;00000000&quot; wsp:rsidRDefault=&quot;000C6BEC&quot; wsp:rsidP=&quot;000C6BEC&quot;&gt;&lt;w:pPr&gt;&lt;w:ind w:first-line=&quot;480&quot;/&gt;&lt;/w:pPr&gt;&lt;m:oMathPara&gt;&lt;m:oMath&gt;&lt;m:sSup&gt;&lt;m:sSupPr&gt;&lt;m:ctrlPr&gt;&lt;w:rPr&gt;&lt;w:rFonts w:ascii=&quot;Cambria Math&quot; w:h-ansi=&quot;Cambria Math&quot;/&gt;&lt;wx:font wx:val=&quot;Cambria Math&quot;/&gt;&lt;w:i/&gt;&lt;w:sz-cs w:val=&quot;24&quot;/&gt;&lt;/w:rPr&gt;&lt;/m:ctrlPr&gt;&lt;/m:sSupPr&gt;&lt;m:e&gt;&lt;m:r&gt;&lt;w:rPr&gt;&lt;w:rFonts w:ascii=&quot;Cambria Math&quot; w:h-ansi=&quot;Cambria Math&quot;/&gt;&lt;wx:font wx:val=&quot;Cambria Math&quot;/&gt;&lt;w:i/&gt;&lt;w:sz-cs w:val=&quot;24&quot;/&gt;&lt;/w:rPr&gt;&lt;m:t&gt;m&lt;/m:t&gt;&lt;/m:r&gt;&lt;/m:e&gt;&lt;m:sup&gt;&lt;m:r&gt;&lt;w:rPr&gt;&lt;w:rFonts w:ascii=&quot;Cambria Math&quot; w:h-ansi=&quot;Cambria Math&quot;/&gt;&lt;wx:font wx:val=&quot;Cambria Math&quot;/&gt;&lt;w:i/&gt;&lt;w:sz-cs w:val=&quot;24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/>
                  <v:imagedata r:id="rId4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32元/ ㎡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1.68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混凝土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144 m³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492元/ m³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7.1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坡地水池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鹅卵石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8 吨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320 元/吨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0.26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混凝土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180 m³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492元/ m³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8.8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火烧石板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100 ㎡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32元/ m³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0.32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安装及其他费用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5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装饰性构件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矮种百慕大草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8元/㎡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0.32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灌木（丛生木槿）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60 株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7 元/株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0.04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灌木（小檗）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1280 株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0.45 元/株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0.06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安装及其他费用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71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</w:p>
        </w:tc>
        <w:tc>
          <w:tcPr>
            <w:tcW w:w="165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0.2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4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总计</w:t>
            </w:r>
          </w:p>
        </w:tc>
        <w:tc>
          <w:tcPr>
            <w:tcW w:w="165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11"/>
              <w:jc w:val="center"/>
              <w:rPr>
                <w:szCs w:val="24"/>
              </w:rPr>
            </w:pPr>
            <w:r>
              <w:rPr>
                <w:szCs w:val="24"/>
              </w:rPr>
              <w:t>47 万元</w:t>
            </w:r>
          </w:p>
        </w:tc>
      </w:tr>
    </w:tbl>
    <w:p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本次分析只针对用电设备改造后的成本回收期，建筑、周边及装饰性改造回收体现在人体热舒适改善、工作心理状态改善等隐性利益方面。</w:t>
      </w:r>
    </w:p>
    <w:p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江苏省电网查询一般工商业35-110千伏，电价为0.6215元。</w:t>
      </w:r>
    </w:p>
    <w:p>
      <w:pPr>
        <w:ind w:firstLine="422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表</w:t>
      </w:r>
      <w:r>
        <w:rPr>
          <w:rFonts w:hint="eastAsia" w:ascii="Times New Roman" w:hAnsi="Times New Roman"/>
          <w:b/>
          <w:bCs/>
          <w:sz w:val="21"/>
          <w:szCs w:val="21"/>
          <w:lang w:val="en-US" w:eastAsia="zh-CN"/>
        </w:rPr>
        <w:t>4</w:t>
      </w:r>
      <w:r>
        <w:rPr>
          <w:rFonts w:ascii="Times New Roman" w:hAnsi="Times New Roman"/>
          <w:b/>
          <w:bCs/>
          <w:sz w:val="21"/>
          <w:szCs w:val="21"/>
        </w:rPr>
        <w:t xml:space="preserve"> 改造成本回收分析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68"/>
        <w:gridCol w:w="1640"/>
        <w:gridCol w:w="1436"/>
        <w:gridCol w:w="1341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4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4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单位用电量</w:t>
            </w:r>
          </w:p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kWh/m</w:t>
            </w:r>
            <w:r>
              <w:rPr>
                <w:rFonts w:ascii="Times New Roman" w:hAnsi="Times New Roman"/>
                <w:szCs w:val="24"/>
                <w:vertAlign w:val="superscript"/>
              </w:rPr>
              <w:t>2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总用电量</w:t>
            </w:r>
          </w:p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kWh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电价</w:t>
            </w:r>
          </w:p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元/ kWh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总计</w:t>
            </w:r>
          </w:p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改造前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供冷用电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bookmarkStart w:id="0" w:name="RANGE!C3"/>
            <w:r>
              <w:rPr>
                <w:rFonts w:ascii="Times New Roman" w:hAnsi="Times New Roman"/>
                <w:color w:val="000000"/>
                <w:szCs w:val="24"/>
              </w:rPr>
              <w:t>6.73</w:t>
            </w:r>
            <w:bookmarkEnd w:id="0"/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95594</w:t>
            </w:r>
          </w:p>
        </w:tc>
        <w:tc>
          <w:tcPr>
            <w:tcW w:w="134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0.6215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59411.671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4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供暖用电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bookmarkStart w:id="1" w:name="RANGE!C4"/>
            <w:r>
              <w:rPr>
                <w:rFonts w:ascii="Times New Roman" w:hAnsi="Times New Roman"/>
                <w:color w:val="000000"/>
                <w:szCs w:val="24"/>
              </w:rPr>
              <w:t>3.27</w:t>
            </w:r>
            <w:bookmarkEnd w:id="1"/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46434</w:t>
            </w:r>
          </w:p>
        </w:tc>
        <w:tc>
          <w:tcPr>
            <w:tcW w:w="134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4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28858.731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改造后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供冷用电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2.07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29394</w:t>
            </w:r>
          </w:p>
        </w:tc>
        <w:tc>
          <w:tcPr>
            <w:tcW w:w="134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4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18268.371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4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供暖用电</w:t>
            </w: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1.5</w:t>
            </w:r>
          </w:p>
        </w:tc>
        <w:tc>
          <w:tcPr>
            <w:tcW w:w="1436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21300</w:t>
            </w:r>
          </w:p>
        </w:tc>
        <w:tc>
          <w:tcPr>
            <w:tcW w:w="134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48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>
            <w:pPr>
              <w:spacing w:line="336" w:lineRule="auto"/>
              <w:ind w:firstLine="0" w:firstLineChars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13237.95</w:t>
            </w:r>
          </w:p>
        </w:tc>
      </w:tr>
    </w:tbl>
    <w:p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改造后相比较改造前电费节省66876元，设备改造共计93.2万元，则计算静态投资回收期为13.93年。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3136A"/>
    <w:rsid w:val="10704525"/>
    <w:rsid w:val="157D1DED"/>
    <w:rsid w:val="15D063C0"/>
    <w:rsid w:val="25B23BFB"/>
    <w:rsid w:val="32DD74DA"/>
    <w:rsid w:val="3928526A"/>
    <w:rsid w:val="3DE3136A"/>
    <w:rsid w:val="4B0C0DA6"/>
    <w:rsid w:val="4DDE3826"/>
    <w:rsid w:val="4F0E4E37"/>
    <w:rsid w:val="67546FAE"/>
    <w:rsid w:val="68DB564C"/>
    <w:rsid w:val="69447378"/>
    <w:rsid w:val="712D1657"/>
    <w:rsid w:val="768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ind w:firstLine="0" w:firstLineChars="0"/>
      <w:jc w:val="left"/>
      <w:outlineLvl w:val="0"/>
    </w:pPr>
    <w:rPr>
      <w:rFonts w:eastAsiaTheme="majorEastAsia"/>
      <w:b/>
      <w:bCs/>
      <w:kern w:val="44"/>
      <w:sz w:val="28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ind w:firstLine="0" w:firstLineChars="0"/>
      <w:jc w:val="left"/>
      <w:outlineLvl w:val="1"/>
    </w:pPr>
    <w:rPr>
      <w:rFonts w:asciiTheme="majorAscii" w:hAnsiTheme="majorAscii" w:cstheme="majorBidi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360" w:lineRule="auto"/>
      <w:ind w:firstLine="0" w:firstLineChars="0"/>
      <w:jc w:val="left"/>
      <w:outlineLvl w:val="2"/>
    </w:pPr>
    <w:rPr>
      <w:rFonts w:eastAsiaTheme="majorEastAsia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Arial" w:hAnsi="Arial" w:eastAsia="宋体"/>
      <w:b/>
      <w:sz w:val="21"/>
    </w:rPr>
  </w:style>
  <w:style w:type="paragraph" w:customStyle="1" w:styleId="8">
    <w:name w:val="公式"/>
    <w:basedOn w:val="5"/>
    <w:next w:val="1"/>
    <w:uiPriority w:val="0"/>
    <w:pPr>
      <w:tabs>
        <w:tab w:val="left" w:pos="0"/>
        <w:tab w:val="center" w:pos="4200"/>
        <w:tab w:val="right" w:pos="8190"/>
      </w:tabs>
      <w:ind w:firstLine="0" w:firstLineChars="0"/>
    </w:pPr>
    <w:rPr>
      <w:rFonts w:ascii="Times New Roman" w:hAnsi="Times New Roman" w:eastAsia="Times New Roman" w:cs="宋体"/>
      <w:sz w:val="24"/>
    </w:rPr>
  </w:style>
  <w:style w:type="paragraph" w:customStyle="1" w:styleId="9">
    <w:name w:val="表格中文字"/>
    <w:basedOn w:val="1"/>
    <w:uiPriority w:val="0"/>
    <w:pPr>
      <w:ind w:firstLine="0" w:firstLineChars="0"/>
      <w:jc w:val="center"/>
    </w:pPr>
    <w:rPr>
      <w:sz w:val="21"/>
    </w:rPr>
  </w:style>
  <w:style w:type="paragraph" w:styleId="10">
    <w:name w:val="List Paragraph"/>
    <w:basedOn w:val="1"/>
    <w:qFormat/>
    <w:uiPriority w:val="34"/>
    <w:pPr>
      <w:ind w:firstLine="420"/>
    </w:pPr>
    <w:rPr>
      <w:rFonts w:ascii="等线" w:hAnsi="等线" w:eastAsia="等线" w:cs="Times New Roman"/>
    </w:rPr>
  </w:style>
  <w:style w:type="paragraph" w:customStyle="1" w:styleId="11">
    <w:name w:val="表格"/>
    <w:basedOn w:val="12"/>
    <w:qFormat/>
    <w:uiPriority w:val="0"/>
    <w:pPr>
      <w:spacing w:line="360" w:lineRule="auto"/>
    </w:pPr>
    <w:rPr>
      <w:rFonts w:ascii="Times New Roman" w:hAnsi="Times New Roman" w:eastAsia="宋体"/>
      <w:sz w:val="24"/>
    </w:rPr>
  </w:style>
  <w:style w:type="paragraph" w:styleId="12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2021-03-01T16:16:00Z</dcterms:created>
  <dc:creator>换位思考LINDA</dc:creator>
  <cp:lastModifiedBy>换位思考LINDA</cp:lastModifiedBy>
  <dcterms:modified xsi:type="dcterms:W3CDTF">2021-03-01T16:17:46Z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