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建筑适变性提升措施专项报告</w:t>
      </w:r>
    </w:p>
    <w:p>
      <w:pPr>
        <w:pStyle w:val="2"/>
        <w:rPr>
          <w:rFonts w:hint="default" w:ascii="宋体" w:hAnsi="宋体" w:cs="宋体"/>
          <w:sz w:val="32"/>
          <w:szCs w:val="32"/>
          <w:lang w:val="en-US" w:eastAsia="zh-CN"/>
        </w:rPr>
      </w:pPr>
      <w:bookmarkStart w:id="0" w:name="TitleFormat"/>
      <w:bookmarkStart w:id="1" w:name="_Toc420309361"/>
      <w:bookmarkStart w:id="2" w:name="_Toc420663549"/>
      <w:r>
        <w:rPr>
          <w:rFonts w:hint="eastAsia"/>
          <w:lang w:val="en-US" w:eastAsia="zh-CN"/>
        </w:rPr>
        <w:t>1 设计</w:t>
      </w:r>
      <w:r>
        <w:rPr>
          <w:rFonts w:hint="eastAsia"/>
        </w:rPr>
        <w:t>依据</w:t>
      </w:r>
      <w:bookmarkEnd w:id="0"/>
      <w:bookmarkEnd w:id="1"/>
      <w:bookmarkEnd w:id="2"/>
    </w:p>
    <w:p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《绿色建筑评价标准》(GB/T50378-2014)4.2.6采取提升建筑适变性的措施，评价总分值为18分，并按下列规则分别评分并累计：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/>
        </w:rPr>
        <w:t>      1   采取通用开放、灵活可变的使用空间设计，或采取建筑使用功能可变措施，得7分；</w:t>
      </w:r>
      <w:r>
        <w:rPr>
          <w:rFonts w:hint="eastAsia" w:ascii="宋体" w:hAnsi="宋体" w:eastAsia="宋体" w:cs="宋体"/>
          <w:sz w:val="24"/>
          <w:szCs w:val="24"/>
          <w:lang w:val="en-US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/>
        </w:rPr>
        <w:t>      2   建筑结构与建筑设备管线分离，得7分；</w:t>
      </w:r>
      <w:r>
        <w:rPr>
          <w:rFonts w:hint="eastAsia" w:ascii="宋体" w:hAnsi="宋体" w:eastAsia="宋体" w:cs="宋体"/>
          <w:sz w:val="24"/>
          <w:szCs w:val="24"/>
          <w:lang w:val="en-US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/>
        </w:rPr>
        <w:t>      3   采用与建筑功能和空间变化相适应的设备设施布置方式或控制方式，得4分。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ascii="宋体" w:hAnsi="宋体" w:eastAsia="宋体" w:cs="宋体"/>
          <w:sz w:val="24"/>
          <w:szCs w:val="24"/>
        </w:rPr>
        <w:t>【条文说明扩展】 建筑适变性包括建筑的适应性和可变性。适应性是指使用功能和空间的变化 潜力，可变性是指结构和空间行的形态变化。除走廊、楼梯、电梯井、卫生间、 厨房、设备机房、公共管井以外的地上室内空间均应视为“可适变空间”，有特殊 隔声、防护及特殊工艺需求的空间不计入。此外，作为商业、办公用途的地下空 间也应视为“可适变的室内空间”，其它用途的地下空间可不计入。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2 设计措施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建筑灵活布置内隔墙，且屋顶可用作屋顶花园/菜园及活动平台；建筑结构体中不埋设设备与管线；采用可移动、可组合的办公家具、隔断等，形成不同的办公空间，方便长短期的不同人群的移动办公需求。</w:t>
      </w:r>
    </w:p>
    <w:p>
      <w:pPr>
        <w:pStyle w:val="2"/>
        <w:numPr>
          <w:ilvl w:val="0"/>
          <w:numId w:val="1"/>
        </w:numPr>
        <w:rPr>
          <w:rFonts w:hint="eastAsia"/>
          <w:sz w:val="24"/>
          <w:szCs w:val="40"/>
          <w:lang w:val="en-US" w:eastAsia="zh-CN"/>
        </w:rPr>
      </w:pPr>
      <w:r>
        <w:rPr>
          <w:rFonts w:hint="eastAsia"/>
          <w:sz w:val="24"/>
          <w:szCs w:val="40"/>
          <w:lang w:val="en-US" w:eastAsia="zh-CN"/>
        </w:rPr>
        <w:t>空间功能灵活可变</w:t>
      </w:r>
    </w:p>
    <w:p>
      <w:pPr>
        <w:pStyle w:val="3"/>
        <w:numPr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空间功能可变即一个空间是为几个不同的功能而创造,而不是为了某一个功能。或在空间和结构无须变化的情况下,其功能可以根据不同的使用需求进行转换。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本设计屋顶可用作屋顶花园/菜园及活动平台等。这样人员就能够灵活选择符合其生活办公习惯的功能组合方式。为达到这样的效果，首先，我们在屋顶的面积和尺寸上严密设计, 以满足各种器械设施陈设的尺寸以及人的活动尺寸要求,如宽7.8m，可完全满足设施摆放需要，及活动距离，且空间形态比较规整,否则也不利于设施的陈设。因包含斜墙面、锐角的平面容易造成空间的浪费，所以设计效果图大致如下：</w:t>
      </w:r>
    </w:p>
    <w:p>
      <w:pPr>
        <w:pStyle w:val="3"/>
        <w:numPr>
          <w:ilvl w:val="0"/>
          <w:numId w:val="0"/>
        </w:numPr>
        <w:spacing w:line="360" w:lineRule="auto"/>
        <w:jc w:val="center"/>
      </w:pPr>
      <w:r>
        <w:drawing>
          <wp:inline distT="0" distB="0" distL="0" distR="0">
            <wp:extent cx="4844415" cy="3997960"/>
            <wp:effectExtent l="0" t="0" r="1905" b="1016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屋顶平面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800" cy="2331085"/>
            <wp:effectExtent l="0" t="0" r="0" b="635"/>
            <wp:docPr id="1" name="图片 1" descr="Airpark roof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irpark roof garde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屋顶效果图</w:t>
      </w:r>
    </w:p>
    <w:p>
      <w:pPr>
        <w:pStyle w:val="3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eastAsia"/>
          <w:sz w:val="24"/>
          <w:szCs w:val="40"/>
          <w:lang w:val="en-US" w:eastAsia="zh-CN"/>
        </w:rPr>
      </w:pPr>
      <w:r>
        <w:rPr>
          <w:rFonts w:hint="eastAsia"/>
          <w:sz w:val="24"/>
          <w:szCs w:val="40"/>
          <w:lang w:val="en-US" w:eastAsia="zh-CN"/>
        </w:rPr>
        <w:t>建筑结构与设备管线分离</w:t>
      </w:r>
    </w:p>
    <w:p>
      <w:pPr>
        <w:pStyle w:val="3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根据《装配式住宅建筑设计标准》JGJ/T 398-2017 的规定，管线分 离是建筑结构体中不埋设设备及管线，将设备及管线与建筑结构体相分离的方式。 建筑结构不仅仅指建筑主体结构，还包括外围护结构、楼梯间、公共管井等可保 持长久不变的部分。除了采用 SI 体系的装配式建筑可认定实现了建筑主体结构 与建筑设备管线分离之外，其他可采用的技术措施包括：</w:t>
      </w:r>
    </w:p>
    <w:p>
      <w:pPr>
        <w:pStyle w:val="3"/>
        <w:numPr>
          <w:ilvl w:val="0"/>
          <w:numId w:val="2"/>
        </w:numPr>
        <w:spacing w:line="360" w:lineRule="auto"/>
        <w:ind w:left="60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墙体与管线分离，或采用轻质隔墙、双层贴面墙；双层贴面墙的墙内 侧设装饰壁板，架空空间用来安装铺设电气管线，开关，插座使用；对外墙架空 空间可同时整合内保温工艺。 </w:t>
      </w:r>
    </w:p>
    <w:p>
      <w:pPr>
        <w:pStyle w:val="3"/>
        <w:numPr>
          <w:ilvl w:val="0"/>
          <w:numId w:val="2"/>
        </w:numPr>
        <w:spacing w:line="360" w:lineRule="auto"/>
        <w:ind w:left="60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设公共管井，集中布置设备主管线；卫生间架空地面上设同层排水， 设双层天棚等，可方便铺设设备管线。 </w:t>
      </w:r>
    </w:p>
    <w:p>
      <w:pPr>
        <w:pStyle w:val="3"/>
        <w:numPr>
          <w:ilvl w:val="0"/>
          <w:numId w:val="2"/>
        </w:numPr>
        <w:spacing w:line="360" w:lineRule="auto"/>
        <w:ind w:left="60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室内地板下面采用次级结构支撑，或者卫生间设架空地面上设同层排 水，或者室内设双层天棚等措施，方便设备管线的铺设。对公共建筑，也可直接 在结构天棚下合理布置管线，采用明装方式。</w:t>
      </w:r>
    </w:p>
    <w:p>
      <w:pPr>
        <w:pStyle w:val="3"/>
        <w:numPr>
          <w:numId w:val="0"/>
        </w:numPr>
        <w:spacing w:line="360" w:lineRule="auto"/>
        <w:ind w:left="600" w:leftChars="0"/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本设计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建筑结构体中不埋设设备与管线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numPr>
          <w:ilvl w:val="0"/>
          <w:numId w:val="1"/>
        </w:numPr>
        <w:rPr>
          <w:rFonts w:hint="eastAsia"/>
          <w:sz w:val="24"/>
          <w:szCs w:val="40"/>
          <w:lang w:val="en-US" w:eastAsia="zh-CN"/>
        </w:rPr>
      </w:pPr>
      <w:r>
        <w:rPr>
          <w:rFonts w:hint="eastAsia"/>
          <w:sz w:val="24"/>
          <w:szCs w:val="40"/>
          <w:lang w:val="en-US" w:eastAsia="zh-CN"/>
        </w:rPr>
        <w:t>采用可移动、可组合的办公家具、隔断等</w:t>
      </w:r>
    </w:p>
    <w:p>
      <w:pPr>
        <w:pStyle w:val="3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空间的合并和分隔来形成新的空间以满足功能的变化需求。为便于空间之间能灵活组合，各空间之间的联系就不能仅仅局限于一个方向，而是与周围的多个空间都有联系。分隔墙中的预留门洞就可以实现这样的多向联系，两个房间之间用门联系，当门关闭时，两个房间相互分离，有各自独立的功能;当门打开后，两个房间功能上可以相互渗透。房间的合并和分隔所形成的空间变化，为功能的多样性和用户的选择提供了空间条件，套内空间灵活，而又不失稳定性。</w:t>
      </w:r>
    </w:p>
    <w:p>
      <w:pPr>
        <w:pStyle w:val="3"/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且本建筑采用可移动、可组合的办公用具。</w:t>
      </w:r>
      <w:bookmarkStart w:id="3" w:name="_GoBack"/>
      <w:bookmarkEnd w:id="3"/>
    </w:p>
    <w:p>
      <w:pPr>
        <w:pStyle w:val="3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038600" cy="512064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以门为两空间联系和隔断的详图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评价要点</w:t>
      </w:r>
    </w:p>
    <w:tbl>
      <w:tblPr>
        <w:tblStyle w:val="8"/>
        <w:tblW w:w="82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1"/>
        <w:gridCol w:w="4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类型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灵活可变空间占建筑面积比例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67％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是否管线分离</w:t>
            </w:r>
          </w:p>
        </w:tc>
        <w:tc>
          <w:tcPr>
            <w:tcW w:w="4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是 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4得分自评</w:t>
      </w:r>
    </w:p>
    <w:tbl>
      <w:tblPr>
        <w:tblStyle w:val="8"/>
        <w:tblW w:w="82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4946"/>
        <w:gridCol w:w="1104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4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评价内容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评价分值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自评得分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4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采取通用开放、灵活可变的使用空间设计，或采取建筑使用功能可变措施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7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2</w:t>
            </w:r>
          </w:p>
        </w:tc>
        <w:tc>
          <w:tcPr>
            <w:tcW w:w="4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建筑结构与建筑设备管线分离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7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3</w:t>
            </w:r>
          </w:p>
        </w:tc>
        <w:tc>
          <w:tcPr>
            <w:tcW w:w="4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采用与建筑功能和空间变化相适应的设备设施布置方式或控制方式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4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5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18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 w:firstLine="420" w:firstLineChars="200"/>
              <w:jc w:val="center"/>
            </w:pPr>
            <w:r>
              <w:rPr>
                <w:rFonts w:hint="default" w:ascii="Times New Roman" w:hAnsi="Times New Roman" w:eastAsia="Tahoma" w:cs="Times New Roman"/>
                <w:caps w:val="0"/>
                <w:spacing w:val="0"/>
                <w:sz w:val="21"/>
                <w:szCs w:val="21"/>
              </w:rPr>
              <w:t> 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967727725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TJ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DLF-32771-0-1194815278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3415F9"/>
    <w:multiLevelType w:val="singleLevel"/>
    <w:tmpl w:val="EB3415F9"/>
    <w:lvl w:ilvl="0" w:tentative="0">
      <w:start w:val="1"/>
      <w:numFmt w:val="decimal"/>
      <w:suff w:val="nothing"/>
      <w:lvlText w:val="（%1）"/>
      <w:lvlJc w:val="left"/>
      <w:pPr>
        <w:ind w:left="600" w:leftChars="0" w:firstLine="0" w:firstLineChars="0"/>
      </w:pPr>
    </w:lvl>
  </w:abstractNum>
  <w:abstractNum w:abstractNumId="1">
    <w:nsid w:val="010CF0F2"/>
    <w:multiLevelType w:val="singleLevel"/>
    <w:tmpl w:val="010CF0F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A1C81"/>
    <w:rsid w:val="0AC72460"/>
    <w:rsid w:val="10704525"/>
    <w:rsid w:val="157D1DED"/>
    <w:rsid w:val="15D063C0"/>
    <w:rsid w:val="25B23BFB"/>
    <w:rsid w:val="32DD74DA"/>
    <w:rsid w:val="3928526A"/>
    <w:rsid w:val="3E143723"/>
    <w:rsid w:val="40F02AE3"/>
    <w:rsid w:val="4B0C0DA6"/>
    <w:rsid w:val="4DDE3826"/>
    <w:rsid w:val="4F0E4E37"/>
    <w:rsid w:val="50E05262"/>
    <w:rsid w:val="67546FAE"/>
    <w:rsid w:val="68DB564C"/>
    <w:rsid w:val="69447378"/>
    <w:rsid w:val="712D1657"/>
    <w:rsid w:val="768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420" w:firstLineChars="200"/>
      <w:jc w:val="both"/>
      <w:textAlignment w:val="center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line="360" w:lineRule="auto"/>
      <w:ind w:firstLine="0" w:firstLineChars="0"/>
      <w:jc w:val="left"/>
      <w:outlineLvl w:val="0"/>
    </w:pPr>
    <w:rPr>
      <w:rFonts w:eastAsiaTheme="majorEastAsia"/>
      <w:b/>
      <w:bCs/>
      <w:kern w:val="44"/>
      <w:sz w:val="2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line="360" w:lineRule="auto"/>
      <w:ind w:firstLine="0" w:firstLineChars="0"/>
      <w:jc w:val="left"/>
      <w:outlineLvl w:val="1"/>
    </w:pPr>
    <w:rPr>
      <w:rFonts w:asciiTheme="majorAscii" w:hAnsiTheme="majorAscii" w:cstheme="majorBidi"/>
      <w:b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line="360" w:lineRule="auto"/>
      <w:ind w:firstLine="0" w:firstLineChars="0"/>
      <w:jc w:val="left"/>
      <w:outlineLvl w:val="2"/>
    </w:pPr>
    <w:rPr>
      <w:rFonts w:eastAsiaTheme="majorEastAsia"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pPr>
      <w:ind w:firstLine="0" w:firstLineChars="0"/>
      <w:jc w:val="center"/>
    </w:pPr>
    <w:rPr>
      <w:rFonts w:ascii="Arial" w:hAnsi="Arial" w:eastAsia="宋体"/>
      <w:b/>
      <w:sz w:val="21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公式"/>
    <w:basedOn w:val="6"/>
    <w:next w:val="1"/>
    <w:uiPriority w:val="0"/>
    <w:pPr>
      <w:tabs>
        <w:tab w:val="left" w:pos="0"/>
        <w:tab w:val="center" w:pos="4200"/>
        <w:tab w:val="right" w:pos="8190"/>
      </w:tabs>
      <w:ind w:firstLine="0" w:firstLineChars="0"/>
    </w:pPr>
    <w:rPr>
      <w:rFonts w:ascii="Times New Roman" w:hAnsi="Times New Roman" w:eastAsia="Times New Roman" w:cs="宋体"/>
      <w:sz w:val="24"/>
    </w:rPr>
  </w:style>
  <w:style w:type="paragraph" w:customStyle="1" w:styleId="11">
    <w:name w:val="表格中文字"/>
    <w:basedOn w:val="1"/>
    <w:uiPriority w:val="0"/>
    <w:pPr>
      <w:ind w:firstLine="0" w:firstLineChars="0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换位思考LINDA</cp:lastModifiedBy>
  <dcterms:modified xsi:type="dcterms:W3CDTF">2021-03-06T02:58:50Z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