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因天材，就地利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天工楼绿色建筑设计改造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GX3039</w:t>
            </w:r>
            <w:bookmarkStart w:id="83" w:name="_GoBack"/>
            <w:bookmarkEnd w:id="83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武乐 李心航 谷林娜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马佳宁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张坤龙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2021年1月5日</w:t>
            </w:r>
            <w:bookmarkEnd w:id="6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斯维尔节能设计BECS2020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T19825060889</w:t>
            </w:r>
            <w:bookmarkEnd w:id="10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right" w:leader="dot" w:pos="9026"/>
        </w:tabs>
      </w:pPr>
      <w:bookmarkStart w:id="11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_Toc19463 </w:instrText>
      </w:r>
      <w: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_Toc19463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_Toc29237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_Toc29237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_Toc509 </w:instrText>
      </w:r>
      <w: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_Toc509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_Toc1051 </w:instrText>
      </w:r>
      <w: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_Toc1051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_Toc17 </w:instrText>
      </w:r>
      <w: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_Toc308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_Toc308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_Toc27370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屋顶构造一</w:t>
      </w:r>
      <w:r>
        <w:tab/>
      </w:r>
      <w:r>
        <w:fldChar w:fldCharType="begin"/>
      </w:r>
      <w:r>
        <w:instrText xml:space="preserve"> PAGEREF _Toc27370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_Toc16854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3.2.1 </w:t>
      </w:r>
      <w:r>
        <w:rPr>
          <w:rFonts w:hint="eastAsia"/>
        </w:rPr>
        <w:t>冷凝计算界面至围护结构内表面之间的热阻</w:t>
      </w:r>
      <w:r>
        <w:object>
          <v:shape id="_x0000_i102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_Toc16854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_Toc11923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3.2.2 </w:t>
      </w:r>
      <w:r>
        <w:rPr>
          <w:rFonts w:hint="eastAsia"/>
        </w:rPr>
        <w:t>冷凝计算界面温度</w:t>
      </w:r>
      <w:r>
        <w:rPr>
          <w:position w:val="-6"/>
        </w:rPr>
        <w:object>
          <v:shape id="_x0000_i102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_Toc11923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_Toc19146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_Toc19146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_Toc27150 </w:instrText>
      </w:r>
      <w: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外墙构造一</w:t>
      </w:r>
      <w:r>
        <w:tab/>
      </w:r>
      <w:r>
        <w:fldChar w:fldCharType="begin"/>
      </w:r>
      <w:r>
        <w:instrText xml:space="preserve"> PAGEREF _Toc27150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_Toc7926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38125" cy="171450"/>
            <wp:effectExtent l="0" t="0" r="5715" b="12065"/>
            <wp:docPr id="1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_Toc7926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_Toc15566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11430" b="12700"/>
            <wp:docPr id="2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_Toc15566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_Toc3976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_Toc3976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_Toc11464 </w:instrText>
      </w:r>
      <w: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阳台隔墙构造一</w:t>
      </w:r>
      <w:r>
        <w:tab/>
      </w:r>
      <w:r>
        <w:fldChar w:fldCharType="begin"/>
      </w:r>
      <w:r>
        <w:instrText xml:space="preserve"> PAGEREF _Toc11464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_Toc1583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38125" cy="171450"/>
            <wp:effectExtent l="0" t="0" r="5715" b="12065"/>
            <wp:docPr id="3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_Toc1583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_Toc21044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11430" b="12700"/>
            <wp:docPr id="4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_Toc21044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_Toc25192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_Toc25192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_Toc7737 </w:instrText>
      </w:r>
      <w: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_Toc7737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1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2" w:name="_Toc316568035"/>
      <w:bookmarkStart w:id="13" w:name="_Toc480186122"/>
      <w:bookmarkStart w:id="14" w:name="_Toc480218444"/>
      <w:bookmarkStart w:id="15" w:name="_Toc480186060"/>
      <w:bookmarkStart w:id="16" w:name="_Toc19463"/>
      <w:r>
        <w:rPr>
          <w:rFonts w:hint="eastAsia"/>
        </w:rPr>
        <w:t>建筑概况</w:t>
      </w:r>
      <w:bookmarkEnd w:id="12"/>
      <w:bookmarkEnd w:id="13"/>
      <w:bookmarkEnd w:id="14"/>
      <w:bookmarkEnd w:id="15"/>
      <w:bookmarkEnd w:id="16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7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工程名称"/>
            <w:r>
              <w:t>新建项目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工程地点"/>
            <w:r>
              <w:t>江苏-南京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0" w:name="纬度"/>
            <w:r>
              <w:rPr>
                <w:rFonts w:hint="eastAsia"/>
              </w:rPr>
              <w:t>32.04</w:t>
            </w:r>
            <w:bookmarkEnd w:id="20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1" w:name="经度"/>
            <w:r>
              <w:rPr>
                <w:rFonts w:hint="eastAsia"/>
              </w:rPr>
              <w:t>118.78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2" w:name="气候分区"/>
            <w:r>
              <w:t>夏热冬冷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14201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6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24.5</w:t>
            </w:r>
            <w:bookmarkEnd w:id="27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7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9" w:name="_Toc480218445"/>
      <w:bookmarkStart w:id="30" w:name="_Toc316568036"/>
      <w:bookmarkStart w:id="31" w:name="_Toc480186061"/>
      <w:bookmarkStart w:id="32" w:name="_Toc480186123"/>
      <w:bookmarkStart w:id="33" w:name="_Toc29237"/>
      <w:bookmarkStart w:id="34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</w:p>
    <w:bookmarkEnd w:id="34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5" w:name="标准名称"/>
      <w:r>
        <w:rPr>
          <w:rFonts w:hint="eastAsia"/>
        </w:rPr>
        <w:t>公共建筑节能设计标准GB50189-2015</w:t>
      </w:r>
      <w:bookmarkEnd w:id="35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6" w:name="_Toc480186124"/>
      <w:bookmarkStart w:id="37" w:name="_Toc509"/>
      <w:bookmarkStart w:id="38" w:name="_Toc480218446"/>
      <w:bookmarkStart w:id="39" w:name="_Toc480186062"/>
      <w:r>
        <w:rPr>
          <w:rFonts w:hint="eastAsia"/>
          <w:kern w:val="2"/>
        </w:rPr>
        <w:t>评价目标</w:t>
      </w:r>
      <w:bookmarkEnd w:id="36"/>
      <w:bookmarkEnd w:id="37"/>
      <w:bookmarkEnd w:id="38"/>
      <w:bookmarkEnd w:id="39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0" w:name="_Toc480218447"/>
      <w:bookmarkStart w:id="41" w:name="_Toc480186125"/>
      <w:bookmarkStart w:id="42" w:name="_Toc479931706"/>
      <w:bookmarkStart w:id="43" w:name="_Toc480186063"/>
      <w:bookmarkStart w:id="44" w:name="_Toc1051"/>
      <w:r>
        <w:rPr>
          <w:rFonts w:hint="eastAsia"/>
          <w:kern w:val="2"/>
        </w:rPr>
        <w:t>评价方法</w:t>
      </w:r>
      <w:bookmarkEnd w:id="40"/>
      <w:bookmarkEnd w:id="41"/>
      <w:bookmarkEnd w:id="42"/>
      <w:bookmarkEnd w:id="43"/>
      <w:bookmarkEnd w:id="44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7" o:spt="75" type="#_x0000_t75" style="height:45.75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8" o:spt="75" type="#_x0000_t75" style="height:50.25pt;width:16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9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3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5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7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8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9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1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4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4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5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7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1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2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2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5" w:name="_Toc17"/>
      <w:bookmarkStart w:id="46" w:name="_Toc480186064"/>
      <w:bookmarkStart w:id="47" w:name="_Toc480218448"/>
      <w:bookmarkStart w:id="48" w:name="_Toc480186126"/>
      <w:r>
        <w:rPr>
          <w:rFonts w:hint="eastAsia"/>
        </w:rPr>
        <w:t>防潮验算</w:t>
      </w:r>
      <w:r>
        <w:t>计算过程</w:t>
      </w:r>
      <w:bookmarkEnd w:id="45"/>
      <w:bookmarkEnd w:id="46"/>
      <w:bookmarkEnd w:id="47"/>
      <w:bookmarkEnd w:id="48"/>
    </w:p>
    <w:p>
      <w:pPr>
        <w:pStyle w:val="4"/>
        <w:spacing w:line="240" w:lineRule="atLeast"/>
        <w:rPr>
          <w:kern w:val="2"/>
        </w:rPr>
      </w:pPr>
      <w:bookmarkStart w:id="49" w:name="_Toc308"/>
      <w:r>
        <w:rPr>
          <w:rFonts w:hint="eastAsia"/>
          <w:kern w:val="2"/>
        </w:rPr>
        <w:t>计算条件</w:t>
      </w:r>
      <w:bookmarkEnd w:id="49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0" w:name="t_i_avg"/>
            <w:r>
              <w:rPr>
                <w:rFonts w:hint="eastAsia"/>
              </w:rPr>
              <w:t>18</w:t>
            </w:r>
            <w:bookmarkEnd w:id="50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1" w:name="室内相对湿度"/>
            <w:r>
              <w:rPr>
                <w:rFonts w:hint="eastAsia"/>
              </w:rPr>
              <w:t>60</w:t>
            </w:r>
            <w:bookmarkEnd w:id="5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6" o:spt="75" type="#_x0000_t75" style="height:17.25pt;width:9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t_e_avg"/>
            <w:r>
              <w:rPr>
                <w:rFonts w:hint="eastAsia"/>
              </w:rPr>
              <w:t>3.60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3" w:name="室外相对湿度"/>
            <w:r>
              <w:rPr>
                <w:rFonts w:hint="eastAsia"/>
              </w:rPr>
              <w:t>72.00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4" w:name="Z"/>
            <w:r>
              <w:rPr>
                <w:rFonts w:hint="eastAsia"/>
              </w:rPr>
              <w:t>55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5" w:name="气象数据参考"/>
      <w:bookmarkEnd w:id="55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6" w:name="_Toc27370"/>
      <w:bookmarkStart w:id="57" w:name="构造ID"/>
      <w:bookmarkStart w:id="58" w:name="DataTab"/>
      <w:r>
        <w:rPr>
          <w:rFonts w:hint="eastAsia"/>
          <w:kern w:val="2"/>
        </w:rPr>
        <w:t>屋顶构造一</w:t>
      </w:r>
      <w:bookmarkEnd w:id="56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59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2300.00</w:t>
            </w:r>
          </w:p>
        </w:tc>
        <w:tc>
          <w:tcPr>
            <w:tcW w:w="1559" w:type="dxa"/>
            <w:vAlign w:val="center"/>
          </w:tcPr>
          <w:p>
            <w:r>
              <w:t>0.0173</w:t>
            </w:r>
          </w:p>
        </w:tc>
        <w:tc>
          <w:tcPr>
            <w:tcW w:w="993" w:type="dxa"/>
            <w:vAlign w:val="center"/>
          </w:tcPr>
          <w:p>
            <w:r>
              <w:t>0.026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0.0110</w:t>
            </w:r>
          </w:p>
        </w:tc>
        <w:tc>
          <w:tcPr>
            <w:tcW w:w="993" w:type="dxa"/>
            <w:vAlign w:val="center"/>
          </w:tcPr>
          <w:p>
            <w:r>
              <w:t>1.111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加气混凝土、泡沫混凝土(ρ=500)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0.190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500.00</w:t>
            </w:r>
          </w:p>
        </w:tc>
        <w:tc>
          <w:tcPr>
            <w:tcW w:w="1559" w:type="dxa"/>
            <w:vAlign w:val="center"/>
          </w:tcPr>
          <w:p>
            <w:r>
              <w:t>0.1110</w:t>
            </w:r>
          </w:p>
        </w:tc>
        <w:tc>
          <w:tcPr>
            <w:tcW w:w="993" w:type="dxa"/>
            <w:vAlign w:val="center"/>
          </w:tcPr>
          <w:p>
            <w:r>
              <w:t>0.526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0" w:name="_Toc16854"/>
      <w:r>
        <w:rPr>
          <w:rFonts w:hint="eastAsia"/>
        </w:rPr>
        <w:t>冷凝计算界面至围护结构内表面之间的热阻</w:t>
      </w:r>
      <w:r>
        <w:object>
          <v:shape id="_x0000_i1057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7" DrawAspect="Content" ObjectID="_1468075747" r:id="rId53">
            <o:LockedField>false</o:LockedField>
          </o:OLEObject>
        </w:object>
      </w:r>
      <w:bookmarkEnd w:id="60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8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8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bookmarkStart w:id="61" w:name="R_o_i"/>
      <w:r>
        <w:rPr>
          <w:rFonts w:hint="eastAsia"/>
        </w:rPr>
        <w:t>2.20</w:t>
      </w:r>
    </w:p>
    <w:p>
      <w:pPr>
        <w:pStyle w:val="5"/>
        <w:ind w:right="1470"/>
      </w:pPr>
      <w:bookmarkStart w:id="62" w:name="_Toc11923"/>
      <w:r>
        <w:rPr>
          <w:rFonts w:hint="eastAsia"/>
        </w:rPr>
        <w:t>冷凝计算界面温度</w:t>
      </w:r>
      <w:r>
        <w:rPr>
          <w:position w:val="-6"/>
        </w:rPr>
        <w:object>
          <v:shape id="_x0000_i105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9" DrawAspect="Content" ObjectID="_1468075749" r:id="rId55">
            <o:LockedField>false</o:LockedField>
          </o:OLEObject>
        </w:object>
      </w:r>
      <w:bookmarkEnd w:id="62"/>
    </w:p>
    <w:p>
      <w:pPr>
        <w:jc w:val="center"/>
      </w:pPr>
      <w:r>
        <w:object>
          <v:shape id="_x0000_i1060" o:spt="75" type="#_x0000_t75" style="height:33pt;width:111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0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1" DrawAspect="Content" ObjectID="_1468075751" r:id="rId58">
            <o:LockedField>false</o:LockedField>
          </o:OLEObject>
        </w:object>
      </w:r>
      <w:r>
        <w:t>=</w:t>
      </w:r>
      <w:bookmarkStart w:id="63" w:name="θ_c"/>
      <w:r>
        <w:rPr>
          <w:rFonts w:hint="eastAsia"/>
        </w:rPr>
        <w:t>4.00</w:t>
      </w:r>
    </w:p>
    <w:p>
      <w:pPr>
        <w:pStyle w:val="5"/>
        <w:ind w:right="1470"/>
      </w:pPr>
      <w:bookmarkStart w:id="64" w:name="_Toc19146"/>
      <w:r>
        <w:rPr>
          <w:rStyle w:val="32"/>
          <w:rFonts w:hint="eastAsia"/>
          <w:b/>
          <w:bCs w:val="0"/>
        </w:rPr>
        <w:t>围护结构冷凝受潮验算</w:t>
      </w:r>
      <w:bookmarkEnd w:id="64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2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3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5" w:name="H_o_i"/>
            <w:r>
              <w:rPr>
                <w:rFonts w:hint="eastAsia"/>
              </w:rPr>
              <w:t>14337.65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68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9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2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3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6" w:name="H_o_e"/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7" w:name="Pi"/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8" w:name="Pe"/>
            <w:r>
              <w:rPr>
                <w:rFonts w:hint="eastAsia"/>
              </w:rPr>
              <w:t>569.23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0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9" w:name="Psc"/>
            <w:r>
              <w:rPr>
                <w:rFonts w:hint="eastAsia"/>
              </w:rPr>
              <w:t>813.20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1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2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ρ"/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4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δi"/>
            <w:r>
              <w:rPr>
                <w:rFonts w:hint="eastAsia"/>
              </w:rPr>
              <w:t>0.04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5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6.5pt;width:24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ω_l"/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3" w:name="ω"/>
            <w:r>
              <w:rPr>
                <w:rFonts w:hint="eastAsia"/>
              </w:rPr>
              <w:t>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74" w:name="_Toc27150"/>
      <w:r>
        <w:rPr>
          <w:rFonts w:hint="eastAsia"/>
          <w:kern w:val="2"/>
        </w:rPr>
        <w:t>外墙构造一</w:t>
      </w:r>
      <w:bookmarkEnd w:id="74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0.0110</w:t>
            </w:r>
          </w:p>
        </w:tc>
        <w:tc>
          <w:tcPr>
            <w:tcW w:w="993" w:type="dxa"/>
            <w:vAlign w:val="center"/>
          </w:tcPr>
          <w:p>
            <w:r>
              <w:t>1.667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75" w:name="_Toc7926"/>
      <w:r>
        <w:rPr>
          <w:rFonts w:hint="eastAsia"/>
        </w:rPr>
        <w:t>冷凝计算界面至围护结构内表面之间的热阻</w:t>
      </w:r>
      <w:r>
        <w:pict>
          <v:shape id="_x0000_i1087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5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8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1.83</w:t>
      </w:r>
    </w:p>
    <w:p>
      <w:pPr>
        <w:pStyle w:val="5"/>
        <w:ind w:right="1470"/>
      </w:pPr>
      <w:bookmarkStart w:id="76" w:name="_Toc15566"/>
      <w:r>
        <w:rPr>
          <w:rFonts w:hint="eastAsia"/>
        </w:rPr>
        <w:t>冷凝计算界面温度</w:t>
      </w:r>
      <w:r>
        <w:rPr>
          <w:position w:val="-6"/>
        </w:rPr>
        <w:pict>
          <v:shape id="_x0000_i108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76"/>
    </w:p>
    <w:p>
      <w:pPr>
        <w:jc w:val="center"/>
      </w:pPr>
      <w:r>
        <w:pict>
          <v:shape id="_x0000_i1090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1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4.04</w:t>
      </w:r>
    </w:p>
    <w:p>
      <w:pPr>
        <w:pStyle w:val="5"/>
        <w:ind w:right="1470"/>
      </w:pPr>
      <w:bookmarkStart w:id="77" w:name="_Toc3976"/>
      <w:r>
        <w:rPr>
          <w:rStyle w:val="32"/>
          <w:rFonts w:hint="eastAsia"/>
          <w:b/>
          <w:bCs w:val="0"/>
        </w:rPr>
        <w:t>围护结构冷凝受潮验算</w:t>
      </w:r>
      <w:bookmarkEnd w:id="77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2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3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19516.62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098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9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2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3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569.23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0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815.54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2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0.06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5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6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78" w:name="_Toc11464"/>
      <w:r>
        <w:rPr>
          <w:rFonts w:hint="eastAsia"/>
          <w:kern w:val="2"/>
        </w:rPr>
        <w:t>阳台隔墙构造一</w:t>
      </w:r>
      <w:bookmarkEnd w:id="57"/>
      <w:bookmarkEnd w:id="7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0.0110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59"/>
    </w:tbl>
    <w:p>
      <w:pPr>
        <w:pStyle w:val="3"/>
        <w:ind w:left="1470" w:right="1470"/>
      </w:pPr>
    </w:p>
    <w:p>
      <w:pPr>
        <w:pStyle w:val="5"/>
      </w:pPr>
      <w:bookmarkStart w:id="79" w:name="_Toc1583"/>
      <w:r>
        <w:rPr>
          <w:rFonts w:hint="eastAsia"/>
        </w:rPr>
        <w:t>冷凝计算界面至围护结构内表面之间的热阻</w:t>
      </w:r>
      <w:r>
        <w:pict>
          <v:shape id="_x0000_i1117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9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8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  <w:bookmarkEnd w:id="61"/>
    </w:p>
    <w:p>
      <w:pPr>
        <w:pStyle w:val="5"/>
        <w:ind w:right="1470"/>
      </w:pPr>
      <w:bookmarkStart w:id="80" w:name="_Toc21044"/>
      <w:r>
        <w:rPr>
          <w:rFonts w:hint="eastAsia"/>
        </w:rPr>
        <w:t>冷凝计算界面温度</w:t>
      </w:r>
      <w:r>
        <w:rPr>
          <w:position w:val="-6"/>
        </w:rPr>
        <w:pict>
          <v:shape id="_x0000_i111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80"/>
    </w:p>
    <w:p>
      <w:pPr>
        <w:jc w:val="center"/>
      </w:pPr>
      <w:r>
        <w:pict>
          <v:shape id="_x0000_i1120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1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4.60</w:t>
      </w:r>
      <w:bookmarkEnd w:id="63"/>
    </w:p>
    <w:p>
      <w:pPr>
        <w:pStyle w:val="5"/>
        <w:ind w:right="1470"/>
      </w:pPr>
      <w:bookmarkStart w:id="81" w:name="_Toc25192"/>
      <w:r>
        <w:rPr>
          <w:rStyle w:val="32"/>
          <w:rFonts w:hint="eastAsia"/>
          <w:b/>
          <w:bCs w:val="0"/>
        </w:rPr>
        <w:t>围护结构冷凝受潮验算</w:t>
      </w:r>
      <w:bookmarkEnd w:id="81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2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3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15880.26</w:t>
            </w:r>
            <w:bookmarkEnd w:id="6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28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9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2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3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  <w:bookmarkEnd w:id="6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5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67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7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569.23</w:t>
            </w:r>
            <w:bookmarkEnd w:id="68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8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9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0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848.23</w:t>
            </w:r>
            <w:bookmarkEnd w:id="69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4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2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35.00</w:t>
            </w:r>
            <w:bookmarkEnd w:id="7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5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6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  <w:bookmarkEnd w:id="72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3"/>
          </w:p>
        </w:tc>
      </w:tr>
    </w:tbl>
    <w:p>
      <w:pPr>
        <w:widowControl/>
        <w:jc w:val="left"/>
      </w:pPr>
    </w:p>
    <w:bookmarkEnd w:id="58"/>
    <w:p>
      <w:pPr>
        <w:pStyle w:val="2"/>
        <w:widowControl/>
        <w:jc w:val="left"/>
      </w:pPr>
      <w:bookmarkStart w:id="82" w:name="_Toc7737"/>
      <w:r>
        <w:t>验算结论</w:t>
      </w:r>
      <w:bookmarkEnd w:id="82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112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A50FD2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6AA50FD2"/>
    <w:rsid w:val="7F27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b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8</Pages>
  <Words>2346</Words>
  <Characters>3346</Characters>
  <Lines>27</Lines>
  <Paragraphs>7</Paragraphs>
  <TotalTime>0</TotalTime>
  <ScaleCrop>false</ScaleCrop>
  <LinksUpToDate>false</LinksUpToDate>
  <CharactersWithSpaces>3475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2021-01-05T08:00:00Z</dcterms:created>
  <dc:creator>换位思考LINDA</dc:creator>
  <cp:lastModifiedBy>换位思考LINDA</cp:lastModifiedBy>
  <dcterms:modified xsi:type="dcterms:W3CDTF">2021-01-05T08:43:03Z</dcterms:modified>
  <dc:title>防潮验算计算书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2052-11.1.0.10228</vt:lpwstr>
  </property>
</Properties>
</file>