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>
        <w:rPr>
          <w:rFonts w:hint="eastAsia" w:ascii="宋体" w:hAnsi="宋体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  <w:vAlign w:val="top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因天材，就地利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天工楼绿色建筑设计改造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南京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3" w:name="设计编号"/>
            <w:bookmarkEnd w:id="3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GX30399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4" w:name="建设单位"/>
            <w:bookmarkEnd w:id="4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南京工业大学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5" w:name="设计单位"/>
            <w:bookmarkEnd w:id="5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南京工业大学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城市建设学院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武乐 李心航 谷林娜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马佳宁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张坤龙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2020年12月31日</w:t>
            </w:r>
            <w:bookmarkEnd w:id="6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6" w:name="_GoBack"/>
      <w:bookmarkEnd w:id="66"/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t>节能设计BECS2020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20200505(SP1)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T19825060889</w:t>
            </w:r>
            <w:bookmarkEnd w:id="10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_Toc30509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_Toc30509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_Toc1093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_Toc1093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_Toc23218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_Toc23218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_Toc12542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_Toc12542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_Toc26966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_Toc26966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_Toc30409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_Toc30409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_Toc12909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_Toc12909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_Toc32054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_Toc32054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_Toc26286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_Toc26286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_Toc17403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_Toc17403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_Toc14697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_Toc14697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_Toc25040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_Toc25040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_Toc31860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4.6.1 </w:t>
      </w:r>
      <w:r>
        <w:rPr>
          <w:kern w:val="2"/>
          <w:szCs w:val="24"/>
          <w:lang w:val="en-US"/>
        </w:rPr>
        <w:t>天窗屋顶比</w:t>
      </w:r>
      <w:r>
        <w:tab/>
      </w:r>
      <w:r>
        <w:fldChar w:fldCharType="begin"/>
      </w:r>
      <w:r>
        <w:instrText xml:space="preserve"> PAGEREF _Toc31860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_Toc10033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4.6.2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_Toc10033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_Toc21617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_Toc21617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_Toc11262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4.7.1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_Toc11262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_Toc4190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_Toc4190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_Toc18263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4.8.1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_Toc18263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_Toc18064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4.8.2 </w:t>
      </w:r>
      <w:r>
        <w:rPr>
          <w:kern w:val="2"/>
          <w:szCs w:val="24"/>
          <w:lang w:val="en-US"/>
        </w:rPr>
        <w:t>外墙主断面传热系数的修正系数ψ</w:t>
      </w:r>
      <w:r>
        <w:tab/>
      </w:r>
      <w:r>
        <w:fldChar w:fldCharType="begin"/>
      </w:r>
      <w:r>
        <w:instrText xml:space="preserve"> PAGEREF _Toc18064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_Toc11049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4.8.3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_Toc11049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_Toc10880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_Toc10880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_Toc26946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4.9.1 </w:t>
      </w:r>
      <w:r>
        <w:rPr>
          <w:kern w:val="2"/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_Toc26946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_Toc27163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采暖地下室外墙构造</w:t>
      </w:r>
      <w:r>
        <w:tab/>
      </w:r>
      <w:r>
        <w:fldChar w:fldCharType="begin"/>
      </w:r>
      <w:r>
        <w:instrText xml:space="preserve"> PAGEREF _Toc27163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_Toc5606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采暖、空调地下室地面</w:t>
      </w:r>
      <w:r>
        <w:tab/>
      </w:r>
      <w:r>
        <w:fldChar w:fldCharType="begin"/>
      </w:r>
      <w:r>
        <w:instrText xml:space="preserve"> PAGEREF _Toc5606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_Toc5744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4.11.1 </w:t>
      </w:r>
      <w:r>
        <w:rPr>
          <w:kern w:val="2"/>
          <w:szCs w:val="24"/>
          <w:lang w:val="en-US"/>
        </w:rPr>
        <w:t>地面构造一</w:t>
      </w:r>
      <w:r>
        <w:tab/>
      </w:r>
      <w:r>
        <w:fldChar w:fldCharType="begin"/>
      </w:r>
      <w:r>
        <w:instrText xml:space="preserve"> PAGEREF _Toc5744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_Toc7233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地上采暖空调房间的地下室顶板</w:t>
      </w:r>
      <w:r>
        <w:tab/>
      </w:r>
      <w:r>
        <w:fldChar w:fldCharType="begin"/>
      </w:r>
      <w:r>
        <w:instrText xml:space="preserve"> PAGEREF _Toc7233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_Toc31473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_Toc31473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_Toc15142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4.13.1 </w:t>
      </w:r>
      <w:r>
        <w:rPr>
          <w:kern w:val="2"/>
          <w:szCs w:val="24"/>
          <w:lang w:val="en-US"/>
        </w:rPr>
        <w:t>外窗构造</w:t>
      </w:r>
      <w:r>
        <w:tab/>
      </w:r>
      <w:r>
        <w:fldChar w:fldCharType="begin"/>
      </w:r>
      <w:r>
        <w:instrText xml:space="preserve"> PAGEREF _Toc15142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_Toc8104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4.13.2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_Toc8104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_Toc5365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4.13.3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_Toc5365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_Toc22018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4.13.4 </w:t>
      </w:r>
      <w:r>
        <w:rPr>
          <w:kern w:val="2"/>
          <w:szCs w:val="24"/>
          <w:lang w:val="en-US"/>
        </w:rPr>
        <w:t>综合太阳得热系数</w:t>
      </w:r>
      <w:r>
        <w:tab/>
      </w:r>
      <w:r>
        <w:fldChar w:fldCharType="begin"/>
      </w:r>
      <w:r>
        <w:instrText xml:space="preserve"> PAGEREF _Toc22018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_Toc21420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4.13.5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_Toc21420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_Toc27947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kern w:val="2"/>
          <w:szCs w:val="24"/>
          <w:lang w:val="en-US"/>
        </w:rPr>
        <w:t>有效通风换气面积</w:t>
      </w:r>
      <w:r>
        <w:tab/>
      </w:r>
      <w:r>
        <w:fldChar w:fldCharType="begin"/>
      </w:r>
      <w:r>
        <w:instrText xml:space="preserve"> PAGEREF _Toc27947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_Toc10851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_Toc10851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_Toc21006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4.16 </w:t>
      </w:r>
      <w:r>
        <w:rPr>
          <w:kern w:val="2"/>
          <w:szCs w:val="24"/>
          <w:lang w:val="en-US"/>
        </w:rPr>
        <w:t>外窗气密性</w:t>
      </w:r>
      <w:r>
        <w:tab/>
      </w:r>
      <w:r>
        <w:fldChar w:fldCharType="begin"/>
      </w:r>
      <w:r>
        <w:instrText xml:space="preserve"> PAGEREF _Toc21006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_Toc1989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4.17 </w:t>
      </w:r>
      <w:r>
        <w:rPr>
          <w:kern w:val="2"/>
          <w:szCs w:val="24"/>
          <w:lang w:val="en-US"/>
        </w:rPr>
        <w:t>幕墙气密性</w:t>
      </w:r>
      <w:r>
        <w:tab/>
      </w:r>
      <w:r>
        <w:fldChar w:fldCharType="begin"/>
      </w:r>
      <w:r>
        <w:instrText xml:space="preserve"> PAGEREF _Toc1989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_Toc16492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4.18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_Toc16492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1" w:name="_Toc30509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"/>
            <w:r>
              <w:t>新建项目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t>江苏-南京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5" w:name="纬度"/>
            <w:r>
              <w:rPr>
                <w:rFonts w:hint="eastAsia" w:ascii="宋体" w:hAnsi="宋体"/>
                <w:lang w:val="en-US"/>
              </w:rPr>
              <w:t>32.04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6" w:name="经度"/>
            <w:r>
              <w:rPr>
                <w:rFonts w:hint="eastAsia" w:ascii="宋体" w:hAnsi="宋体"/>
                <w:lang w:val="en-US"/>
              </w:rPr>
              <w:t>118.78</w:t>
            </w:r>
            <w:bookmarkEnd w:id="16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14201</w:t>
            </w:r>
            <w:bookmarkEnd w:id="17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6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1" w:name="地上建筑高度"/>
            <w:r>
              <w:rPr>
                <w:rFonts w:hint="eastAsia" w:ascii="宋体" w:hAnsi="宋体"/>
                <w:lang w:val="en-US"/>
              </w:rPr>
              <w:t>2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  <w:lang w:val="en-US"/>
              </w:rPr>
              <w:t>.</w:t>
            </w:r>
            <w:bookmarkEnd w:id="21"/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53457.04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19780.26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bookmarkEnd w:id="12"/>
    </w:tbl>
    <w:p>
      <w:pPr>
        <w:pStyle w:val="2"/>
      </w:pPr>
      <w:bookmarkStart w:id="28" w:name="_Toc1093"/>
      <w:bookmarkStart w:id="29" w:name="TitleFormat"/>
      <w:r>
        <w:rPr>
          <w:rFonts w:hint="eastAsia"/>
        </w:rPr>
        <w:t>设计依据</w:t>
      </w:r>
      <w:bookmarkEnd w:id="28"/>
    </w:p>
    <w:bookmarkEnd w:id="29"/>
    <w:p>
      <w:pPr>
        <w:widowControl w:val="0"/>
        <w:jc w:val="both"/>
        <w:rPr>
          <w:kern w:val="2"/>
          <w:szCs w:val="24"/>
          <w:lang w:val="en-US"/>
        </w:rPr>
      </w:pPr>
      <w:bookmarkStart w:id="30" w:name="计算依据"/>
      <w:bookmarkEnd w:id="30"/>
      <w:r>
        <w:rPr>
          <w:kern w:val="2"/>
          <w:szCs w:val="24"/>
          <w:lang w:val="en-US"/>
        </w:rPr>
        <w:t>1. 《公共建筑节能设计标准》(GB50189-2015)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《江苏省公共建筑节能设计标准》（DGJ32/J96-2010）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《江苏省绿色建筑工程施工图设计文件编制深度规定》（2014年版）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《建筑外门窗气密，水密，抗风压性能分级及检测方法》（GB/T 7106-2008）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6. 《建筑幕墙》（GB/T 21086-2007）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1" w:name="_Toc23218"/>
      <w:r>
        <w:rPr>
          <w:kern w:val="2"/>
          <w:szCs w:val="24"/>
          <w:lang w:val="en-US"/>
        </w:rPr>
        <w:t>建筑大样</w:t>
      </w:r>
      <w:bookmarkEnd w:id="31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527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33362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051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6958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6958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6958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6958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6863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7层平面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2" w:name="_Toc12542"/>
      <w:r>
        <w:rPr>
          <w:kern w:val="2"/>
          <w:szCs w:val="24"/>
          <w:lang w:val="en-US"/>
        </w:rPr>
        <w:t>规定性指标检查</w:t>
      </w:r>
      <w:bookmarkEnd w:id="32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3" w:name="_Toc26966"/>
      <w:r>
        <w:rPr>
          <w:kern w:val="2"/>
          <w:szCs w:val="24"/>
          <w:lang w:val="en-US"/>
        </w:rPr>
        <w:t>工程材料</w:t>
      </w:r>
      <w:bookmarkEnd w:id="33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0.0173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0.0998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加气混凝土、泡沫混凝土(ρ=500)</w:t>
            </w:r>
          </w:p>
        </w:tc>
        <w:tc>
          <w:tcPr>
            <w:vAlign w:val="center"/>
          </w:tcPr>
          <w:p>
            <w:r>
              <w:t>0.190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500.0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0.1110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0.033</w:t>
            </w:r>
          </w:p>
        </w:tc>
        <w:tc>
          <w:tcPr>
            <w:vAlign w:val="center"/>
          </w:tcPr>
          <w:p>
            <w:r>
              <w:t>0.320</w:t>
            </w:r>
          </w:p>
        </w:tc>
        <w:tc>
          <w:tcPr>
            <w:vAlign w:val="center"/>
          </w:tcPr>
          <w:p>
            <w:r>
              <w:t>29.0</w:t>
            </w:r>
          </w:p>
        </w:tc>
        <w:tc>
          <w:tcPr>
            <w:vAlign w:val="center"/>
          </w:tcPr>
          <w:p>
            <w:r>
              <w:t>1470.0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墙体外保温、屋面保温、楼板保温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4" w:name="_Toc30409"/>
      <w:r>
        <w:rPr>
          <w:kern w:val="2"/>
          <w:szCs w:val="24"/>
          <w:lang w:val="en-US"/>
        </w:rPr>
        <w:t>围护结构作法简要说明</w:t>
      </w:r>
      <w:bookmarkEnd w:id="34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 w:val="21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碎石、卵石混凝土(ρ=2300) 40mm＋</w:t>
      </w:r>
      <w:r>
        <w:rPr>
          <w:color w:val="800000"/>
          <w:kern w:val="2"/>
          <w:szCs w:val="24"/>
          <w:lang w:val="en-US"/>
        </w:rPr>
        <w:t>挤塑聚苯乙烯泡沫塑料（带表皮） 40mm</w:t>
      </w:r>
      <w:r>
        <w:rPr>
          <w:color w:val="000000"/>
          <w:kern w:val="2"/>
          <w:szCs w:val="24"/>
          <w:lang w:val="en-US"/>
        </w:rPr>
        <w:t>＋水泥砂浆 20mm＋加气混凝土、泡沫混凝土(ρ=700) 80mm＋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＋石灰砂浆 20mm＋加气混凝土、泡沫混凝土(ρ=500) 100mm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外墙构造：</w:t>
      </w:r>
      <w:r>
        <w:rPr>
          <w:color w:val="0000FF"/>
          <w:kern w:val="2"/>
          <w:sz w:val="21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挤塑聚苯乙烯泡沫塑料（带表皮） 60mm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挑空楼板构造：</w:t>
      </w:r>
      <w:r>
        <w:rPr>
          <w:color w:val="0000FF"/>
          <w:kern w:val="2"/>
          <w:sz w:val="21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00"/>
          <w:kern w:val="2"/>
          <w:szCs w:val="24"/>
          <w:lang w:val="en-US"/>
        </w:rPr>
        <w:t>挤塑聚苯乙烯泡沫塑料（带表皮） 50mm</w:t>
      </w:r>
      <w:r>
        <w:rPr>
          <w:color w:val="000000"/>
          <w:kern w:val="2"/>
          <w:szCs w:val="24"/>
          <w:lang w:val="en-US"/>
        </w:rPr>
        <w:t>＋水泥砂浆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采暖、空调地下室地面：</w:t>
      </w:r>
      <w:r>
        <w:rPr>
          <w:color w:val="0000FF"/>
          <w:kern w:val="2"/>
          <w:sz w:val="21"/>
          <w:szCs w:val="21"/>
          <w:lang w:val="en-US"/>
        </w:rPr>
        <w:t>地面构造一：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 40mm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外窗构造：</w:t>
      </w:r>
      <w:r>
        <w:rPr>
          <w:color w:val="0000FF"/>
          <w:kern w:val="2"/>
          <w:sz w:val="21"/>
          <w:szCs w:val="21"/>
          <w:lang w:val="en-US"/>
        </w:rPr>
        <w:t>5高透Low-E+19空气+5透明：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传热系数1.900W/m^2.K，太阳得热系数0.218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5" w:name="_Toc12909"/>
      <w:r>
        <w:rPr>
          <w:color w:val="000000"/>
          <w:kern w:val="2"/>
          <w:szCs w:val="24"/>
          <w:lang w:val="en-US"/>
        </w:rPr>
        <w:t>体形系数</w:t>
      </w:r>
      <w:bookmarkEnd w:id="3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vAlign w:val="center"/>
          </w:tcPr>
          <w:p>
            <w:r>
              <w:t>19780.26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vAlign w:val="center"/>
          </w:tcPr>
          <w:p>
            <w:r>
              <w:t>53457.04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0.37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6" w:name="_Toc32054"/>
      <w:r>
        <w:rPr>
          <w:color w:val="000000"/>
          <w:kern w:val="2"/>
          <w:szCs w:val="24"/>
          <w:lang w:val="en-US"/>
        </w:rPr>
        <w:t>窗墙比</w:t>
      </w:r>
      <w:bookmarkEnd w:id="36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37" w:name="_Toc26286"/>
      <w:r>
        <w:rPr>
          <w:color w:val="000000"/>
          <w:kern w:val="2"/>
          <w:szCs w:val="24"/>
          <w:lang w:val="en-US"/>
        </w:rPr>
        <w:t>窗墙比</w:t>
      </w:r>
      <w:bookmarkEnd w:id="3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96"/>
        <w:gridCol w:w="1584"/>
        <w:gridCol w:w="1584"/>
        <w:gridCol w:w="1131"/>
        <w:gridCol w:w="1018"/>
        <w:gridCol w:w="15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484.20</w:t>
            </w:r>
          </w:p>
        </w:tc>
        <w:tc>
          <w:tcPr>
            <w:vAlign w:val="center"/>
          </w:tcPr>
          <w:p>
            <w:r>
              <w:t>1395.24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77.88</w:t>
            </w:r>
          </w:p>
        </w:tc>
        <w:tc>
          <w:tcPr>
            <w:vAlign w:val="center"/>
          </w:tcPr>
          <w:p>
            <w:r>
              <w:t>1395.24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767.40</w:t>
            </w:r>
          </w:p>
        </w:tc>
        <w:tc>
          <w:tcPr>
            <w:vAlign w:val="center"/>
          </w:tcPr>
          <w:p>
            <w:r>
              <w:t>1858.39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775.20</w:t>
            </w:r>
          </w:p>
        </w:tc>
        <w:tc>
          <w:tcPr>
            <w:vAlign w:val="center"/>
          </w:tcPr>
          <w:p>
            <w:r>
              <w:t>1858.39</w:t>
            </w:r>
          </w:p>
        </w:tc>
        <w:tc>
          <w:tcPr>
            <w:vAlign w:val="center"/>
          </w:tcPr>
          <w:p>
            <w:r>
              <w:t>0.42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5"/>
            <w:vAlign w:val="center"/>
          </w:tcPr>
          <w:p>
            <w:r>
              <w:t>《公共建筑节能设计标准》(GB50189-2015)第3.2.2条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  <w:vAlign w:val="center"/>
          </w:tcPr>
          <w:p>
            <w:r>
              <w:t>夏热冬冷地区甲类公共建筑各单一立面窗墙面积比 (包括透光幕墙 )均不宜大于0.70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  <w:vAlign w:val="center"/>
          </w:tcPr>
          <w:p>
            <w:r>
              <w:t>适宜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38" w:name="_Toc17403"/>
      <w:r>
        <w:rPr>
          <w:color w:val="000000"/>
          <w:kern w:val="2"/>
          <w:szCs w:val="24"/>
          <w:lang w:val="en-US"/>
        </w:rPr>
        <w:t>外窗表</w:t>
      </w:r>
      <w:bookmarkEnd w:id="3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45"/>
        <w:gridCol w:w="1562"/>
        <w:gridCol w:w="1386"/>
        <w:gridCol w:w="735"/>
        <w:gridCol w:w="718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</w:p>
        </w:tc>
        <w:tc>
          <w:tcPr>
            <w:vMerge w:val="restart"/>
            <w:vAlign w:val="center"/>
          </w:tcPr>
          <w:p>
            <w:r>
              <w:t>南-默认立面</w:t>
            </w:r>
            <w:r>
              <w:br w:type="textWrapping"/>
            </w:r>
            <w:r>
              <w:t>484.20</w:t>
            </w:r>
          </w:p>
        </w:tc>
        <w:tc>
          <w:tcPr>
            <w:vAlign w:val="center"/>
          </w:tcPr>
          <w:p>
            <w:r>
              <w:t>C1526</w:t>
            </w:r>
          </w:p>
        </w:tc>
        <w:tc>
          <w:tcPr>
            <w:vAlign w:val="center"/>
          </w:tcPr>
          <w:p>
            <w:r>
              <w:t>1.50×2.60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70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273.00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2.20×3.00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211.20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</w:p>
        </w:tc>
        <w:tc>
          <w:tcPr>
            <w:vMerge w:val="restart"/>
            <w:vAlign w:val="center"/>
          </w:tcPr>
          <w:p>
            <w:r>
              <w:t>北-默认立面</w:t>
            </w:r>
            <w:r>
              <w:br w:type="textWrapping"/>
            </w:r>
            <w:r>
              <w:t>77.88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1.20×1.80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38.88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3.00×2.60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39.00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</w:p>
        </w:tc>
        <w:tc>
          <w:tcPr>
            <w:vMerge w:val="restart"/>
            <w:vAlign w:val="center"/>
          </w:tcPr>
          <w:p>
            <w:r>
              <w:t>东-默认立面</w:t>
            </w:r>
            <w:r>
              <w:br w:type="textWrapping"/>
            </w:r>
            <w:r>
              <w:t>767.40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1.20×1.80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10.80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3.00×2.60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97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756.60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西向</w:t>
            </w:r>
          </w:p>
        </w:tc>
        <w:tc>
          <w:tcPr>
            <w:vMerge w:val="restart"/>
            <w:vAlign w:val="center"/>
          </w:tcPr>
          <w:p>
            <w:r>
              <w:t>西-默认立面</w:t>
            </w:r>
            <w:r>
              <w:br w:type="textWrapping"/>
            </w:r>
            <w:r>
              <w:t>775.20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1.20×1.80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10.80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3.00×2.60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98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764.40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9" w:name="_Toc14697"/>
      <w:r>
        <w:rPr>
          <w:color w:val="000000"/>
          <w:kern w:val="2"/>
          <w:szCs w:val="24"/>
          <w:lang w:val="en-US"/>
        </w:rPr>
        <w:t>可见光透射比</w:t>
      </w:r>
      <w:bookmarkEnd w:id="3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88"/>
        <w:gridCol w:w="1131"/>
        <w:gridCol w:w="2088"/>
        <w:gridCol w:w="2009"/>
        <w:gridCol w:w="20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透射比限值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0.72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0.72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0.72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0.42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0.72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《公共建筑节能设计标准》(GB50189-2015)第3.2.4条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0" w:name="_Toc25040"/>
      <w:r>
        <w:rPr>
          <w:color w:val="000000"/>
          <w:kern w:val="2"/>
          <w:szCs w:val="24"/>
          <w:lang w:val="en-US"/>
        </w:rPr>
        <w:t>天窗</w:t>
      </w:r>
      <w:bookmarkEnd w:id="40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31860"/>
      <w:r>
        <w:rPr>
          <w:color w:val="000000"/>
          <w:kern w:val="2"/>
          <w:szCs w:val="24"/>
          <w:lang w:val="en-US"/>
        </w:rPr>
        <w:t>天窗屋顶比</w:t>
      </w:r>
      <w:bookmarkEnd w:id="41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10033"/>
      <w:r>
        <w:rPr>
          <w:color w:val="000000"/>
          <w:kern w:val="2"/>
          <w:szCs w:val="24"/>
          <w:lang w:val="en-US"/>
        </w:rPr>
        <w:t>天窗类型</w:t>
      </w:r>
      <w:bookmarkEnd w:id="42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21617"/>
      <w:r>
        <w:rPr>
          <w:color w:val="000000"/>
          <w:kern w:val="2"/>
          <w:szCs w:val="24"/>
          <w:lang w:val="en-US"/>
        </w:rPr>
        <w:t>屋顶构造</w:t>
      </w:r>
      <w:bookmarkEnd w:id="43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11262"/>
      <w:r>
        <w:rPr>
          <w:color w:val="000000"/>
          <w:kern w:val="2"/>
          <w:szCs w:val="24"/>
          <w:lang w:val="en-US"/>
        </w:rPr>
        <w:t>屋顶构造一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1.111</w:t>
            </w:r>
          </w:p>
        </w:tc>
        <w:tc>
          <w:tcPr>
            <w:vAlign w:val="center"/>
          </w:tcPr>
          <w:p>
            <w:r>
              <w:t>0.453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0.444</w:t>
            </w:r>
          </w:p>
        </w:tc>
        <w:tc>
          <w:tcPr>
            <w:vAlign w:val="center"/>
          </w:tcPr>
          <w:p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加气混凝土、泡沫混凝土(ρ=500)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0.190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0.526</w:t>
            </w:r>
          </w:p>
        </w:tc>
        <w:tc>
          <w:tcPr>
            <w:vAlign w:val="center"/>
          </w:tcPr>
          <w:p>
            <w:r>
              <w:t>1.417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420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2.224</w:t>
            </w:r>
          </w:p>
        </w:tc>
        <w:tc>
          <w:tcPr>
            <w:vAlign w:val="center"/>
          </w:tcPr>
          <w:p>
            <w:r>
              <w:t>5.335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K应满足表3.3.1-4的规定(K≤0.50)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4190"/>
      <w:r>
        <w:rPr>
          <w:color w:val="000000"/>
          <w:kern w:val="2"/>
          <w:szCs w:val="24"/>
          <w:lang w:val="en-US"/>
        </w:rPr>
        <w:t>外墙构造</w:t>
      </w:r>
      <w:bookmarkEnd w:id="45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18263"/>
      <w:r>
        <w:rPr>
          <w:color w:val="000000"/>
          <w:kern w:val="2"/>
          <w:szCs w:val="24"/>
          <w:lang w:val="en-US"/>
        </w:rPr>
        <w:t>外墙相关构造</w:t>
      </w:r>
      <w:bookmarkEnd w:id="46"/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1.667</w:t>
            </w:r>
          </w:p>
        </w:tc>
        <w:tc>
          <w:tcPr>
            <w:vAlign w:val="center"/>
          </w:tcPr>
          <w:p>
            <w:r>
              <w:t>0.680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1.849</w:t>
            </w:r>
          </w:p>
        </w:tc>
        <w:tc>
          <w:tcPr>
            <w:vAlign w:val="center"/>
          </w:tcPr>
          <w:p>
            <w:r>
              <w:t>3.395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0.50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18064"/>
      <w:r>
        <w:rPr>
          <w:color w:val="000000"/>
          <w:kern w:val="2"/>
          <w:szCs w:val="24"/>
          <w:lang w:val="en-US"/>
        </w:rPr>
        <w:t>外墙主断面传热系数的修正系数ψ</w:t>
      </w:r>
      <w:bookmarkEnd w:id="47"/>
    </w:p>
    <w:p>
      <w:pPr>
        <w:jc w:val="center"/>
        <w:rPr>
          <w:szCs w:val="21"/>
          <w:lang w:val="en-US"/>
        </w:rPr>
      </w:pPr>
      <w:r>
        <w:rPr>
          <w:szCs w:val="21"/>
          <w:lang w:val="en-US"/>
        </w:rPr>
        <w:drawing>
          <wp:inline distT="0" distB="0" distL="0" distR="0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7"/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11049"/>
      <w:r>
        <w:rPr>
          <w:color w:val="000000"/>
          <w:kern w:val="2"/>
          <w:szCs w:val="24"/>
          <w:lang w:val="en-US"/>
        </w:rPr>
        <w:t>外墙平均热工特性</w:t>
      </w:r>
      <w:bookmarkEnd w:id="48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891.78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3.40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0.50 × 1.10 = 0.55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1305.66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3.40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0.50 × 1.10 = 0.55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1087.09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3.40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0.50 × 1.10 = 0.55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1079.29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3.40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0.50 × 1.10 = 0.55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4363.81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3.40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0.50 × 1.10 = 0.55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K应满足表3.3.1-4的规定(K≤0.80)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10880"/>
      <w:r>
        <w:rPr>
          <w:color w:val="000000"/>
          <w:kern w:val="2"/>
          <w:szCs w:val="24"/>
          <w:lang w:val="en-US"/>
        </w:rPr>
        <w:t>挑空楼板构造</w:t>
      </w:r>
      <w:bookmarkEnd w:id="49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26946"/>
      <w:r>
        <w:rPr>
          <w:color w:val="000000"/>
          <w:kern w:val="2"/>
          <w:szCs w:val="24"/>
          <w:lang w:val="en-US"/>
        </w:rPr>
        <w:t>挑空楼板构造一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1.389</w:t>
            </w:r>
          </w:p>
        </w:tc>
        <w:tc>
          <w:tcPr>
            <w:vAlign w:val="center"/>
          </w:tcPr>
          <w:p>
            <w:r>
              <w:t>0.567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230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1.522</w:t>
            </w:r>
          </w:p>
        </w:tc>
        <w:tc>
          <w:tcPr>
            <w:vAlign w:val="center"/>
          </w:tcPr>
          <w:p>
            <w:r>
              <w:t>2.486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27163"/>
      <w:r>
        <w:rPr>
          <w:color w:val="000000"/>
          <w:kern w:val="2"/>
          <w:szCs w:val="24"/>
          <w:lang w:val="en-US"/>
        </w:rPr>
        <w:t>采暖地下室外墙构造</w:t>
      </w:r>
      <w:bookmarkEnd w:id="51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5606"/>
      <w:r>
        <w:rPr>
          <w:color w:val="000000"/>
          <w:kern w:val="2"/>
          <w:szCs w:val="24"/>
          <w:lang w:val="en-US"/>
        </w:rPr>
        <w:t>采暖、空调地下室地面</w:t>
      </w:r>
      <w:bookmarkEnd w:id="52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5744"/>
      <w:r>
        <w:rPr>
          <w:color w:val="000000"/>
          <w:kern w:val="2"/>
          <w:szCs w:val="24"/>
          <w:lang w:val="en-US"/>
        </w:rPr>
        <w:t>地面构造一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0.033</w:t>
            </w:r>
          </w:p>
        </w:tc>
        <w:tc>
          <w:tcPr>
            <w:vAlign w:val="center"/>
          </w:tcPr>
          <w:p>
            <w:r>
              <w:t>0.320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1.212</w:t>
            </w:r>
          </w:p>
        </w:tc>
        <w:tc>
          <w:tcPr>
            <w:vAlign w:val="center"/>
          </w:tcPr>
          <w:p>
            <w:r>
              <w:t>0.388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180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1.303</w:t>
            </w:r>
          </w:p>
        </w:tc>
        <w:tc>
          <w:tcPr>
            <w:vAlign w:val="center"/>
          </w:tcPr>
          <w:p>
            <w:r>
              <w:t>1.819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导热阻R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江苏省《公共建筑节能设计标准》（DGJ32/J96-2010）第3.4.1条，表3.4.1-6。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R≥1.2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7233"/>
      <w:r>
        <w:rPr>
          <w:color w:val="000000"/>
          <w:kern w:val="2"/>
          <w:szCs w:val="24"/>
          <w:lang w:val="en-US"/>
        </w:rPr>
        <w:t>地上采暖空调房间的地下室顶板</w:t>
      </w:r>
      <w:bookmarkEnd w:id="5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31473"/>
      <w:r>
        <w:rPr>
          <w:color w:val="000000"/>
          <w:kern w:val="2"/>
          <w:szCs w:val="24"/>
          <w:lang w:val="en-US"/>
        </w:rPr>
        <w:t>外窗热工</w:t>
      </w:r>
      <w:bookmarkEnd w:id="55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15142"/>
      <w:r>
        <w:rPr>
          <w:color w:val="000000"/>
          <w:kern w:val="2"/>
          <w:szCs w:val="24"/>
          <w:lang w:val="en-US"/>
        </w:rPr>
        <w:t>外窗构造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5高透Low-E+19空气+5透明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0.22</w:t>
            </w:r>
          </w:p>
        </w:tc>
        <w:tc>
          <w:tcPr>
            <w:vAlign w:val="center"/>
          </w:tcPr>
          <w:p>
            <w:r>
              <w:t>0.720</w:t>
            </w:r>
          </w:p>
        </w:tc>
        <w:tc>
          <w:tcPr>
            <w:vAlign w:val="center"/>
          </w:tcPr>
          <w:p>
            <w:r>
              <w:t>可见光透射比=0.72，tv、SC、Ug均百叶收拢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8104"/>
      <w:r>
        <w:rPr>
          <w:color w:val="000000"/>
          <w:kern w:val="2"/>
          <w:szCs w:val="24"/>
          <w:lang w:val="en-US"/>
        </w:rPr>
        <w:t>外遮阳类型</w:t>
      </w:r>
      <w:bookmarkEnd w:id="57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本工程无此内容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5365"/>
      <w:r>
        <w:rPr>
          <w:color w:val="000000"/>
          <w:kern w:val="2"/>
          <w:szCs w:val="24"/>
          <w:lang w:val="en-US"/>
        </w:rPr>
        <w:t>平均传热系数</w:t>
      </w:r>
      <w:bookmarkEnd w:id="58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C1526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70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273.000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6.600</w:t>
            </w:r>
          </w:p>
        </w:tc>
        <w:tc>
          <w:tcPr>
            <w:vAlign w:val="center"/>
          </w:tcPr>
          <w:p>
            <w:r>
              <w:t>211.200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484.200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2.160</w:t>
            </w:r>
          </w:p>
        </w:tc>
        <w:tc>
          <w:tcPr>
            <w:vAlign w:val="center"/>
          </w:tcPr>
          <w:p>
            <w:r>
              <w:t>38.880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7.800</w:t>
            </w:r>
          </w:p>
        </w:tc>
        <w:tc>
          <w:tcPr>
            <w:vAlign w:val="center"/>
          </w:tcPr>
          <w:p>
            <w:r>
              <w:t>39.000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77.880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2.160</w:t>
            </w:r>
          </w:p>
        </w:tc>
        <w:tc>
          <w:tcPr>
            <w:vAlign w:val="center"/>
          </w:tcPr>
          <w:p>
            <w:r>
              <w:t>10.800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97</w:t>
            </w:r>
          </w:p>
        </w:tc>
        <w:tc>
          <w:tcPr>
            <w:vAlign w:val="center"/>
          </w:tcPr>
          <w:p>
            <w:r>
              <w:t>7.800</w:t>
            </w:r>
          </w:p>
        </w:tc>
        <w:tc>
          <w:tcPr>
            <w:vAlign w:val="center"/>
          </w:tcPr>
          <w:p>
            <w:r>
              <w:t>756.600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767.400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2.160</w:t>
            </w:r>
          </w:p>
        </w:tc>
        <w:tc>
          <w:tcPr>
            <w:vAlign w:val="center"/>
          </w:tcPr>
          <w:p>
            <w:r>
              <w:t>10.800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98</w:t>
            </w:r>
          </w:p>
        </w:tc>
        <w:tc>
          <w:tcPr>
            <w:vAlign w:val="center"/>
          </w:tcPr>
          <w:p>
            <w:r>
              <w:t>7.800</w:t>
            </w:r>
          </w:p>
        </w:tc>
        <w:tc>
          <w:tcPr>
            <w:vAlign w:val="center"/>
          </w:tcPr>
          <w:p>
            <w:r>
              <w:t>764.400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775.200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9" w:name="_Toc22018"/>
      <w:r>
        <w:rPr>
          <w:color w:val="000000"/>
          <w:kern w:val="2"/>
          <w:szCs w:val="24"/>
          <w:lang w:val="en-US"/>
        </w:rPr>
        <w:t>综合太阳得热系数</w:t>
      </w:r>
      <w:bookmarkEnd w:id="59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C1526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70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273.000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6.600</w:t>
            </w:r>
          </w:p>
        </w:tc>
        <w:tc>
          <w:tcPr>
            <w:vAlign w:val="center"/>
          </w:tcPr>
          <w:p>
            <w:r>
              <w:t>211.200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484.200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0.218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2.160</w:t>
            </w:r>
          </w:p>
        </w:tc>
        <w:tc>
          <w:tcPr>
            <w:vAlign w:val="center"/>
          </w:tcPr>
          <w:p>
            <w:r>
              <w:t>38.880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7.800</w:t>
            </w:r>
          </w:p>
        </w:tc>
        <w:tc>
          <w:tcPr>
            <w:vAlign w:val="center"/>
          </w:tcPr>
          <w:p>
            <w:r>
              <w:t>39.000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77.880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0.218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2.160</w:t>
            </w:r>
          </w:p>
        </w:tc>
        <w:tc>
          <w:tcPr>
            <w:vAlign w:val="center"/>
          </w:tcPr>
          <w:p>
            <w:r>
              <w:t>10.800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97</w:t>
            </w:r>
          </w:p>
        </w:tc>
        <w:tc>
          <w:tcPr>
            <w:vAlign w:val="center"/>
          </w:tcPr>
          <w:p>
            <w:r>
              <w:t>7.800</w:t>
            </w:r>
          </w:p>
        </w:tc>
        <w:tc>
          <w:tcPr>
            <w:vAlign w:val="center"/>
          </w:tcPr>
          <w:p>
            <w:r>
              <w:t>756.600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767.400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0.218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2.160</w:t>
            </w:r>
          </w:p>
        </w:tc>
        <w:tc>
          <w:tcPr>
            <w:vAlign w:val="center"/>
          </w:tcPr>
          <w:p>
            <w:r>
              <w:t>10.800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98</w:t>
            </w:r>
          </w:p>
        </w:tc>
        <w:tc>
          <w:tcPr>
            <w:vAlign w:val="center"/>
          </w:tcPr>
          <w:p>
            <w:r>
              <w:t>7.800</w:t>
            </w:r>
          </w:p>
        </w:tc>
        <w:tc>
          <w:tcPr>
            <w:vAlign w:val="center"/>
          </w:tcPr>
          <w:p>
            <w:r>
              <w:t>764.400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775.200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0.218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0" w:name="_Toc21420"/>
      <w:r>
        <w:rPr>
          <w:color w:val="000000"/>
          <w:kern w:val="2"/>
          <w:szCs w:val="24"/>
          <w:lang w:val="en-US"/>
        </w:rPr>
        <w:t>总体热工性能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484.20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0.22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K≤2.60, SHGC≤0.40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77.88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0.22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t>K≤3.50, SHGC(不要求)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767.40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0.22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K≤2.40, SHGC≤0.35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775.20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0.22</w:t>
            </w:r>
          </w:p>
        </w:tc>
        <w:tc>
          <w:tcPr>
            <w:vAlign w:val="center"/>
          </w:tcPr>
          <w:p>
            <w:r>
              <w:t>0.42</w:t>
            </w:r>
          </w:p>
        </w:tc>
        <w:tc>
          <w:tcPr>
            <w:vAlign w:val="center"/>
          </w:tcPr>
          <w:p>
            <w:r>
              <w:t>K≤2.40, SHGC≤0.35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2104.68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0.22</w:t>
            </w:r>
          </w:p>
        </w:tc>
        <w:tc>
          <w:tcPr>
            <w:vAlign w:val="center"/>
          </w:tcPr>
          <w:p>
            <w:r>
              <w:t>0.32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7"/>
            <w:vAlign w:val="center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7"/>
            <w:vAlign w:val="center"/>
          </w:tcPr>
          <w:p>
            <w:r>
              <w:t>外窗传热系数和综合太阳得热系数满足表3.3.1-4的要求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1" w:name="_Toc27947"/>
      <w:r>
        <w:rPr>
          <w:color w:val="000000"/>
          <w:kern w:val="2"/>
          <w:szCs w:val="24"/>
          <w:lang w:val="en-US"/>
        </w:rPr>
        <w:t>有效通风换气面积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0"/>
        <w:gridCol w:w="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有效通风面积比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有效通风面积/外窗面积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有效通风面积/立面面积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restart"/>
            <w:vAlign w:val="center"/>
          </w:tcPr>
          <w:p>
            <w:r>
              <w:t>1</w:t>
            </w:r>
          </w:p>
        </w:tc>
        <w:tc>
          <w:tcPr>
            <w:vMerge w:val="restart"/>
            <w:vAlign w:val="center"/>
          </w:tcPr>
          <w:p>
            <w:r>
              <w:t>1023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134.27</w:t>
            </w:r>
          </w:p>
        </w:tc>
        <w:tc>
          <w:tcPr>
            <w:vMerge w:val="restart"/>
            <w:vAlign w:val="center"/>
          </w:tcPr>
          <w:p>
            <w:r>
              <w:t>144.55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0.03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1024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134.27</w:t>
            </w:r>
          </w:p>
        </w:tc>
        <w:tc>
          <w:tcPr>
            <w:vMerge w:val="restart"/>
            <w:vAlign w:val="center"/>
          </w:tcPr>
          <w:p>
            <w:r>
              <w:t>144.51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0.03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1062</w:t>
            </w:r>
          </w:p>
        </w:tc>
        <w:tc>
          <w:tcPr>
            <w:gridSpan w:val="2"/>
            <w:vAlign w:val="center"/>
          </w:tcPr>
          <w:p>
            <w:r>
              <w:t>30.37</w:t>
            </w:r>
          </w:p>
        </w:tc>
        <w:tc>
          <w:tcPr>
            <w:vAlign w:val="center"/>
          </w:tcPr>
          <w:p>
            <w:r>
              <w:t>24.15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1070</w:t>
            </w:r>
          </w:p>
        </w:tc>
        <w:tc>
          <w:tcPr>
            <w:gridSpan w:val="2"/>
            <w:vAlign w:val="center"/>
          </w:tcPr>
          <w:p>
            <w:r>
              <w:t>26.27</w:t>
            </w:r>
          </w:p>
        </w:tc>
        <w:tc>
          <w:tcPr>
            <w:vAlign w:val="center"/>
          </w:tcPr>
          <w:p>
            <w:r>
              <w:t>21.00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1080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20.85</w:t>
            </w:r>
          </w:p>
        </w:tc>
        <w:tc>
          <w:tcPr>
            <w:vMerge w:val="restart"/>
            <w:vAlign w:val="center"/>
          </w:tcPr>
          <w:p>
            <w:r>
              <w:t>48.28</w:t>
            </w:r>
          </w:p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1081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20.85</w:t>
            </w:r>
          </w:p>
        </w:tc>
        <w:tc>
          <w:tcPr>
            <w:vMerge w:val="restart"/>
            <w:vAlign w:val="center"/>
          </w:tcPr>
          <w:p>
            <w:r>
              <w:t>48.28</w:t>
            </w:r>
          </w:p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1088</w:t>
            </w:r>
          </w:p>
        </w:tc>
        <w:tc>
          <w:tcPr>
            <w:gridSpan w:val="2"/>
            <w:vAlign w:val="center"/>
          </w:tcPr>
          <w:p>
            <w:r>
              <w:t>19.43</w:t>
            </w:r>
          </w:p>
        </w:tc>
        <w:tc>
          <w:tcPr>
            <w:vAlign w:val="center"/>
          </w:tcPr>
          <w:p>
            <w:r>
              <w:t>15.75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0.04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restart"/>
            <w:vAlign w:val="center"/>
          </w:tcPr>
          <w:p>
            <w:r>
              <w:t>2</w:t>
            </w:r>
          </w:p>
        </w:tc>
        <w:tc>
          <w:tcPr>
            <w:vMerge w:val="restart"/>
            <w:vAlign w:val="center"/>
          </w:tcPr>
          <w:p>
            <w:r>
              <w:t>2029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123.53</w:t>
            </w:r>
          </w:p>
        </w:tc>
        <w:tc>
          <w:tcPr>
            <w:vMerge w:val="restart"/>
            <w:vAlign w:val="center"/>
          </w:tcPr>
          <w:p>
            <w:r>
              <w:t>112.69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0.06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2031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123.34</w:t>
            </w:r>
          </w:p>
        </w:tc>
        <w:tc>
          <w:tcPr>
            <w:vMerge w:val="restart"/>
            <w:vAlign w:val="center"/>
          </w:tcPr>
          <w:p>
            <w:r>
              <w:t>112.62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0.06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2058</w:t>
            </w:r>
          </w:p>
        </w:tc>
        <w:tc>
          <w:tcPr>
            <w:gridSpan w:val="2"/>
            <w:vAlign w:val="center"/>
          </w:tcPr>
          <w:p>
            <w:r>
              <w:t>64.04</w:t>
            </w:r>
          </w:p>
        </w:tc>
        <w:tc>
          <w:tcPr>
            <w:vAlign w:val="center"/>
          </w:tcPr>
          <w:p>
            <w:r>
              <w:t>49.84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2063</w:t>
            </w:r>
          </w:p>
        </w:tc>
        <w:tc>
          <w:tcPr>
            <w:gridSpan w:val="2"/>
            <w:vAlign w:val="center"/>
          </w:tcPr>
          <w:p>
            <w:r>
              <w:t>30.37</w:t>
            </w:r>
          </w:p>
        </w:tc>
        <w:tc>
          <w:tcPr>
            <w:vAlign w:val="center"/>
          </w:tcPr>
          <w:p>
            <w:r>
              <w:t>24.15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2068</w:t>
            </w:r>
          </w:p>
        </w:tc>
        <w:tc>
          <w:tcPr>
            <w:gridSpan w:val="2"/>
            <w:vAlign w:val="center"/>
          </w:tcPr>
          <w:p>
            <w:r>
              <w:t>26.27</w:t>
            </w:r>
          </w:p>
        </w:tc>
        <w:tc>
          <w:tcPr>
            <w:vAlign w:val="center"/>
          </w:tcPr>
          <w:p>
            <w:r>
              <w:t>21.00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2078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20.85</w:t>
            </w:r>
          </w:p>
        </w:tc>
        <w:tc>
          <w:tcPr>
            <w:vMerge w:val="restart"/>
            <w:vAlign w:val="center"/>
          </w:tcPr>
          <w:p>
            <w:r>
              <w:t>48.28</w:t>
            </w:r>
          </w:p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2083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20.85</w:t>
            </w:r>
          </w:p>
        </w:tc>
        <w:tc>
          <w:tcPr>
            <w:vMerge w:val="restart"/>
            <w:vAlign w:val="center"/>
          </w:tcPr>
          <w:p>
            <w:r>
              <w:t>48.28</w:t>
            </w:r>
          </w:p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2091</w:t>
            </w:r>
          </w:p>
        </w:tc>
        <w:tc>
          <w:tcPr>
            <w:gridSpan w:val="2"/>
            <w:vAlign w:val="center"/>
          </w:tcPr>
          <w:p>
            <w:r>
              <w:t>19.43</w:t>
            </w:r>
          </w:p>
        </w:tc>
        <w:tc>
          <w:tcPr>
            <w:vAlign w:val="center"/>
          </w:tcPr>
          <w:p>
            <w:r>
              <w:t>15.75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0.04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2092</w:t>
            </w:r>
          </w:p>
        </w:tc>
        <w:tc>
          <w:tcPr>
            <w:gridSpan w:val="2"/>
            <w:vAlign w:val="center"/>
          </w:tcPr>
          <w:p>
            <w:r>
              <w:t>17.09</w:t>
            </w:r>
          </w:p>
        </w:tc>
        <w:tc>
          <w:tcPr>
            <w:vAlign w:val="center"/>
          </w:tcPr>
          <w:p>
            <w:r>
              <w:t>36.05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0.02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2094</w:t>
            </w:r>
          </w:p>
        </w:tc>
        <w:tc>
          <w:tcPr>
            <w:gridSpan w:val="2"/>
            <w:vAlign w:val="center"/>
          </w:tcPr>
          <w:p>
            <w:r>
              <w:t>17.09</w:t>
            </w:r>
          </w:p>
        </w:tc>
        <w:tc>
          <w:tcPr>
            <w:vAlign w:val="center"/>
          </w:tcPr>
          <w:p>
            <w:r>
              <w:t>36.05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0.02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restart"/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3060</w:t>
            </w:r>
          </w:p>
        </w:tc>
        <w:tc>
          <w:tcPr>
            <w:gridSpan w:val="2"/>
            <w:vAlign w:val="center"/>
          </w:tcPr>
          <w:p>
            <w:r>
              <w:t>64.04</w:t>
            </w:r>
          </w:p>
        </w:tc>
        <w:tc>
          <w:tcPr>
            <w:vAlign w:val="center"/>
          </w:tcPr>
          <w:p>
            <w:r>
              <w:t>49.84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3065</w:t>
            </w:r>
          </w:p>
        </w:tc>
        <w:tc>
          <w:tcPr>
            <w:gridSpan w:val="2"/>
            <w:vAlign w:val="center"/>
          </w:tcPr>
          <w:p>
            <w:r>
              <w:t>30.37</w:t>
            </w:r>
          </w:p>
        </w:tc>
        <w:tc>
          <w:tcPr>
            <w:vAlign w:val="center"/>
          </w:tcPr>
          <w:p>
            <w:r>
              <w:t>24.15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3071</w:t>
            </w:r>
          </w:p>
        </w:tc>
        <w:tc>
          <w:tcPr>
            <w:gridSpan w:val="2"/>
            <w:vAlign w:val="center"/>
          </w:tcPr>
          <w:p>
            <w:r>
              <w:t>26.27</w:t>
            </w:r>
          </w:p>
        </w:tc>
        <w:tc>
          <w:tcPr>
            <w:vAlign w:val="center"/>
          </w:tcPr>
          <w:p>
            <w:r>
              <w:t>21.00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3077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20.85</w:t>
            </w:r>
          </w:p>
        </w:tc>
        <w:tc>
          <w:tcPr>
            <w:vMerge w:val="restart"/>
            <w:vAlign w:val="center"/>
          </w:tcPr>
          <w:p>
            <w:r>
              <w:t>48.28</w:t>
            </w:r>
          </w:p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3084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20.85</w:t>
            </w:r>
          </w:p>
        </w:tc>
        <w:tc>
          <w:tcPr>
            <w:vMerge w:val="restart"/>
            <w:vAlign w:val="center"/>
          </w:tcPr>
          <w:p>
            <w:r>
              <w:t>48.28</w:t>
            </w:r>
          </w:p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3089</w:t>
            </w:r>
          </w:p>
        </w:tc>
        <w:tc>
          <w:tcPr>
            <w:gridSpan w:val="2"/>
            <w:vAlign w:val="center"/>
          </w:tcPr>
          <w:p>
            <w:r>
              <w:t>19.43</w:t>
            </w:r>
          </w:p>
        </w:tc>
        <w:tc>
          <w:tcPr>
            <w:vAlign w:val="center"/>
          </w:tcPr>
          <w:p>
            <w:r>
              <w:t>15.75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0.04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3096</w:t>
            </w:r>
          </w:p>
        </w:tc>
        <w:tc>
          <w:tcPr>
            <w:gridSpan w:val="2"/>
            <w:vAlign w:val="center"/>
          </w:tcPr>
          <w:p>
            <w:r>
              <w:t>17.09</w:t>
            </w:r>
          </w:p>
        </w:tc>
        <w:tc>
          <w:tcPr>
            <w:vAlign w:val="center"/>
          </w:tcPr>
          <w:p>
            <w:r>
              <w:t>8.75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0.07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3099</w:t>
            </w:r>
          </w:p>
        </w:tc>
        <w:tc>
          <w:tcPr>
            <w:gridSpan w:val="2"/>
            <w:vAlign w:val="center"/>
          </w:tcPr>
          <w:p>
            <w:r>
              <w:t>17.09</w:t>
            </w:r>
          </w:p>
        </w:tc>
        <w:tc>
          <w:tcPr>
            <w:vAlign w:val="center"/>
          </w:tcPr>
          <w:p>
            <w:r>
              <w:t>8.75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0.07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restart"/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4061</w:t>
            </w:r>
          </w:p>
        </w:tc>
        <w:tc>
          <w:tcPr>
            <w:gridSpan w:val="2"/>
            <w:vAlign w:val="center"/>
          </w:tcPr>
          <w:p>
            <w:r>
              <w:t>64.04</w:t>
            </w:r>
          </w:p>
        </w:tc>
        <w:tc>
          <w:tcPr>
            <w:vAlign w:val="center"/>
          </w:tcPr>
          <w:p>
            <w:r>
              <w:t>49.84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4066</w:t>
            </w:r>
          </w:p>
        </w:tc>
        <w:tc>
          <w:tcPr>
            <w:gridSpan w:val="2"/>
            <w:vAlign w:val="center"/>
          </w:tcPr>
          <w:p>
            <w:r>
              <w:t>30.37</w:t>
            </w:r>
          </w:p>
        </w:tc>
        <w:tc>
          <w:tcPr>
            <w:vAlign w:val="center"/>
          </w:tcPr>
          <w:p>
            <w:r>
              <w:t>24.15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4072</w:t>
            </w:r>
          </w:p>
        </w:tc>
        <w:tc>
          <w:tcPr>
            <w:gridSpan w:val="2"/>
            <w:vAlign w:val="center"/>
          </w:tcPr>
          <w:p>
            <w:r>
              <w:t>26.27</w:t>
            </w:r>
          </w:p>
        </w:tc>
        <w:tc>
          <w:tcPr>
            <w:vAlign w:val="center"/>
          </w:tcPr>
          <w:p>
            <w:r>
              <w:t>21.00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4075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20.85</w:t>
            </w:r>
          </w:p>
        </w:tc>
        <w:tc>
          <w:tcPr>
            <w:vMerge w:val="restart"/>
            <w:vAlign w:val="center"/>
          </w:tcPr>
          <w:p>
            <w:r>
              <w:t>48.28</w:t>
            </w:r>
          </w:p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4076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20.85</w:t>
            </w:r>
          </w:p>
        </w:tc>
        <w:tc>
          <w:tcPr>
            <w:vMerge w:val="restart"/>
            <w:vAlign w:val="center"/>
          </w:tcPr>
          <w:p>
            <w:r>
              <w:t>48.28</w:t>
            </w:r>
          </w:p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4086</w:t>
            </w:r>
          </w:p>
        </w:tc>
        <w:tc>
          <w:tcPr>
            <w:gridSpan w:val="2"/>
            <w:vAlign w:val="center"/>
          </w:tcPr>
          <w:p>
            <w:r>
              <w:t>19.43</w:t>
            </w:r>
          </w:p>
        </w:tc>
        <w:tc>
          <w:tcPr>
            <w:vAlign w:val="center"/>
          </w:tcPr>
          <w:p>
            <w:r>
              <w:t>15.75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0.04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4093</w:t>
            </w:r>
          </w:p>
        </w:tc>
        <w:tc>
          <w:tcPr>
            <w:gridSpan w:val="2"/>
            <w:vAlign w:val="center"/>
          </w:tcPr>
          <w:p>
            <w:r>
              <w:t>17.09</w:t>
            </w:r>
          </w:p>
        </w:tc>
        <w:tc>
          <w:tcPr>
            <w:vAlign w:val="center"/>
          </w:tcPr>
          <w:p>
            <w:r>
              <w:t>8.75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0.07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4100</w:t>
            </w:r>
          </w:p>
        </w:tc>
        <w:tc>
          <w:tcPr>
            <w:gridSpan w:val="2"/>
            <w:vAlign w:val="center"/>
          </w:tcPr>
          <w:p>
            <w:r>
              <w:t>17.09</w:t>
            </w:r>
          </w:p>
        </w:tc>
        <w:tc>
          <w:tcPr>
            <w:vAlign w:val="center"/>
          </w:tcPr>
          <w:p>
            <w:r>
              <w:t>8.75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0.07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restart"/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5057</w:t>
            </w:r>
          </w:p>
        </w:tc>
        <w:tc>
          <w:tcPr>
            <w:gridSpan w:val="2"/>
            <w:vAlign w:val="center"/>
          </w:tcPr>
          <w:p>
            <w:r>
              <w:t>64.04</w:t>
            </w:r>
          </w:p>
        </w:tc>
        <w:tc>
          <w:tcPr>
            <w:vAlign w:val="center"/>
          </w:tcPr>
          <w:p>
            <w:r>
              <w:t>49.84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5067</w:t>
            </w:r>
          </w:p>
        </w:tc>
        <w:tc>
          <w:tcPr>
            <w:gridSpan w:val="2"/>
            <w:vAlign w:val="center"/>
          </w:tcPr>
          <w:p>
            <w:r>
              <w:t>30.37</w:t>
            </w:r>
          </w:p>
        </w:tc>
        <w:tc>
          <w:tcPr>
            <w:vAlign w:val="center"/>
          </w:tcPr>
          <w:p>
            <w:r>
              <w:t>24.15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5073</w:t>
            </w:r>
          </w:p>
        </w:tc>
        <w:tc>
          <w:tcPr>
            <w:gridSpan w:val="2"/>
            <w:vAlign w:val="center"/>
          </w:tcPr>
          <w:p>
            <w:r>
              <w:t>26.27</w:t>
            </w:r>
          </w:p>
        </w:tc>
        <w:tc>
          <w:tcPr>
            <w:vAlign w:val="center"/>
          </w:tcPr>
          <w:p>
            <w:r>
              <w:t>21.00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5074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20.85</w:t>
            </w:r>
          </w:p>
        </w:tc>
        <w:tc>
          <w:tcPr>
            <w:vMerge w:val="restart"/>
            <w:vAlign w:val="center"/>
          </w:tcPr>
          <w:p>
            <w:r>
              <w:t>48.28</w:t>
            </w:r>
          </w:p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5085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20.85</w:t>
            </w:r>
          </w:p>
        </w:tc>
        <w:tc>
          <w:tcPr>
            <w:vMerge w:val="restart"/>
            <w:vAlign w:val="center"/>
          </w:tcPr>
          <w:p>
            <w:r>
              <w:t>48.28</w:t>
            </w:r>
          </w:p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5090</w:t>
            </w:r>
          </w:p>
        </w:tc>
        <w:tc>
          <w:tcPr>
            <w:gridSpan w:val="2"/>
            <w:vAlign w:val="center"/>
          </w:tcPr>
          <w:p>
            <w:r>
              <w:t>19.43</w:t>
            </w:r>
          </w:p>
        </w:tc>
        <w:tc>
          <w:tcPr>
            <w:vAlign w:val="center"/>
          </w:tcPr>
          <w:p>
            <w:r>
              <w:t>15.75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0.04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5097</w:t>
            </w:r>
          </w:p>
        </w:tc>
        <w:tc>
          <w:tcPr>
            <w:gridSpan w:val="2"/>
            <w:vAlign w:val="center"/>
          </w:tcPr>
          <w:p>
            <w:r>
              <w:t>17.09</w:t>
            </w:r>
          </w:p>
        </w:tc>
        <w:tc>
          <w:tcPr>
            <w:vAlign w:val="center"/>
          </w:tcPr>
          <w:p>
            <w:r>
              <w:t>8.75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0.07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5101</w:t>
            </w:r>
          </w:p>
        </w:tc>
        <w:tc>
          <w:tcPr>
            <w:gridSpan w:val="2"/>
            <w:vAlign w:val="center"/>
          </w:tcPr>
          <w:p>
            <w:r>
              <w:t>17.09</w:t>
            </w:r>
          </w:p>
        </w:tc>
        <w:tc>
          <w:tcPr>
            <w:vAlign w:val="center"/>
          </w:tcPr>
          <w:p>
            <w:r>
              <w:t>8.75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0.07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restart"/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6059</w:t>
            </w:r>
          </w:p>
        </w:tc>
        <w:tc>
          <w:tcPr>
            <w:gridSpan w:val="2"/>
            <w:vAlign w:val="center"/>
          </w:tcPr>
          <w:p>
            <w:r>
              <w:t>64.04</w:t>
            </w:r>
          </w:p>
        </w:tc>
        <w:tc>
          <w:tcPr>
            <w:vAlign w:val="center"/>
          </w:tcPr>
          <w:p>
            <w:r>
              <w:t>49.84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6064</w:t>
            </w:r>
          </w:p>
        </w:tc>
        <w:tc>
          <w:tcPr>
            <w:gridSpan w:val="2"/>
            <w:vAlign w:val="center"/>
          </w:tcPr>
          <w:p>
            <w:r>
              <w:t>30.37</w:t>
            </w:r>
          </w:p>
        </w:tc>
        <w:tc>
          <w:tcPr>
            <w:vAlign w:val="center"/>
          </w:tcPr>
          <w:p>
            <w:r>
              <w:t>24.15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6069</w:t>
            </w:r>
          </w:p>
        </w:tc>
        <w:tc>
          <w:tcPr>
            <w:gridSpan w:val="2"/>
            <w:vAlign w:val="center"/>
          </w:tcPr>
          <w:p>
            <w:r>
              <w:t>26.27</w:t>
            </w:r>
          </w:p>
        </w:tc>
        <w:tc>
          <w:tcPr>
            <w:vAlign w:val="center"/>
          </w:tcPr>
          <w:p>
            <w:r>
              <w:t>21.00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6079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20.85</w:t>
            </w:r>
          </w:p>
        </w:tc>
        <w:tc>
          <w:tcPr>
            <w:vMerge w:val="restart"/>
            <w:vAlign w:val="center"/>
          </w:tcPr>
          <w:p>
            <w:r>
              <w:t>48.28</w:t>
            </w:r>
          </w:p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6082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20.85</w:t>
            </w:r>
          </w:p>
        </w:tc>
        <w:tc>
          <w:tcPr>
            <w:vMerge w:val="restart"/>
            <w:vAlign w:val="center"/>
          </w:tcPr>
          <w:p>
            <w:r>
              <w:t>48.28</w:t>
            </w:r>
          </w:p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6087</w:t>
            </w:r>
          </w:p>
        </w:tc>
        <w:tc>
          <w:tcPr>
            <w:gridSpan w:val="2"/>
            <w:vAlign w:val="center"/>
          </w:tcPr>
          <w:p>
            <w:r>
              <w:t>19.43</w:t>
            </w:r>
          </w:p>
        </w:tc>
        <w:tc>
          <w:tcPr>
            <w:vAlign w:val="center"/>
          </w:tcPr>
          <w:p>
            <w:r>
              <w:t>15.75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0.04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6095</w:t>
            </w:r>
          </w:p>
        </w:tc>
        <w:tc>
          <w:tcPr>
            <w:gridSpan w:val="2"/>
            <w:vAlign w:val="center"/>
          </w:tcPr>
          <w:p>
            <w:r>
              <w:t>17.09</w:t>
            </w:r>
          </w:p>
        </w:tc>
        <w:tc>
          <w:tcPr>
            <w:vAlign w:val="center"/>
          </w:tcPr>
          <w:p>
            <w:r>
              <w:t>8.75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0.07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6098</w:t>
            </w:r>
          </w:p>
        </w:tc>
        <w:tc>
          <w:tcPr>
            <w:gridSpan w:val="2"/>
            <w:vAlign w:val="center"/>
          </w:tcPr>
          <w:p>
            <w:r>
              <w:t>17.09</w:t>
            </w:r>
          </w:p>
        </w:tc>
        <w:tc>
          <w:tcPr>
            <w:vAlign w:val="center"/>
          </w:tcPr>
          <w:p>
            <w:r>
              <w:t>8.75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0.07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gridSpan w:val="10"/>
            <w:vAlign w:val="center"/>
          </w:tcPr>
          <w:p>
            <w:r>
              <w:t>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10"/>
            <w:vAlign w:val="center"/>
          </w:tcPr>
          <w:p>
            <w:r>
              <w:t>《公共建筑节能设计标准》(GB50189-2015)第3.2.8条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10"/>
            <w:vAlign w:val="center"/>
          </w:tcPr>
          <w:p>
            <w:r>
              <w:t xml:space="preserve">甲类建筑外窗有效通风换气面积不宜小于所在房间立面面积的10%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10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2" w:name="_Toc10851"/>
      <w:r>
        <w:rPr>
          <w:color w:val="000000"/>
          <w:kern w:val="2"/>
          <w:szCs w:val="24"/>
          <w:lang w:val="en-US"/>
        </w:rPr>
        <w:t>非中空窗面积比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484.20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77.88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767.40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775.20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5"/>
            <w:vAlign w:val="center"/>
          </w:tcPr>
          <w:p>
            <w:r>
              <w:t>《公共建筑节能设计标准》(GB50189-2015)第3.3.7条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  <w:vAlign w:val="center"/>
          </w:tcPr>
          <w:p>
            <w:r>
              <w:t>非中空玻璃的面积不应超过同一立面透光面积的15%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3" w:name="_Toc21006"/>
      <w:r>
        <w:rPr>
          <w:color w:val="000000"/>
          <w:kern w:val="2"/>
          <w:szCs w:val="24"/>
          <w:lang w:val="en-US"/>
        </w:rPr>
        <w:t>外窗气密性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4"/>
        <w:gridCol w:w="35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层数</w:t>
            </w:r>
          </w:p>
        </w:tc>
        <w:tc>
          <w:tcPr>
            <w:vAlign w:val="center"/>
          </w:tcPr>
          <w:p>
            <w:r>
              <w:t>1～9层</w:t>
            </w:r>
          </w:p>
        </w:tc>
        <w:tc>
          <w:tcPr>
            <w:vAlign w:val="center"/>
          </w:tcPr>
          <w:p>
            <w:r>
              <w:t>10层以上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  <w:tc>
          <w:tcPr>
            <w:vAlign w:val="center"/>
          </w:tcPr>
          <w:p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10层以下外窗气密性不应低于《建筑外门窗气密、水密、抗风压性能分级及检测方法》（GB/T 7106-2008）的6级</w:t>
            </w:r>
          </w:p>
        </w:tc>
        <w:tc>
          <w:tcPr>
            <w:vAlign w:val="center"/>
          </w:tcPr>
          <w:p>
            <w:r>
              <w:t>10层及以上外窗气密性不应低于《建筑外门窗气密、水密、抗风压性能分级及检测方法》（GB/T 7106-2008）的7级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4" w:name="_Toc1989"/>
      <w:r>
        <w:rPr>
          <w:color w:val="000000"/>
          <w:kern w:val="2"/>
          <w:szCs w:val="24"/>
          <w:lang w:val="en-US"/>
        </w:rPr>
        <w:t>幕墙气密性</w:t>
      </w:r>
      <w:bookmarkEnd w:id="6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幕墙气密性措施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vAlign w:val="center"/>
          </w:tcPr>
          <w:p>
            <w:r>
              <w:t>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《公共建筑节能设计标准》(GB50189-2015)第3.3.6条，《建筑幕墙》（GB/T 21086-2007）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幕墙气密性不应低于《建筑幕墙》（GB/T 21086-2007）的3级，即《建筑幕墙物理性能分级》(GB/T15225-94)的3级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5" w:name="_Toc16492"/>
      <w:r>
        <w:rPr>
          <w:color w:val="000000"/>
          <w:kern w:val="2"/>
          <w:szCs w:val="24"/>
          <w:lang w:val="en-US"/>
        </w:rPr>
        <w:t>规定性指标检查结论</w:t>
      </w:r>
      <w:bookmarkEnd w:id="6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窗墙比</w:t>
            </w:r>
          </w:p>
        </w:tc>
        <w:tc>
          <w:tcPr>
            <w:vAlign w:val="center"/>
          </w:tcPr>
          <w:p>
            <w:r>
              <w:t>适宜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可见光透射比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天窗类型</w:t>
            </w:r>
          </w:p>
        </w:tc>
        <w:tc>
          <w:tcPr>
            <w:vAlign w:val="center"/>
          </w:tcPr>
          <w:p>
            <w:r>
              <w:t>无屋顶透光部分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屋顶构造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外墙构造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挑空楼板构造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采暖、空调地下室地面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外窗热工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有效通风换气面积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非中空窗面积比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外窗气密性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幕墙气密性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《公共建筑节能设计标准》》(GB50189-2015)的要求。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4C1052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1DBA26D7"/>
    <w:rsid w:val="49C17E19"/>
    <w:rsid w:val="4F4C1052"/>
    <w:rsid w:val="675A341D"/>
    <w:rsid w:val="797C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1.png"/><Relationship Id="rId15" Type="http://schemas.openxmlformats.org/officeDocument/2006/relationships/image" Target="media/image10.wmf"/><Relationship Id="rId14" Type="http://schemas.openxmlformats.org/officeDocument/2006/relationships/image" Target="media/image9.wmf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1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tmp16.dotx</Template>
  <Pages>22</Pages>
  <Words>6302</Words>
  <Characters>10721</Characters>
  <Lines>42</Lines>
  <Paragraphs>12</Paragraphs>
  <TotalTime>0</TotalTime>
  <ScaleCrop>false</ScaleCrop>
  <LinksUpToDate>false</LinksUpToDate>
  <CharactersWithSpaces>10982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2020-12-31T13:32:00Z</dcterms:created>
  <dc:creator>换位思考LINDA</dc:creator>
  <cp:lastModifiedBy>换位思考LINDA</cp:lastModifiedBy>
  <dcterms:modified xsi:type="dcterms:W3CDTF">2021-01-05T08:42:50Z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