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jc w:val="both"/>
        <w:rPr>
          <w:rFonts w:hint="default" w:ascii="Times New Roman" w:hAnsi="Times New Roman" w:cs="Times New Roman"/>
          <w:color w:val="000000"/>
        </w:rPr>
      </w:pPr>
      <w:bookmarkStart w:id="0" w:name="_Toc14357"/>
      <w:r>
        <w:rPr>
          <w:rFonts w:hint="default" w:ascii="Times New Roman" w:hAnsi="Times New Roman" w:cs="Times New Roman"/>
          <w:color w:val="000000"/>
        </w:rPr>
        <w:t>计算结果</w:t>
      </w:r>
      <w:bookmarkEnd w:id="0"/>
    </w:p>
    <w:p>
      <w:pPr>
        <w:pStyle w:val="4"/>
        <w:widowControl w:val="0"/>
        <w:rPr>
          <w:rFonts w:hint="default" w:ascii="Times New Roman" w:hAnsi="Times New Roman" w:cs="Times New Roman"/>
        </w:rPr>
      </w:pPr>
      <w:bookmarkStart w:id="1" w:name="_Toc16103"/>
      <w:r>
        <w:rPr>
          <w:rFonts w:hint="default" w:ascii="Times New Roman" w:hAnsi="Times New Roman" w:cs="Times New Roman"/>
        </w:rPr>
        <w:t>逐月电耗</w:t>
      </w:r>
      <w:bookmarkEnd w:id="1"/>
    </w:p>
    <w:p>
      <w:pPr>
        <w:widowControl w:val="0"/>
        <w:jc w:val="center"/>
        <w:rPr>
          <w:rFonts w:hint="default" w:ascii="Times New Roman" w:hAnsi="Times New Roman" w:eastAsia="宋体" w:cs="Times New Roman"/>
          <w:color w:val="00000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lang w:eastAsia="zh-CN"/>
        </w:rPr>
        <w:t>表</w:t>
      </w:r>
      <w:r>
        <w:rPr>
          <w:rFonts w:hint="eastAsia" w:eastAsia="黑体" w:cs="Times New Roman"/>
          <w:color w:val="000000"/>
          <w:lang w:val="en-US" w:eastAsia="zh-CN"/>
        </w:rPr>
        <w:t>1-1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lang w:eastAsia="zh-CN"/>
        </w:rPr>
        <w:t>优化改造后各项目月电耗</w:t>
      </w:r>
    </w:p>
    <w:tbl>
      <w:tblPr>
        <w:tblStyle w:val="18"/>
        <w:tblW w:w="933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月</w:t>
            </w:r>
          </w:p>
        </w:tc>
        <w:tc>
          <w:tcPr>
            <w:tcW w:w="1149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供冷</w:t>
            </w:r>
          </w:p>
        </w:tc>
        <w:tc>
          <w:tcPr>
            <w:tcW w:w="1149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供暖</w:t>
            </w:r>
          </w:p>
        </w:tc>
        <w:tc>
          <w:tcPr>
            <w:tcW w:w="1149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空调风机</w:t>
            </w:r>
          </w:p>
        </w:tc>
        <w:tc>
          <w:tcPr>
            <w:tcW w:w="1149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照明</w:t>
            </w:r>
          </w:p>
        </w:tc>
        <w:tc>
          <w:tcPr>
            <w:tcW w:w="1149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插座设备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排风机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电梯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1.02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－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－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1.26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0.91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1.02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1.36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0.99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1.74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2.83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1.02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2.02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2.74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1.35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0.98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2.60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2.83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1.03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2.41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2.83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1.02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2.14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2.74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1.36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0.98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1.35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2.83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1.01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1.36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0.99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1.41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1.02</w:t>
            </w: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合计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12.27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16.80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16.53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12.00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0.52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5.16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2"/>
        </w:rPr>
      </w:pPr>
      <w:bookmarkStart w:id="2" w:name="_Toc30898"/>
      <w:r>
        <w:rPr>
          <w:rFonts w:hint="default" w:ascii="Times New Roman" w:hAnsi="Times New Roman" w:cs="Times New Roman"/>
          <w:color w:val="000000"/>
          <w:sz w:val="24"/>
          <w:szCs w:val="22"/>
        </w:rPr>
        <w:t>注:供冷供暖为冷热源及输配水泵电耗，热水为扣减太阳能后电耗，所有数据单位kWh/㎡。</w:t>
      </w:r>
    </w:p>
    <w:p>
      <w:pPr>
        <w:pStyle w:val="4"/>
        <w:widowContro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全年能耗</w:t>
      </w:r>
      <w:bookmarkEnd w:id="2"/>
    </w:p>
    <w:p>
      <w:pPr>
        <w:widowControl w:val="0"/>
        <w:jc w:val="center"/>
        <w:rPr>
          <w:rFonts w:hint="default" w:ascii="Times New Roman" w:hAnsi="Times New Roman" w:eastAsia="黑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lang w:eastAsia="zh-CN"/>
        </w:rPr>
        <w:t>表</w:t>
      </w:r>
      <w:r>
        <w:rPr>
          <w:rFonts w:hint="eastAsia" w:eastAsia="黑体" w:cs="Times New Roman"/>
          <w:color w:val="000000"/>
          <w:lang w:val="en-US" w:eastAsia="zh-CN"/>
        </w:rPr>
        <w:t>1-2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 xml:space="preserve"> 改造前后全年能耗</w:t>
      </w:r>
    </w:p>
    <w:tbl>
      <w:tblPr>
        <w:tblStyle w:val="18"/>
        <w:tblW w:w="93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2735"/>
        <w:gridCol w:w="2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能耗分类</w:t>
            </w:r>
          </w:p>
        </w:tc>
        <w:tc>
          <w:tcPr>
            <w:tcW w:w="2267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能耗子类</w:t>
            </w:r>
          </w:p>
        </w:tc>
        <w:tc>
          <w:tcPr>
            <w:tcW w:w="2735" w:type="dxa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改造前</w:t>
            </w:r>
            <w:r>
              <w:rPr>
                <w:rFonts w:hint="default" w:ascii="Times New Roman" w:hAnsi="Times New Roman" w:cs="Times New Roman"/>
                <w:lang w:val="en-US"/>
              </w:rPr>
              <w:t>设计建筑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(kWh/㎡)</w:t>
            </w:r>
          </w:p>
        </w:tc>
        <w:tc>
          <w:tcPr>
            <w:tcW w:w="2787" w:type="dxa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改造后</w:t>
            </w:r>
            <w:r>
              <w:rPr>
                <w:rFonts w:hint="default" w:ascii="Times New Roman" w:hAnsi="Times New Roman" w:cs="Times New Roman"/>
                <w:lang w:val="en-US"/>
              </w:rPr>
              <w:t>设计建筑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(kWh/㎡)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建筑负荷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耗冷量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69.14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47.25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耗热量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冷热合计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69</w:t>
            </w:r>
            <w:bookmarkStart w:id="4" w:name="_GoBack"/>
            <w:bookmarkEnd w:id="4"/>
            <w:r>
              <w:rPr>
                <w:rFonts w:hint="default" w:ascii="Times New Roman" w:hAnsi="Times New Roman" w:cs="Times New Roman"/>
                <w:lang w:val="en-US"/>
              </w:rPr>
              <w:t>.14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47.25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热回收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供冷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14.03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供暖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冷热合计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14.03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供冷电耗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(Ec)</w:t>
            </w:r>
          </w:p>
        </w:tc>
        <w:tc>
          <w:tcPr>
            <w:tcW w:w="22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中央冷源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12.10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8.27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冷却水泵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冷冻水泵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8.19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4.00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其他电耗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多联机/单元式空调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供冷合计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20.29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12.27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供暖电耗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(Eh)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中央热源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供暖水泵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多联机/单元式热泵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供暖合计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风机电耗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(Ef)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新风系统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0.54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排风系统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0.09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风机盘管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1.50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多联机室内机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全空气系统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24.96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15.19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风机合计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27.09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17.05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其他电耗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(Eo)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照明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21.35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16.53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插座设备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12.00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12.00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电梯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5.16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5.16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排风机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0.52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生活热水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其他合计</w:t>
            </w:r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39.03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34.20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6" w:type="dxa"/>
            <w:gridSpan w:val="2"/>
            <w:shd w:val="clear" w:color="auto" w:fill="E0E0E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bookmarkStart w:id="3" w:name="建筑总能耗列名"/>
            <w:r>
              <w:rPr>
                <w:rFonts w:hint="default" w:ascii="Times New Roman" w:hAnsi="Times New Roman" w:cs="Times New Roman"/>
                <w:lang w:val="en-US"/>
              </w:rPr>
              <w:t>建筑总能耗：电耗(kWh/㎡)</w:t>
            </w:r>
            <w:bookmarkEnd w:id="3"/>
          </w:p>
        </w:tc>
        <w:tc>
          <w:tcPr>
            <w:tcW w:w="2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86.41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63.52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2"/>
        </w:rPr>
      </w:pPr>
      <w:r>
        <w:rPr>
          <w:rFonts w:hint="default" w:ascii="Times New Roman" w:hAnsi="Times New Roman" w:cs="Times New Roman"/>
          <w:color w:val="000000"/>
          <w:sz w:val="24"/>
          <w:szCs w:val="22"/>
        </w:rPr>
        <w:t>注:负荷和电耗均为考虑热回收后的值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147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pacing w:line="240" w:lineRule="auto"/>
      <w:jc w:val="center"/>
      <w:rPr>
        <w:rFonts w:hint="eastAsia"/>
        <w:lang w:eastAsia="zh-CN"/>
      </w:rPr>
    </w:pPr>
    <w:r>
      <w:rPr>
        <w:rFonts w:hint="default" w:ascii="Times New Roman" w:hAnsi="Times New Roman" w:cs="Times New Roman"/>
        <w:b w:val="0"/>
        <w:bCs w:val="0"/>
        <w:color w:val="7F7F7F" w:themeColor="background1" w:themeShade="80"/>
        <w:sz w:val="21"/>
        <w:szCs w:val="21"/>
        <w:lang w:eastAsia="zh-CN"/>
      </w:rPr>
      <w:t>建筑能耗模拟分析报告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1C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B4E57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30810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B361C"/>
    <w:rsid w:val="00FF2243"/>
    <w:rsid w:val="03972E48"/>
    <w:rsid w:val="1C911842"/>
    <w:rsid w:val="217C4160"/>
    <w:rsid w:val="30553BE5"/>
    <w:rsid w:val="39A64CCE"/>
    <w:rsid w:val="3C9C1DCE"/>
    <w:rsid w:val="3F96082E"/>
    <w:rsid w:val="3FB607FA"/>
    <w:rsid w:val="40334A7C"/>
    <w:rsid w:val="415031EA"/>
    <w:rsid w:val="526C62DE"/>
    <w:rsid w:val="54D2409D"/>
    <w:rsid w:val="558A463A"/>
    <w:rsid w:val="568F4911"/>
    <w:rsid w:val="56FE4B7F"/>
    <w:rsid w:val="58F00BDF"/>
    <w:rsid w:val="6433756B"/>
    <w:rsid w:val="666F6721"/>
    <w:rsid w:val="66CE3BCD"/>
    <w:rsid w:val="6F60355D"/>
    <w:rsid w:val="71E345DD"/>
    <w:rsid w:val="757348AE"/>
    <w:rsid w:val="7872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50" w:beforeLines="50" w:after="50" w:afterLines="50" w:line="400" w:lineRule="exact"/>
      <w:ind w:left="431" w:hanging="431"/>
      <w:outlineLvl w:val="0"/>
    </w:pPr>
    <w:rPr>
      <w:rFonts w:ascii="Times New Roman" w:hAnsi="Times New Roman" w:eastAsia="黑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50" w:beforeLines="50" w:after="50" w:afterLines="50" w:line="400" w:lineRule="exact"/>
      <w:jc w:val="both"/>
      <w:outlineLvl w:val="1"/>
    </w:pPr>
    <w:rPr>
      <w:rFonts w:ascii="Times New Roman" w:hAnsi="Times New Roman" w:eastAsia="黑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50" w:beforeLines="50" w:after="50" w:afterLines="50" w:line="400" w:lineRule="exact"/>
      <w:outlineLvl w:val="2"/>
    </w:pPr>
    <w:rPr>
      <w:rFonts w:ascii="Times New Roman" w:hAnsi="Times New Roman" w:eastAsia="楷体" w:cs="Arial"/>
      <w:b/>
      <w:bCs/>
      <w:sz w:val="24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Company>ths</Company>
  <Pages>22</Pages>
  <Words>2984</Words>
  <Characters>17012</Characters>
  <Lines>141</Lines>
  <Paragraphs>39</Paragraphs>
  <TotalTime>5</TotalTime>
  <ScaleCrop>false</ScaleCrop>
  <LinksUpToDate>false</LinksUpToDate>
  <CharactersWithSpaces>19957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2018-12-29T11:47:00Z</dcterms:created>
  <dc:creator>Administrator</dc:creator>
  <cp:lastModifiedBy>择迷</cp:lastModifiedBy>
  <cp:lastPrinted>2411-12-31T16:00:00Z</cp:lastPrinted>
  <dcterms:modified xsi:type="dcterms:W3CDTF">2019-03-14T11:18:22Z</dcterms:modified>
  <dc:title>建筑全能耗报告书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