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image/png" PartName="/word/media/document_image_rId4.png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5="http://schemas.microsoft.com/office/word/2012/wordml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ns8="http://schemas.openxmlformats.org/schemaLibrary/2006/main" xmlns:mc="http://schemas.openxmlformats.org/markup-compatibility/2006" xmlns:wne="http://schemas.microsoft.com/office/word/2006/wordml" xmlns:c="http://schemas.openxmlformats.org/drawingml/2006/chart" xmlns:ns12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ns17="urn:schemas-microsoft-com:office:excel" xmlns:o="urn:schemas-microsoft-com:office:office" xmlns:v="urn:schemas-microsoft-com:vml" xmlns:w10="urn:schemas-microsoft-com:office:word" xmlns:ns21="urn:schemas-microsoft-com:office:powerpoint" xmlns:ns23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p14="http://schemas.microsoft.com/office/word/2010/wordprocessingDrawing" xmlns:ns32="http://schemas.openxmlformats.org/drawingml/2006/compatibility" xmlns:ns33="http://schemas.openxmlformats.org/drawingml/2006/lockedCanvas">
  <w:body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48"/>
          <w:szCs w:val="48"/>
        </w:rPr>
        <w:t>广州某高校演艺中心优化改造设计</w:t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36"/>
          <w:szCs w:val="36"/>
        </w:rPr>
        <w:t>绿色建筑设计专项方案</w:t>
      </w:r>
    </w:p>
    <w:p>
      <w:pPr>
        <w:jc w:val="center"/>
      </w:pPr>
      <w:r>
        <w:drawing>
          <wp:inline distT="0" distB="0" distL="0" distR="0">
            <wp:extent cx="5732145" cy="3303923"/>
            <wp:effectExtent l="0" t="0" r="0" b="0"/>
            <wp:docPr id="1" name="Filename hint" descr="Alternative text"/>
            <wp:cNvGraphicFramePr>
              <a:graphicFrameLocks noChangeAspect="true"/>
            </wp:cNvGraphicFramePr>
            <a:graphic>
              <a:graphicData uri="http://schemas.openxmlformats.org/drawingml/2006/picture">
                <pic:pic>
                  <pic:nvPicPr>
                    <pic:cNvPr id="2" name="Filename hint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33039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业主单位：</w:t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设计单位：</w:t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咨询单位：</w:t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项目地址：</w:t>
      </w:r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报告日期：2021年3月13日</w:t>
      </w:r>
    </w:p>
    <w:p>
      <w:br w:type="page"/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1.	概述</w:t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>项目名称：广州某高校演艺中心优化改造设计</w:t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>参评阶段：设计阶段</w:t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>依据标准：《绿色建筑评价标准》GB/T 50378-2014</w:t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>标准要求：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节地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节能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节水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节材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室内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创新</w:t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≥40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≥40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≥40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≥40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≥40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★</w:t>
            </w:r>
          </w:p>
        </w:tc>
        <w:tc>
          <w:tcPr>
            <w:tcW w:w="1000" w:type="dxa"/>
            <w:h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≥50</w:t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★★</w:t>
            </w:r>
          </w:p>
        </w:tc>
        <w:tc>
          <w:tcPr>
            <w:tcW w:w="1000" w:type="dxa"/>
            <w:h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≥60</w:t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★★★</w:t>
            </w:r>
          </w:p>
        </w:tc>
        <w:tc>
          <w:tcPr>
            <w:tcW w:w="1000" w:type="dxa"/>
            <w:h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≥80</w:t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</w:tr>
    </w:tbl>
    <w:p>
      <w:r>
        <w:rPr>
          <w:rFonts w:hint="eastAsia" w:ascii="宋体" w:hAnsi="宋体"/>
          <w:b/>
          <w:bCs/>
          <w:color w:val="000000"/>
          <w:sz w:val="24"/>
          <w:szCs w:val="24"/>
        </w:rPr>
        <w:t>技术要求：</w:t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>评价结果：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节地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节能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节水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节材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室内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创新</w:t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73.0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73.2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73.3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50.0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85.0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10.0</w:t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权重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0.16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0.28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0.18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0.19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0.19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1.00</w:t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得分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11.68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20.5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13.19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9.5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16.15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10.0</w:t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总分</w:t>
            </w:r>
          </w:p>
        </w:tc>
        <w:tc>
          <w:tcPr>
            <w:tcW w:w="1000" w:type="dxa"/>
            <w:h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243.06</w:t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</w:tr>
      <w:tr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星级</w:t>
            </w:r>
          </w:p>
        </w:tc>
        <w:tc>
          <w:tcPr>
            <w:tcW w:w="1000" w:type="dxa"/>
            <w:h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★★★</w:t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h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</w:tr>
    </w:tbl>
    <w:p>
      <w:r>
        <w:rPr>
          <w:rFonts w:hint="eastAsia" w:ascii="宋体" w:hAnsi="宋体"/>
          <w:b/>
          <w:bCs/>
          <w:color w:val="000000"/>
          <w:sz w:val="24"/>
          <w:szCs w:val="24"/>
        </w:rPr>
        <w:t/>
      </w:r>
    </w:p>
    <w:p>
      <w:r>
        <w:rPr>
          <w:rFonts w:hint="eastAsia" w:ascii="宋体" w:hAnsi="宋体"/>
          <w:b/>
          <w:bCs/>
          <w:color w:val="000000"/>
          <w:sz w:val="24"/>
          <w:szCs w:val="24"/>
        </w:rPr>
        <w:t>图表分析：</w:t>
      </w:r>
    </w:p>
    <w:p>
      <w:pPr>
        <w:jc w:val="center"/>
      </w:pPr>
      <w:r>
        <w:drawing>
          <wp:inline distT="0" distB="0" distL="0" distR="0">
            <wp:extent cx="5732145" cy="3698158"/>
            <wp:effectExtent l="0" t="0" r="0" b="0"/>
            <wp:docPr id="1" name="Filename hint" descr="Alternative text"/>
            <wp:cNvGraphicFramePr>
              <a:graphicFrameLocks noChangeAspect="true"/>
            </wp:cNvGraphicFramePr>
            <a:graphic>
              <a:graphicData uri="http://schemas.openxmlformats.org/drawingml/2006/picture">
                <pic:pic>
                  <pic:nvPicPr>
                    <pic:cNvPr id="2" name="Filename hint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3698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r w:type="page"/>
    </w:p>
    <w:p>
      <w:pPr>
        <w:jc w:val="left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2.	详细分析</w:t>
      </w:r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节地与室外环境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3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名称</w:t>
            </w:r>
          </w:p>
        </w:tc>
        <w:tc>
          <w:tcPr>
            <w:tcW w:w="1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类别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编号</w:t>
            </w:r>
          </w:p>
        </w:tc>
        <w:tc>
          <w:tcPr>
            <w:tcW w:w="4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条文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得分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不参评分</w:t>
            </w:r>
          </w:p>
        </w:tc>
      </w:tr>
      <w:tr>
        <w:tc>
          <w:tcPr>
            <w:tcW w:w="32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节地与室外环境</w:t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选址合规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场地安全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无超标污染源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4.1.4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日照标准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节约集约用地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15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绿化用地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地下空间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光污染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环境噪声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风环境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热岛强度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公共交通设施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无障碍设计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3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3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4.2.10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停车场所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3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4.2.11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公共服务设施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4.2.12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生态补偿措施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3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3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4.2.13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绿色雨水设施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4.2.14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径流总量控制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3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4.2.15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绿化方式与植物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</w:tbl>
    <w:p>
      <w:br w:type="page"/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节能与能源利用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3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名称</w:t>
            </w:r>
          </w:p>
        </w:tc>
        <w:tc>
          <w:tcPr>
            <w:tcW w:w="1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类别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编号</w:t>
            </w:r>
          </w:p>
        </w:tc>
        <w:tc>
          <w:tcPr>
            <w:tcW w:w="4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条文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得分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不参评分</w:t>
            </w:r>
          </w:p>
        </w:tc>
      </w:tr>
      <w:tr>
        <w:tc>
          <w:tcPr>
            <w:tcW w:w="32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节能与能源利用</w:t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节能设计标准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电热设备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能耗分项计量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5.1.4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照明功率密度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建筑设计优化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外窗幕墙可开启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热工性能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冷热源机组能效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输配系统效率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暖通系统优化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过渡季节能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部分负荷节能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照明节能控制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5.2.10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照明功率密度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5.2.11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电梯扶梯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3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3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5.2.12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其他电气设备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5.2.13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排风热回收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3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3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5.2.14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蓄冷蓄热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3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5.2.15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余热废热利用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5.2.16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可再生能源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</w:tbl>
    <w:p>
      <w:br w:type="page"/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节水与水资源利用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3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名称</w:t>
            </w:r>
          </w:p>
        </w:tc>
        <w:tc>
          <w:tcPr>
            <w:tcW w:w="1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类别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编号</w:t>
            </w:r>
          </w:p>
        </w:tc>
        <w:tc>
          <w:tcPr>
            <w:tcW w:w="4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条文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得分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不参评分</w:t>
            </w:r>
          </w:p>
        </w:tc>
      </w:tr>
      <w:tr>
        <w:tc>
          <w:tcPr>
            <w:tcW w:w="32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节水与水资源利用</w:t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6.1.1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水资源利用方案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6.1.2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给排水系统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6.1.3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节水器具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节水用水定额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管网漏损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超压出流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用水计量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公用浴室节水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卫生器具水效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绿化灌溉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节水冷却技术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其他用水节水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3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6.2.10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非传统水源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6.2.11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冷却水补水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6.2.12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景观水体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</w:tbl>
    <w:p>
      <w:br w:type="page"/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节材与材料资源利用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3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名称</w:t>
            </w:r>
          </w:p>
        </w:tc>
        <w:tc>
          <w:tcPr>
            <w:tcW w:w="1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类别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编号</w:t>
            </w:r>
          </w:p>
        </w:tc>
        <w:tc>
          <w:tcPr>
            <w:tcW w:w="4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条文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得分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不参评分</w:t>
            </w:r>
          </w:p>
        </w:tc>
      </w:tr>
      <w:tr>
        <w:tc>
          <w:tcPr>
            <w:tcW w:w="3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节材与材料资源利用</w:t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禁限材料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400兆帕钢筋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7.1.3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建筑造型要素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建筑形体规则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3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结构优化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土建装修一体化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灵活隔断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3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预制构件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整体化厨卫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3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本地材料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预拌混凝土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预拌砂浆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7.2.10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高强结构材料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高耐久结构材料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可循环利用材料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废弃物生产材料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</w:tr>
      <w:tr>
        <w:tc>
          <w:tcPr>
            <w:tcW w:w="3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7.2.14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装饰装修材料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</w:tr>
    </w:tbl>
    <w:p>
      <w:br w:type="page"/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室内环境质量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3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名称</w:t>
            </w:r>
          </w:p>
        </w:tc>
        <w:tc>
          <w:tcPr>
            <w:tcW w:w="1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类别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编号</w:t>
            </w:r>
          </w:p>
        </w:tc>
        <w:tc>
          <w:tcPr>
            <w:tcW w:w="4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条文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得分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不参评分</w:t>
            </w:r>
          </w:p>
        </w:tc>
      </w:tr>
      <w:tr>
        <w:tc>
          <w:tcPr>
            <w:tcW w:w="32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室内环境质量</w:t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控制项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室内噪声级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构件隔声性能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照明数量质量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暖通设计参数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内表面结露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内表面温度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√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8.1.7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空气污染物浓度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—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室内噪声级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构件隔声性能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9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噪声干扰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4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专项声学设计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3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3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户外视野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3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3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采光系数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天然采光优化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14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10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可调节遮阳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12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6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空调末端调节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8.2.10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自然通风优化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13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13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8.2.11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气流组织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7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8.2.12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IAQ监控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8.2.13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CO检测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</w:tbl>
    <w:p>
      <w:br w:type="page"/>
    </w:p>
    <w:p>
      <w:pPr>
        <w:jc w:val="center"/>
      </w:pPr>
      <w:r>
        <w:rPr>
          <w:rFonts w:hint="eastAsia" w:ascii="宋体" w:hAnsi="宋体"/>
          <w:b/>
          <w:bCs/>
          <w:color w:val="000000"/>
          <w:sz w:val="24"/>
          <w:szCs w:val="24"/>
        </w:rPr>
        <w:t>提高与创新</w:t>
      </w:r>
    </w:p>
    <w:tbl>
      <w:tblPr>
        <w:jc w:val="center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</w:tblPr>
      <w:tr>
        <w:tc>
          <w:tcPr>
            <w:tcW w:w="3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名称</w:t>
            </w:r>
          </w:p>
        </w:tc>
        <w:tc>
          <w:tcPr>
            <w:tcW w:w="15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类别</w:t>
            </w:r>
          </w:p>
        </w:tc>
        <w:tc>
          <w:tcPr>
            <w:tcW w:w="1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编号</w:t>
            </w:r>
          </w:p>
        </w:tc>
        <w:tc>
          <w:tcPr>
            <w:tcW w:w="4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条文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满分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得分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不参评分</w:t>
            </w:r>
          </w:p>
        </w:tc>
      </w:tr>
      <w:tr>
        <w:tc>
          <w:tcPr>
            <w:tcW w:w="32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提高与创新</w:t>
            </w:r>
          </w:p>
        </w:tc>
        <w:tc>
          <w:tcPr>
            <w:tcW w:w="1500" w:type="dxa"/>
            <w:vMerge w:val="restart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评分项</w:t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11.2.1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热工性能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11.2.2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冷热源机组能效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11.2.3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分布式三联供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11.2.4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卫生器具水效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11.2.5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结构形式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11.2.6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空气处理措施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11.2.7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空气污染物浓度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11.2.8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建筑方案优化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11.2.9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废弃场地/旧建筑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11.2.10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BIM技术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11.2.11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建筑碳排放计算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  <w:tr>
        <w:tc>
          <w:tcPr>
            <w:tcW w:w="32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500" w:type="dxa"/>
            <w:vMerge w:val="continue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/>
            </w:r>
          </w:p>
        </w:tc>
        <w:tc>
          <w:tcPr>
            <w:tcW w:w="1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11.2.12</w:t>
            </w:r>
          </w:p>
        </w:tc>
        <w:tc>
          <w:tcPr>
            <w:tcW w:w="4000" w:type="dxa"/>
            <w:vAlign w:val="center"/>
          </w:tcPr>
          <w:p>
            <w:pPr>
              <w:jc w:val="left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其他创新技术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12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2</w:t>
            </w:r>
          </w:p>
        </w:tc>
        <w:tc>
          <w:tcPr>
            <w:tcW w:w="2000" w:type="dxa"/>
            <w:vAlign w:val="center"/>
          </w:tcPr>
          <w:p>
            <w:pPr>
              <w:jc w:val="center"/>
            </w:pPr>
            <w:r>
              <w:rPr>
                <w:rFonts w:hint="eastAsia" w:ascii="宋体" w:hAnsi="宋体"/>
                <w:bCs/>
                <w:color w:val="000000"/>
                <w:sz w:val="20"/>
                <w:szCs w:val="20"/>
              </w:rPr>
              <w:t>0</w:t>
            </w:r>
          </w:p>
        </w:tc>
      </w:tr>
    </w:tbl>
    <w:sectPr>
      <w:headerReference w:type="default" r:id="rId3"/>
      <w:footerReference w:type="default" r:id="rId6"/>
      <w:pgSz w:w="11907" w:h="16839" w:code="9"/>
      <w:pgMar w:top="5" w:right="1440" w:bottom="5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5="http://schemas.microsoft.com/office/word/2012/wordml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ns8="http://schemas.openxmlformats.org/schemaLibrary/2006/main" xmlns:mc="http://schemas.openxmlformats.org/markup-compatibility/2006" xmlns:wne="http://schemas.microsoft.com/office/word/2006/wordml" xmlns:c="http://schemas.openxmlformats.org/drawingml/2006/chart" xmlns:ns12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ns17="urn:schemas-microsoft-com:office:excel" xmlns:o="urn:schemas-microsoft-com:office:office" xmlns:v="urn:schemas-microsoft-com:vml" xmlns:w10="urn:schemas-microsoft-com:office:word" xmlns:ns21="urn:schemas-microsoft-com:office:powerpoint" xmlns:ns23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p14="http://schemas.microsoft.com/office/word/2010/wordprocessingDrawing" xmlns:ns32="http://schemas.openxmlformats.org/drawingml/2006/compatibility" xmlns:ns33="http://schemas.openxmlformats.org/drawingml/2006/lockedCanvas">
  <w:p>
    <w:pPr>
      <w:jc w:val="right"/>
    </w:pPr>
    <w:r>
      <w:rPr>
        <w:rFonts w:hint="eastAsia" w:ascii="宋体" w:hAnsi="宋体"/>
        <w:bCs/>
        <w:color w:val="000000"/>
        <w:sz w:val="20"/>
        <w:szCs w:val="20"/>
      </w:rPr>
    </w:r>
    <w:r>
      <w:fldChar w:fldCharType="begin"/>
    </w:r>
    <w:r>
      <w:instrText xml:space="preserve">PAGE  \* MERGEFORMAT </w:instrText>
    </w:r>
    <w:r>
      <w:fldChar w:fldCharType="end"/>
    </w:r>
    <w:r>
      <w:t xml:space="preserve">/</w:t>
    </w:r>
    <w:r>
      <w:fldChar w:fldCharType="begin"/>
    </w:r>
    <w:r>
      <w:instrText xml:space="preserve">NUMPAGES  \* MERGEFORMAT </w:instrText>
    </w:r>
    <w:r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5="http://schemas.microsoft.com/office/word/2012/wordml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ns8="http://schemas.openxmlformats.org/schemaLibrary/2006/main" xmlns:mc="http://schemas.openxmlformats.org/markup-compatibility/2006" xmlns:wne="http://schemas.microsoft.com/office/word/2006/wordml" xmlns:c="http://schemas.openxmlformats.org/drawingml/2006/chart" xmlns:ns12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ns17="urn:schemas-microsoft-com:office:excel" xmlns:o="urn:schemas-microsoft-com:office:office" xmlns:v="urn:schemas-microsoft-com:vml" xmlns:w10="urn:schemas-microsoft-com:office:word" xmlns:ns21="urn:schemas-microsoft-com:office:powerpoint" xmlns:ns23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p14="http://schemas.microsoft.com/office/word/2010/wordprocessingDrawing" xmlns:ns32="http://schemas.openxmlformats.org/drawingml/2006/compatibility" xmlns:ns33="http://schemas.openxmlformats.org/drawingml/2006/lockedCanvas">
  <w:p>
    <w:pPr>
      <w:jc w:val="center"/>
    </w:pPr>
    <w:r>
      <w:t/>
    </w:r>
  </w:p>
</w:hdr>
</file>

<file path=word/settings.xml><?xml version="1.0" encoding="utf-8"?>
<w:settings xmlns:w="http://schemas.openxmlformats.org/wordprocessingml/2006/main" xmlns:m="http://schemas.openxmlformats.org/officeDocument/2006/math" xmlns:w15="http://schemas.microsoft.com/office/word/2012/wordml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ns8="http://schemas.openxmlformats.org/schemaLibrary/2006/main" xmlns:mc="http://schemas.openxmlformats.org/markup-compatibility/2006" xmlns:wne="http://schemas.microsoft.com/office/word/2006/wordml" xmlns:c="http://schemas.openxmlformats.org/drawingml/2006/chart" xmlns:ns12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ns17="urn:schemas-microsoft-com:office:excel" xmlns:o="urn:schemas-microsoft-com:office:office" xmlns:v="urn:schemas-microsoft-com:vml" xmlns:w10="urn:schemas-microsoft-com:office:word" xmlns:ns21="urn:schemas-microsoft-com:office:powerpoint" xmlns:ns23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p14="http://schemas.microsoft.com/office/word/2010/wordprocessingDrawing" xmlns:ns32="http://schemas.openxmlformats.org/drawingml/2006/compatibility" xmlns:ns33="http://schemas.openxmlformats.org/drawingml/2006/lockedCanvas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5="http://schemas.microsoft.com/office/word/2012/wordml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ns8="http://schemas.openxmlformats.org/schemaLibrary/2006/main" xmlns:mc="http://schemas.openxmlformats.org/markup-compatibility/2006" xmlns:wne="http://schemas.microsoft.com/office/word/2006/wordml" xmlns:c="http://schemas.openxmlformats.org/drawingml/2006/chart" xmlns:ns12="http://schemas.openxmlformats.org/drawingml/2006/chartDrawing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ns17="urn:schemas-microsoft-com:office:excel" xmlns:o="urn:schemas-microsoft-com:office:office" xmlns:v="urn:schemas-microsoft-com:vml" xmlns:w10="urn:schemas-microsoft-com:office:word" xmlns:ns21="urn:schemas-microsoft-com:office:powerpoint" xmlns:ns23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wp14="http://schemas.microsoft.com/office/word/2010/wordprocessingDrawing" xmlns:ns32="http://schemas.openxmlformats.org/drawingml/2006/compatibility" xmlns:ns33="http://schemas.openxmlformats.org/drawingml/2006/lockedCanvas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png" Type="http://schemas.openxmlformats.org/officeDocument/2006/relationships/image" Id="rId4"/>
    <Relationship Target="media/document_image_rId5.jpeg" Type="http://schemas.openxmlformats.org/officeDocument/2006/relationships/image" Id="rId5"/>
    <Relationship Target="footer.xml" Type="http://schemas.openxmlformats.org/officeDocument/2006/relationships/footer" Id="rId6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