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2EE1" w14:textId="77777777" w:rsidR="00B509B5" w:rsidRPr="0002196F" w:rsidRDefault="00B509B5" w:rsidP="00B509B5">
      <w:pPr>
        <w:pStyle w:val="3"/>
        <w:spacing w:line="288" w:lineRule="auto"/>
        <w:rPr>
          <w:rFonts w:ascii="Times New Roman" w:eastAsiaTheme="minorEastAsia" w:hAnsi="Times New Roman"/>
        </w:rPr>
      </w:pPr>
      <w:r w:rsidRPr="0002196F">
        <w:rPr>
          <w:rFonts w:ascii="Times New Roman" w:eastAsiaTheme="minorEastAsia" w:hAnsi="Times New Roman" w:hint="eastAsia"/>
        </w:rPr>
        <w:t>5.2.11</w:t>
      </w:r>
      <w:r w:rsidRPr="0002196F">
        <w:rPr>
          <w:rFonts w:ascii="Times New Roman" w:eastAsiaTheme="minorEastAsia" w:hAnsi="Times New Roman" w:hint="eastAsia"/>
        </w:rPr>
        <w:t>设置可调节遮阳设施，改善室内热舒适。（总分</w:t>
      </w:r>
      <w:r w:rsidRPr="0002196F">
        <w:rPr>
          <w:rFonts w:ascii="Times New Roman" w:eastAsiaTheme="minorEastAsia" w:hAnsi="Times New Roman" w:hint="eastAsia"/>
        </w:rPr>
        <w:t>9</w:t>
      </w:r>
      <w:r w:rsidRPr="0002196F">
        <w:rPr>
          <w:rFonts w:ascii="Times New Roman" w:eastAsiaTheme="minorEastAsia" w:hAnsi="Times New Roman" w:hint="eastAsia"/>
        </w:rPr>
        <w:t>分）</w:t>
      </w:r>
    </w:p>
    <w:p w14:paraId="105F25B7" w14:textId="77777777" w:rsidR="00B509B5" w:rsidRPr="0002196F" w:rsidRDefault="00B509B5" w:rsidP="00B509B5">
      <w:pPr>
        <w:pStyle w:val="1"/>
        <w:numPr>
          <w:ilvl w:val="0"/>
          <w:numId w:val="2"/>
        </w:numPr>
        <w:spacing w:line="288" w:lineRule="auto"/>
        <w:ind w:firstLineChars="0"/>
        <w:jc w:val="left"/>
        <w:rPr>
          <w:rFonts w:eastAsiaTheme="minorEastAsia"/>
          <w:b/>
          <w:sz w:val="24"/>
        </w:rPr>
      </w:pPr>
      <w:r w:rsidRPr="0002196F">
        <w:rPr>
          <w:rFonts w:eastAsiaTheme="minorEastAsia" w:hint="eastAsia"/>
          <w:b/>
          <w:sz w:val="24"/>
        </w:rPr>
        <w:t>得分自评</w:t>
      </w:r>
    </w:p>
    <w:tbl>
      <w:tblPr>
        <w:tblW w:w="8205" w:type="dxa"/>
        <w:jc w:val="center"/>
        <w:tblLook w:val="04A0" w:firstRow="1" w:lastRow="0" w:firstColumn="1" w:lastColumn="0" w:noHBand="0" w:noVBand="1"/>
      </w:tblPr>
      <w:tblGrid>
        <w:gridCol w:w="639"/>
        <w:gridCol w:w="2847"/>
        <w:gridCol w:w="2514"/>
        <w:gridCol w:w="1134"/>
        <w:gridCol w:w="1071"/>
      </w:tblGrid>
      <w:tr w:rsidR="00B509B5" w:rsidRPr="0002196F" w14:paraId="642BC74F" w14:textId="77777777" w:rsidTr="0002196F">
        <w:trPr>
          <w:trHeight w:val="26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4E5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0D80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5D7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07BE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B509B5" w:rsidRPr="0002196F" w14:paraId="40CA5456" w14:textId="77777777" w:rsidTr="0002196F">
        <w:trPr>
          <w:trHeight w:val="268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FE1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74F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可调节遮阳设施的面积占外窗透明部分的比例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Sz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EBE2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25%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≤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Sz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＜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10F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FBC4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09B5" w:rsidRPr="0002196F" w14:paraId="5385B8B2" w14:textId="77777777" w:rsidTr="00D91BCA">
        <w:trPr>
          <w:trHeight w:val="315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1AF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9344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67D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35%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≤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Sz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＜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6AA2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ECC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09B5" w:rsidRPr="0002196F" w14:paraId="2DAE6EF7" w14:textId="77777777" w:rsidTr="00D91BCA">
        <w:trPr>
          <w:trHeight w:val="277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488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6683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904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45%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≤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Sz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＜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F7CE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935F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09B5" w:rsidRPr="0002196F" w14:paraId="6FE84887" w14:textId="77777777" w:rsidTr="0002196F">
        <w:trPr>
          <w:trHeight w:val="268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D033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FF89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76E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Sz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≥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5453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EB4B" w14:textId="02A1972D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963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B509B5" w:rsidRPr="0002196F" w14:paraId="00ECE43F" w14:textId="77777777" w:rsidTr="0002196F">
        <w:trPr>
          <w:trHeight w:val="268"/>
          <w:jc w:val="center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A4B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4C5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E7E" w14:textId="0C31589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963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</w:tbl>
    <w:p w14:paraId="1AFCE868" w14:textId="77777777" w:rsidR="00B509B5" w:rsidRPr="0002196F" w:rsidRDefault="00B509B5" w:rsidP="0002196F">
      <w:pPr>
        <w:pStyle w:val="1"/>
        <w:numPr>
          <w:ilvl w:val="0"/>
          <w:numId w:val="2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  <w:sz w:val="24"/>
        </w:rPr>
      </w:pPr>
      <w:r w:rsidRPr="0002196F">
        <w:rPr>
          <w:rFonts w:eastAsiaTheme="minorEastAsia" w:hint="eastAsia"/>
          <w:b/>
          <w:sz w:val="24"/>
        </w:rPr>
        <w:t>评价要点</w:t>
      </w:r>
    </w:p>
    <w:p w14:paraId="736C9500" w14:textId="77777777" w:rsidR="00B509B5" w:rsidRPr="0002196F" w:rsidRDefault="00B509B5" w:rsidP="00B509B5">
      <w:pPr>
        <w:pStyle w:val="a8"/>
        <w:numPr>
          <w:ilvl w:val="0"/>
          <w:numId w:val="1"/>
        </w:numPr>
        <w:spacing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02196F">
        <w:rPr>
          <w:rFonts w:eastAsiaTheme="minorEastAsia" w:hint="eastAsia"/>
          <w:b/>
          <w:lang w:val="zh-CN"/>
        </w:rPr>
        <w:t>可调节遮阳：</w:t>
      </w:r>
    </w:p>
    <w:p w14:paraId="279D27AF" w14:textId="46C90057" w:rsidR="00B509B5" w:rsidRPr="0002196F" w:rsidRDefault="00B509B5" w:rsidP="00B509B5">
      <w:pPr>
        <w:spacing w:line="288" w:lineRule="auto"/>
        <w:ind w:left="630" w:hangingChars="300" w:hanging="630"/>
        <w:rPr>
          <w:rFonts w:eastAsiaTheme="minorEastAsia"/>
          <w:szCs w:val="21"/>
          <w:lang w:val="zh-CN"/>
        </w:rPr>
      </w:pPr>
      <w:r w:rsidRPr="0002196F">
        <w:rPr>
          <w:rFonts w:eastAsiaTheme="minorEastAsia"/>
          <w:szCs w:val="21"/>
          <w:lang w:val="zh-CN"/>
        </w:rPr>
        <w:t>有阳光直射的外窗和幕墙透明部分面积为</w:t>
      </w:r>
      <w:r w:rsidRPr="0002196F">
        <w:rPr>
          <w:rFonts w:eastAsiaTheme="minorEastAsia" w:hint="eastAsia"/>
          <w:szCs w:val="21"/>
          <w:lang w:val="zh-CN"/>
        </w:rPr>
        <w:t>：</w:t>
      </w:r>
      <w:r w:rsidRPr="0002196F">
        <w:rPr>
          <w:rFonts w:eastAsiaTheme="minorEastAsia"/>
          <w:kern w:val="0"/>
        </w:rPr>
        <w:t>__</w:t>
      </w:r>
      <w:r w:rsidR="0008138D">
        <w:rPr>
          <w:rFonts w:eastAsiaTheme="minorEastAsia"/>
          <w:kern w:val="0"/>
        </w:rPr>
        <w:t>2066</w:t>
      </w:r>
      <w:r w:rsidRPr="0002196F">
        <w:rPr>
          <w:rFonts w:eastAsiaTheme="minorEastAsia"/>
          <w:kern w:val="0"/>
        </w:rPr>
        <w:t>__</w:t>
      </w:r>
      <w:r w:rsidRPr="0002196F">
        <w:rPr>
          <w:rFonts w:eastAsiaTheme="minorEastAsia"/>
          <w:szCs w:val="21"/>
          <w:lang w:val="zh-CN"/>
        </w:rPr>
        <w:t>m</w:t>
      </w:r>
      <w:r w:rsidRPr="0002196F">
        <w:rPr>
          <w:rFonts w:eastAsiaTheme="minorEastAsia"/>
          <w:szCs w:val="21"/>
          <w:vertAlign w:val="superscript"/>
          <w:lang w:val="zh-CN"/>
        </w:rPr>
        <w:t>2</w:t>
      </w:r>
    </w:p>
    <w:p w14:paraId="53083E6A" w14:textId="29FE1959" w:rsidR="00B509B5" w:rsidRPr="0002196F" w:rsidRDefault="00B509B5" w:rsidP="00B509B5">
      <w:pPr>
        <w:spacing w:line="288" w:lineRule="auto"/>
        <w:ind w:left="630" w:hangingChars="300" w:hanging="630"/>
        <w:rPr>
          <w:rFonts w:eastAsiaTheme="minorEastAsia"/>
          <w:szCs w:val="21"/>
          <w:lang w:val="zh-CN"/>
        </w:rPr>
      </w:pPr>
      <w:r w:rsidRPr="0002196F">
        <w:rPr>
          <w:rFonts w:eastAsiaTheme="minorEastAsia"/>
          <w:szCs w:val="21"/>
          <w:lang w:val="zh-CN"/>
        </w:rPr>
        <w:t>其中有可控遮阳调节措施的面积为</w:t>
      </w:r>
      <w:r w:rsidRPr="0002196F">
        <w:rPr>
          <w:rFonts w:eastAsiaTheme="minorEastAsia" w:hint="eastAsia"/>
          <w:szCs w:val="21"/>
          <w:lang w:val="zh-CN"/>
        </w:rPr>
        <w:t>：</w:t>
      </w:r>
      <w:r w:rsidRPr="0002196F">
        <w:rPr>
          <w:rFonts w:eastAsiaTheme="minorEastAsia"/>
          <w:kern w:val="0"/>
        </w:rPr>
        <w:t>_</w:t>
      </w:r>
      <w:r w:rsidR="0008138D">
        <w:rPr>
          <w:rFonts w:eastAsiaTheme="minorEastAsia"/>
          <w:kern w:val="0"/>
        </w:rPr>
        <w:t>2066</w:t>
      </w:r>
      <w:r w:rsidRPr="0002196F">
        <w:rPr>
          <w:rFonts w:eastAsiaTheme="minorEastAsia"/>
          <w:kern w:val="0"/>
        </w:rPr>
        <w:t>__</w:t>
      </w:r>
      <w:r w:rsidRPr="0002196F">
        <w:rPr>
          <w:rFonts w:eastAsiaTheme="minorEastAsia"/>
          <w:szCs w:val="21"/>
          <w:lang w:val="zh-CN"/>
        </w:rPr>
        <w:t>m</w:t>
      </w:r>
      <w:r w:rsidRPr="0002196F">
        <w:rPr>
          <w:rFonts w:eastAsiaTheme="minorEastAsia"/>
          <w:szCs w:val="21"/>
          <w:vertAlign w:val="superscript"/>
          <w:lang w:val="zh-CN"/>
        </w:rPr>
        <w:t>2</w:t>
      </w:r>
      <w:r w:rsidRPr="0002196F">
        <w:rPr>
          <w:rFonts w:eastAsiaTheme="minorEastAsia"/>
          <w:szCs w:val="21"/>
          <w:lang w:val="zh-CN"/>
        </w:rPr>
        <w:t>，比例为</w:t>
      </w:r>
      <w:r w:rsidRPr="0002196F">
        <w:rPr>
          <w:rFonts w:eastAsiaTheme="minorEastAsia" w:hint="eastAsia"/>
          <w:szCs w:val="21"/>
          <w:lang w:val="zh-CN"/>
        </w:rPr>
        <w:t>：</w:t>
      </w:r>
      <w:r w:rsidRPr="0002196F">
        <w:rPr>
          <w:rFonts w:eastAsiaTheme="minorEastAsia"/>
          <w:kern w:val="0"/>
        </w:rPr>
        <w:t>__</w:t>
      </w:r>
      <w:r w:rsidR="00F96344">
        <w:rPr>
          <w:rFonts w:eastAsiaTheme="minorEastAsia"/>
          <w:kern w:val="0"/>
        </w:rPr>
        <w:t>100</w:t>
      </w:r>
      <w:r w:rsidRPr="0002196F">
        <w:rPr>
          <w:rFonts w:eastAsiaTheme="minorEastAsia"/>
          <w:kern w:val="0"/>
        </w:rPr>
        <w:t>__</w:t>
      </w:r>
      <w:r w:rsidRPr="0002196F">
        <w:rPr>
          <w:rFonts w:eastAsiaTheme="minorEastAsia"/>
          <w:szCs w:val="21"/>
          <w:lang w:val="zh-CN"/>
        </w:rPr>
        <w:t>%</w:t>
      </w:r>
    </w:p>
    <w:p w14:paraId="7E4F3A2D" w14:textId="77777777" w:rsidR="00B509B5" w:rsidRPr="0002196F" w:rsidRDefault="00B509B5" w:rsidP="00B509B5">
      <w:pPr>
        <w:spacing w:line="288" w:lineRule="auto"/>
        <w:rPr>
          <w:rFonts w:eastAsiaTheme="minorEastAsia"/>
          <w:szCs w:val="21"/>
          <w:lang w:val="zh-CN"/>
        </w:rPr>
      </w:pPr>
      <w:r w:rsidRPr="0002196F">
        <w:rPr>
          <w:rFonts w:eastAsiaTheme="minorEastAsia"/>
          <w:szCs w:val="21"/>
          <w:lang w:val="zh-CN"/>
        </w:rPr>
        <w:t>外窗采取可控遮阳的面积统计</w:t>
      </w:r>
      <w:r w:rsidRPr="0002196F">
        <w:rPr>
          <w:rFonts w:eastAsiaTheme="minorEastAsia" w:hint="eastAsia"/>
          <w:szCs w:val="21"/>
          <w:lang w:val="zh-CN"/>
        </w:rPr>
        <w:t>列</w:t>
      </w:r>
      <w:r w:rsidRPr="0002196F">
        <w:rPr>
          <w:rFonts w:eastAsiaTheme="minorEastAsia"/>
          <w:szCs w:val="21"/>
          <w:lang w:val="zh-CN"/>
        </w:rPr>
        <w:t>表</w:t>
      </w:r>
      <w:r w:rsidRPr="0002196F">
        <w:rPr>
          <w:rFonts w:eastAsiaTheme="minorEastAsia" w:hint="eastAsia"/>
          <w:szCs w:val="21"/>
          <w:lang w:val="zh-CN"/>
        </w:rPr>
        <w:t>：</w:t>
      </w:r>
    </w:p>
    <w:tbl>
      <w:tblPr>
        <w:tblW w:w="8354" w:type="dxa"/>
        <w:jc w:val="center"/>
        <w:tblLayout w:type="fixed"/>
        <w:tblLook w:val="0000" w:firstRow="0" w:lastRow="0" w:firstColumn="0" w:lastColumn="0" w:noHBand="0" w:noVBand="0"/>
      </w:tblPr>
      <w:tblGrid>
        <w:gridCol w:w="983"/>
        <w:gridCol w:w="718"/>
        <w:gridCol w:w="1134"/>
        <w:gridCol w:w="1134"/>
        <w:gridCol w:w="993"/>
        <w:gridCol w:w="1832"/>
        <w:gridCol w:w="1560"/>
      </w:tblGrid>
      <w:tr w:rsidR="00B509B5" w:rsidRPr="0002196F" w14:paraId="6C23B7FE" w14:textId="77777777" w:rsidTr="00162CB5">
        <w:trPr>
          <w:trHeight w:val="397"/>
          <w:tblHeader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D01A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3BF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朝向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C91C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尺寸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FF0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数量（个）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0CC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采取可控遮阳调节措施面积（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A80D97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采取可控遮阳调节措施面积比例（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%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B509B5" w:rsidRPr="0002196F" w14:paraId="6EA0D5CB" w14:textId="77777777" w:rsidTr="00162CB5">
        <w:trPr>
          <w:cantSplit/>
          <w:trHeight w:val="397"/>
          <w:tblHeader/>
          <w:jc w:val="center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7E97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F4F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DC57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宽度（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CBFF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高度（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00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069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370EF81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 w:rsidR="006B4469" w:rsidRPr="0002196F" w14:paraId="6379339E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6B3D9" w14:textId="6262952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C0914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6345" w14:textId="2B7FCCC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4D4C" w14:textId="7305DC2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2091" w14:textId="42DC093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5137" w14:textId="3C844E3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6C3E" w14:textId="62987A7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6.30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686860" w14:textId="038D4C5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43F9BDE1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BE2145" w14:textId="7B00DA3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C1114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2AFD" w14:textId="60E0FE2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0D3FF" w14:textId="0E5AEB7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1BE4B" w14:textId="5108BFB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293A" w14:textId="05DC948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51B7" w14:textId="0EA044E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9.24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3BA370" w14:textId="5EB6A38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58BE3F00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6316F" w14:textId="6ABFC47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C1203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6138" w14:textId="32843AE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5586B" w14:textId="57B0079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DC7C1" w14:textId="171F9DC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50A83" w14:textId="16D1123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FD6E" w14:textId="3580724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0.36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76DDB" w14:textId="1FAD8BC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2B401839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3EAE1E" w14:textId="59E0353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C1214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AB3E7" w14:textId="15D3692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7A44" w14:textId="32F462B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331E9" w14:textId="647BB94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7BC1" w14:textId="614A491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7939" w14:textId="1BAC697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52.08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D5EF1" w14:textId="5FD726A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21CF8458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3A2A48" w14:textId="0967274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C1435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D1D8" w14:textId="6A751B4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2FC1A" w14:textId="797FDED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2080" w14:textId="3994B63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AB09" w14:textId="7BF0871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5E9F" w14:textId="40565D4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4.90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59D865" w14:textId="5BF3CA8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1D4B07B5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52559" w14:textId="55597DA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C1814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6A239" w14:textId="29A59D5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24D9" w14:textId="191F739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5EE5" w14:textId="66A1206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9244D" w14:textId="090C244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5EC9" w14:textId="4C46753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45.36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BB236D" w14:textId="32AEB8A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2782AB1D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69D230" w14:textId="6536E48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C1914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8143" w14:textId="5192AF5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AAB3" w14:textId="4E64AEA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7A2F" w14:textId="078D7FC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2FDE" w14:textId="4C12A0E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4CD6" w14:textId="460ABC4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42.56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DE8AE1" w14:textId="73EDA27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1A3DD950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403EC5" w14:textId="05EA265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C2314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DA9D" w14:textId="035D32B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AB14" w14:textId="5A6BF53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E345" w14:textId="7AAA5B5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D96F" w14:textId="76C2ADF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74B77" w14:textId="24E6DE9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EF1B35">
              <w:t xml:space="preserve">16.10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7713C2" w14:textId="7E7DE4D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7DC4751F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EF53A4" w14:textId="02CD0DB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7493" w14:textId="296F3A0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F581" w14:textId="747E690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485A" w14:textId="308FFE5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9384" w14:textId="611923A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FB3A" w14:textId="7E3764F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5851">
              <w:t xml:space="preserve">105.28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20DCD3" w14:textId="3EC064C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77BA0B5F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F143C6" w14:textId="0F946EA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C3014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CF22" w14:textId="2B10C93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41AC6" w14:textId="1F1D56D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0C73" w14:textId="4399BDB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6E8C" w14:textId="59A2BE7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B15F" w14:textId="2E2844C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5851">
              <w:t xml:space="preserve">16.80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28726A" w14:textId="75E6A59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15F15BAC" w14:textId="77777777" w:rsidTr="00A13618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AF354C" w14:textId="4C663E4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35577">
              <w:t>C4214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8365" w14:textId="3E04648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9588E">
              <w:rPr>
                <w:rFonts w:hint="eastAsia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8AEA" w14:textId="7C0FEB1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08F4" w14:textId="09BBF5B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7959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393B" w14:textId="2B36618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55F1" w14:textId="59E4187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5851">
              <w:t xml:space="preserve">29.40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A0B94C" w14:textId="2C6C864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766106E8" w14:textId="77777777" w:rsidTr="00651607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69EC3" w14:textId="12158A8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C0835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9169" w14:textId="3C1989E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0003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1235" w14:textId="4596FC0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57E9"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436A" w14:textId="4C4ED31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57E9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9F56B" w14:textId="6049819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B2AB" w14:textId="63D4415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2.63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2B336F" w14:textId="5A6715C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205A5A17" w14:textId="77777777" w:rsidTr="00C97793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52ED78" w14:textId="5F6F2BC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B963" w14:textId="3ACC0B8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0003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C590" w14:textId="06E32D6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F172" w14:textId="54514CD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4482" w14:textId="7EFC709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FB80" w14:textId="60DB986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2.88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735A41" w14:textId="3FBC171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75BFCA6A" w14:textId="77777777" w:rsidTr="00C97793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3EDC2D" w14:textId="46EEBAD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908D" w14:textId="40E3251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0003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341C5" w14:textId="4DFDA31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F0685" w14:textId="1666215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01FE" w14:textId="3579282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59C5" w14:textId="63733DB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109.20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AFB501" w14:textId="2DCDA67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660E3E83" w14:textId="77777777" w:rsidTr="00C97793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549A7" w14:textId="4F81E21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78355" w14:textId="6513B90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0003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0A6D" w14:textId="6719CFB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ADA6E" w14:textId="644343E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834F" w14:textId="04072AF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1CE7" w14:textId="5712ED6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20.16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4DB464" w14:textId="4578F5E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1110B1BF" w14:textId="77777777" w:rsidTr="00C97793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810DCB" w14:textId="44CBFB2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F54C" w14:textId="40AE262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0003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12234" w14:textId="0391B2C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E435" w14:textId="0783D09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8B63" w14:textId="2208907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2F68" w14:textId="0C2A0EB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12.25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1B657A" w14:textId="4C7E9FB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4A32CF87" w14:textId="77777777" w:rsidTr="00C97793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7F973F" w14:textId="606EDCB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21D4" w14:textId="73FB3DA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0003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A8F9" w14:textId="66E6CE7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FB9A" w14:textId="3F8C2E6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FDB0" w14:textId="3D9BD2D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F325C" w14:textId="44833FD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25.20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ABE310" w14:textId="30C238E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33959055" w14:textId="77777777" w:rsidTr="005C3D6A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504B68" w14:textId="181702C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994B3" w14:textId="0878F71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410003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482F" w14:textId="7FDD30E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EC8C" w14:textId="63AB22E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93B2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2768D" w14:textId="1DF379B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27DDB"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C1D6" w14:textId="7A35389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15.54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4AF494" w14:textId="260DAE5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5CE6EE3C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CEDA0F" w14:textId="45D21DA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lastRenderedPageBreak/>
              <w:t>C1914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033E0" w14:textId="3F713DC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DFF8" w14:textId="3A98D09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0924" w14:textId="1387708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69CB8" w14:textId="783003A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1562" w14:textId="66C964C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15.96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DC48F0" w14:textId="75E610D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0F16D5AD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8DC307" w14:textId="28C9551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C1935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B511" w14:textId="765CC44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218A2" w14:textId="4DF4909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AEF5" w14:textId="3A5B7E0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B802" w14:textId="650828A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F7C0" w14:textId="572D0C3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6.66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F73E1F" w14:textId="16206AF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5225DAB8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4E65D7" w14:textId="4ED1DB4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AE1E" w14:textId="5FE3AE3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738A" w14:textId="62FF44A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4946" w14:textId="75F8F67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E01F5" w14:textId="050B8D1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F3D7" w14:textId="763ADB4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80.64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703ECC" w14:textId="74B4200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488B3D26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27907F" w14:textId="63D6D63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F2BE9" w14:textId="3C9F51B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3FF8" w14:textId="6B14C1A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DB05" w14:textId="1655C59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2510" w14:textId="27318F9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38CEA" w14:textId="4AFBBE5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19.95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41A607" w14:textId="3D3DA36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120B8756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83D80A" w14:textId="43E3D8A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3C6D4" w14:textId="470EBC3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B2FE" w14:textId="738AD67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9D68" w14:textId="3051DF6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5E3F" w14:textId="335D751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6AF5" w14:textId="36C2C1D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42.77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850B34" w14:textId="00B19D6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57423765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55F3B" w14:textId="16FABFF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C2933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0F8F" w14:textId="1B58331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B278" w14:textId="4FF371C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9769" w14:textId="49604AC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6D9D" w14:textId="2361847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EB09" w14:textId="6893169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9.57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8EB1A8" w14:textId="38EF3D3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18FD4FA8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539F9E" w14:textId="2CA2CC3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C3635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6523" w14:textId="21AC1B3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7C968" w14:textId="0E20FD8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5E85" w14:textId="22AAB9A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CF96" w14:textId="6F22A66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C7AF8" w14:textId="6DD6959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12.60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64EE4" w14:textId="4D0D7DC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6C51D526" w14:textId="77777777" w:rsidTr="00E0101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6F1DA3" w14:textId="7C80DB8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C4814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F9A3" w14:textId="629E145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37626D">
              <w:rPr>
                <w:rFonts w:hint="eastAsia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D322" w14:textId="0A9FEE9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8EEE" w14:textId="3490EAE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4F031" w14:textId="1F56EF4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154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F5654" w14:textId="5C36A46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87.36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F95C6" w14:textId="199EB26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52BA497C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6B00BA" w14:textId="7673A94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A508" w14:textId="5CB671E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2E5FE" w14:textId="3691584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E230F" w14:textId="00F5190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3AB81" w14:textId="652718D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180D" w14:textId="374E646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2.88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62A0A9" w14:textId="782DF57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02171545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A20EEF" w14:textId="4E33038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3CE74" w14:textId="5E3CD17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F3A2" w14:textId="55CEDF7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6703C" w14:textId="7C5FA69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C743A" w14:textId="27F0CEF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CB63" w14:textId="556F955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9.66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FE412C" w14:textId="162F12A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69454DC1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97BB34" w14:textId="161C3FE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C1835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8A24" w14:textId="5E3D53B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662A" w14:textId="7C876D7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1FFD" w14:textId="727F2A1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D18BB" w14:textId="5C40B1E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A662" w14:textId="34C1327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12.60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0DDF89" w14:textId="26EC4A1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3197104C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C4CDCB" w14:textId="54CCF25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A5B5" w14:textId="71C1933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CFD19" w14:textId="137EE00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69B19" w14:textId="0564D8B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8E106" w14:textId="38F67C8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A64F" w14:textId="72B94BA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103.74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81D362" w14:textId="51E34CF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683C5397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590835" w14:textId="5579B08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C8F80" w14:textId="2A3A330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0ED3" w14:textId="08D9AC9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68BB" w14:textId="21BF99E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98AA1" w14:textId="63153AE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7FAE9" w14:textId="49992D4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10.61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D18DDF" w14:textId="180D70B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48CBD788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5FAECE" w14:textId="3875D20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C2235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204B5" w14:textId="15C438E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B4E92" w14:textId="4E7F82A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2276F" w14:textId="0CC48E8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F927C" w14:textId="4081E8F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36B9F" w14:textId="1469BE6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23.10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D4A508" w14:textId="56A8BD3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39765AE2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B082B8" w14:textId="1B065B9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9500" w14:textId="23C8F4C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F7C5" w14:textId="6B9B76B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90115" w14:textId="4625A5B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B452B" w14:textId="52D424C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417C" w14:textId="37BA3A3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517.44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221B18" w14:textId="226EF5E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4DFE5AF3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35F465" w14:textId="5DF4608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B6EE" w14:textId="6F643D5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CC6A" w14:textId="2D524A1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AD0B" w14:textId="48F16FE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82AC0" w14:textId="2F93AB3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0AF3" w14:textId="7E57ACF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42.00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69E836" w14:textId="15DCE82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30ED95E0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F3F55E" w14:textId="03292A5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EFDC" w14:textId="7392A09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CD86" w14:textId="715EF46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583D" w14:textId="62D37E3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0C55E" w14:textId="4F1CAE1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0A39B" w14:textId="0494466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3.29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B13FE9" w14:textId="56C3DBD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19A6C6EC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B901D" w14:textId="5D49FDA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C3014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64ED" w14:textId="5B27236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C15F" w14:textId="669EF48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3B37" w14:textId="7B18B1D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7A7CB" w14:textId="1A501A1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BF0E" w14:textId="475E4EE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37.80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BA71A5" w14:textId="32D5AA9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35C1490B" w14:textId="77777777" w:rsidTr="00526FEE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2A0881" w14:textId="7A94FCC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C5414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FC41" w14:textId="07863E4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D17A0C">
              <w:rPr>
                <w:rFonts w:hint="eastAsia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16B6" w14:textId="7D6C7A0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40CD" w14:textId="4592131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4B589" w14:textId="0E0523B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4A66" w14:textId="08062AE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45.36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63E7D3" w14:textId="49FF04E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2FF57F46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1BF819" w14:textId="40B1907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C1114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9AD66" w14:textId="7CB7D66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057C" w14:textId="0FF259C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4163" w14:textId="5F6A0E2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368C" w14:textId="7637208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92EB" w14:textId="6FA85C6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20.93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30172A" w14:textId="576BF0C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5005122F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20722C" w14:textId="76FF238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10471">
              <w:t>C1135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08B5" w14:textId="33A8F20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D202" w14:textId="02AD4A6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870CB" w14:textId="4D0D1F2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92181A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BDBF6" w14:textId="3BE6E19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8382D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23966" w14:textId="28ED7A4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224ED1">
              <w:t xml:space="preserve">3.85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B0A70A" w14:textId="6300DA7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A71B2B">
              <w:t>100</w:t>
            </w:r>
          </w:p>
        </w:tc>
      </w:tr>
      <w:tr w:rsidR="006B4469" w:rsidRPr="0002196F" w14:paraId="435DD12F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97701C" w14:textId="60242FA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C1214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D69C" w14:textId="735AC53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A0300" w14:textId="6494067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F928" w14:textId="1DC9B23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4B6D" w14:textId="2B908C3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A4A8B" w14:textId="5129A83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162.96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DAAE4F" w14:textId="2AE490F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3483C89C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18D1AE" w14:textId="6744390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C1214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0CD17" w14:textId="7C4DEAA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ACC4" w14:textId="5DC7BD4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CAFF" w14:textId="52B534F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72C6" w14:textId="6360A92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0379" w14:textId="4627D0E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22.54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722861" w14:textId="1D9B569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6920D4D3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EE64C7" w14:textId="3F4BF5C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C1235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D3329" w14:textId="542F46A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71F4" w14:textId="0CBCEDD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711C" w14:textId="46FC7D3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2658" w14:textId="0E45D7F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C02BD" w14:textId="0084FB5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29.40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F207C5" w14:textId="6B558B1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6F2A83DF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E2426" w14:textId="60212E1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C1814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DA82F" w14:textId="34B673F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9FFF1" w14:textId="5F5B637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CBDD5" w14:textId="5004B66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62D5" w14:textId="287C062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3FAC" w14:textId="08ABFE6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95.76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368F76" w14:textId="4BC4C518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4745A878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B2E185" w14:textId="73F1C47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C1835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B08A" w14:textId="568BE23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7679" w14:textId="5FD79C1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DFB7" w14:textId="6D8CCB9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F4E90" w14:textId="3905396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5D768" w14:textId="494B39D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18.90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B59C9A" w14:textId="56CA134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7CFA921B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870E0" w14:textId="1D0A746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C2414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0A94" w14:textId="4F72FC46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5BB5D" w14:textId="4D6A5B0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1B254" w14:textId="043233C5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2EA9" w14:textId="1877C41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E3D6" w14:textId="65F6C79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16.80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3E456E" w14:textId="2152FB7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4458467E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EED5D3" w14:textId="35205A60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C2435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DC290" w14:textId="0944F987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F004" w14:textId="14F8D07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C443" w14:textId="2861BB5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F0D18" w14:textId="45AB600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60187" w14:textId="4753727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8.40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15472C" w14:textId="0785C832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4338E7E4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C78A48" w14:textId="3537EF3D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C3014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B236" w14:textId="3625595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1BB73" w14:textId="485D0A91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1121A" w14:textId="346B3039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05BCB" w14:textId="5A8EED8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4766" w14:textId="675A7F04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75.60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C5E6EE" w14:textId="325DCFFA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6B4469" w:rsidRPr="0002196F" w14:paraId="70A9DCBA" w14:textId="77777777" w:rsidTr="00FA58B9">
        <w:trPr>
          <w:cantSplit/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2804E9" w14:textId="3DE1D33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07178">
              <w:t>C3035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1406E" w14:textId="51E0C89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511489">
              <w:rPr>
                <w:rFonts w:hint="eastAsia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17102" w14:textId="0F25C27E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94AA4" w14:textId="36A30FB3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C27516"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6B84" w14:textId="383BA58B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FD4946"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7D0B" w14:textId="15C7A31C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194E7B">
              <w:t xml:space="preserve">10.50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A803E2" w14:textId="54006AEF" w:rsidR="006B4469" w:rsidRPr="0002196F" w:rsidRDefault="006B4469" w:rsidP="006B4469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7A2789">
              <w:t>100</w:t>
            </w:r>
          </w:p>
        </w:tc>
      </w:tr>
      <w:tr w:rsidR="00162CB5" w:rsidRPr="0002196F" w14:paraId="5B2A760F" w14:textId="77777777" w:rsidTr="0002196F">
        <w:trPr>
          <w:cantSplit/>
          <w:trHeight w:val="397"/>
          <w:jc w:val="center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8E596CE" w14:textId="77777777" w:rsidR="00162CB5" w:rsidRPr="0002196F" w:rsidRDefault="00162CB5" w:rsidP="00162CB5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Cs/>
                <w:iCs/>
                <w:sz w:val="21"/>
                <w:szCs w:val="21"/>
              </w:rPr>
              <w:t>总计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AD72E36" w14:textId="4A697E90" w:rsidR="00162CB5" w:rsidRPr="0002196F" w:rsidRDefault="006B4469" w:rsidP="00162CB5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iCs/>
                <w:sz w:val="21"/>
                <w:szCs w:val="21"/>
              </w:rPr>
              <w:t>2</w:t>
            </w:r>
            <w:r>
              <w:rPr>
                <w:rFonts w:eastAsiaTheme="minorEastAsia"/>
                <w:bCs/>
                <w:iCs/>
                <w:sz w:val="21"/>
                <w:szCs w:val="21"/>
              </w:rPr>
              <w:t>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48B23" w14:textId="0592A71A" w:rsidR="00162CB5" w:rsidRPr="0002196F" w:rsidRDefault="006B4469" w:rsidP="00162CB5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iCs/>
                <w:sz w:val="21"/>
                <w:szCs w:val="21"/>
              </w:rPr>
              <w:t>1</w:t>
            </w:r>
            <w:r>
              <w:rPr>
                <w:rFonts w:eastAsiaTheme="minorEastAsia"/>
                <w:bCs/>
                <w:iCs/>
                <w:sz w:val="21"/>
                <w:szCs w:val="21"/>
              </w:rPr>
              <w:t>00</w:t>
            </w:r>
          </w:p>
        </w:tc>
      </w:tr>
    </w:tbl>
    <w:p w14:paraId="07000E12" w14:textId="77777777" w:rsidR="00B509B5" w:rsidRPr="0002196F" w:rsidRDefault="00B509B5" w:rsidP="0002196F">
      <w:pPr>
        <w:spacing w:before="100" w:line="288" w:lineRule="auto"/>
        <w:rPr>
          <w:rFonts w:eastAsiaTheme="minorEastAsia"/>
          <w:szCs w:val="21"/>
          <w:lang w:val="zh-CN"/>
        </w:rPr>
      </w:pPr>
      <w:r w:rsidRPr="0002196F">
        <w:rPr>
          <w:rFonts w:eastAsiaTheme="minorEastAsia"/>
          <w:szCs w:val="21"/>
          <w:lang w:val="zh-CN"/>
        </w:rPr>
        <w:lastRenderedPageBreak/>
        <w:t>透明幕墙采取可控遮阳的面积统计</w:t>
      </w:r>
      <w:r w:rsidRPr="0002196F">
        <w:rPr>
          <w:rFonts w:eastAsiaTheme="minorEastAsia" w:hint="eastAsia"/>
          <w:szCs w:val="21"/>
          <w:lang w:val="zh-CN"/>
        </w:rPr>
        <w:t>列</w:t>
      </w:r>
      <w:r w:rsidRPr="0002196F">
        <w:rPr>
          <w:rFonts w:eastAsiaTheme="minorEastAsia"/>
          <w:szCs w:val="21"/>
          <w:lang w:val="zh-CN"/>
        </w:rPr>
        <w:t>表</w:t>
      </w:r>
      <w:r w:rsidRPr="0002196F">
        <w:rPr>
          <w:rFonts w:eastAsiaTheme="minorEastAsia" w:hint="eastAsia"/>
          <w:szCs w:val="21"/>
          <w:lang w:val="zh-CN"/>
        </w:rPr>
        <w:t>：</w:t>
      </w:r>
    </w:p>
    <w:tbl>
      <w:tblPr>
        <w:tblW w:w="8354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1134"/>
        <w:gridCol w:w="1134"/>
        <w:gridCol w:w="993"/>
        <w:gridCol w:w="1832"/>
        <w:gridCol w:w="1560"/>
      </w:tblGrid>
      <w:tr w:rsidR="00B509B5" w:rsidRPr="0002196F" w14:paraId="0BDCA51A" w14:textId="77777777" w:rsidTr="0002196F">
        <w:trPr>
          <w:trHeight w:val="397"/>
          <w:tblHeader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7C3E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6BD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朝向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1DB0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尺寸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84A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数量（个）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012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采取可控遮阳调节措施面积（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D47D6D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采取可控遮阳调节措施面积比例（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%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B509B5" w:rsidRPr="0002196F" w14:paraId="28A8D6B2" w14:textId="77777777" w:rsidTr="0002196F">
        <w:trPr>
          <w:cantSplit/>
          <w:trHeight w:val="397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C81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D456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A80D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宽度（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FF7F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高度（</w:t>
            </w:r>
            <w:r w:rsidRPr="0002196F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02196F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FE2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549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B6C669A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 w:rsidR="00B509B5" w:rsidRPr="0002196F" w14:paraId="69CFE5CB" w14:textId="77777777" w:rsidTr="0002196F">
        <w:trPr>
          <w:cantSplit/>
          <w:trHeight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3FB4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E2D1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1A4F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0CE3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1F2F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02D2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22DB2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</w:tr>
      <w:tr w:rsidR="00B509B5" w:rsidRPr="0002196F" w14:paraId="2FAF9392" w14:textId="77777777" w:rsidTr="0002196F">
        <w:trPr>
          <w:cantSplit/>
          <w:trHeight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EAB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04F9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B227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5903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8F92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B8D2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B0F8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</w:tr>
      <w:tr w:rsidR="00B509B5" w:rsidRPr="0002196F" w14:paraId="2ABF7E33" w14:textId="77777777" w:rsidTr="0002196F">
        <w:trPr>
          <w:cantSplit/>
          <w:trHeight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269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9E43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52BA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49A3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E887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6114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2B148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</w:tr>
      <w:tr w:rsidR="00B509B5" w:rsidRPr="0002196F" w14:paraId="6FF5B213" w14:textId="77777777" w:rsidTr="0002196F">
        <w:trPr>
          <w:cantSplit/>
          <w:trHeight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75F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82DDE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8CFD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C2F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5DB7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031C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D5038A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</w:tr>
      <w:tr w:rsidR="00B509B5" w:rsidRPr="0002196F" w14:paraId="56F3D778" w14:textId="77777777" w:rsidTr="0002196F">
        <w:trPr>
          <w:cantSplit/>
          <w:trHeight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74D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6D50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75D2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D860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A19B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A321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D21170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</w:tr>
      <w:tr w:rsidR="00B509B5" w:rsidRPr="0002196F" w14:paraId="50D93A07" w14:textId="77777777" w:rsidTr="0002196F">
        <w:trPr>
          <w:cantSplit/>
          <w:trHeight w:val="397"/>
          <w:jc w:val="center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39DF201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  <w:r w:rsidRPr="0002196F">
              <w:rPr>
                <w:rFonts w:eastAsiaTheme="minorEastAsia" w:hint="eastAsia"/>
                <w:bCs/>
                <w:iCs/>
                <w:sz w:val="21"/>
                <w:szCs w:val="21"/>
              </w:rPr>
              <w:t>总计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D5A0148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F6BB" w14:textId="77777777" w:rsidR="00B509B5" w:rsidRPr="0002196F" w:rsidRDefault="00B509B5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 w:val="21"/>
                <w:szCs w:val="21"/>
              </w:rPr>
            </w:pPr>
          </w:p>
        </w:tc>
      </w:tr>
    </w:tbl>
    <w:p w14:paraId="3893ED12" w14:textId="77777777" w:rsidR="00B509B5" w:rsidRPr="0002196F" w:rsidRDefault="00B509B5" w:rsidP="00B509B5">
      <w:pPr>
        <w:spacing w:line="288" w:lineRule="auto"/>
        <w:rPr>
          <w:rFonts w:eastAsiaTheme="minorEastAsia"/>
          <w:lang w:val="zh-CN"/>
        </w:rPr>
      </w:pPr>
      <w:r w:rsidRPr="0002196F">
        <w:rPr>
          <w:rFonts w:eastAsiaTheme="minorEastAsia" w:hint="eastAsia"/>
          <w:szCs w:val="21"/>
          <w:lang w:val="zh-CN"/>
        </w:rPr>
        <w:t>简要说明所采用的可控遮阳技术及使用位置。（</w:t>
      </w:r>
      <w:r w:rsidRPr="0002196F">
        <w:rPr>
          <w:rFonts w:eastAsiaTheme="minorEastAsia" w:hint="eastAsia"/>
          <w:szCs w:val="21"/>
          <w:lang w:val="zh-CN"/>
        </w:rPr>
        <w:t>2</w:t>
      </w:r>
      <w:r w:rsidRPr="0002196F">
        <w:rPr>
          <w:rFonts w:eastAsiaTheme="minorEastAsia"/>
          <w:szCs w:val="21"/>
          <w:lang w:val="zh-CN"/>
        </w:rPr>
        <w:t>00</w:t>
      </w:r>
      <w:r w:rsidRPr="0002196F">
        <w:rPr>
          <w:rFonts w:eastAsiaTheme="minorEastAsia" w:hint="eastAsia"/>
          <w:szCs w:val="21"/>
          <w:lang w:val="zh-CN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</w:tblGrid>
      <w:tr w:rsidR="00B509B5" w:rsidRPr="0002196F" w14:paraId="2FF87655" w14:textId="77777777" w:rsidTr="0002196F">
        <w:trPr>
          <w:trHeight w:val="1701"/>
          <w:jc w:val="center"/>
        </w:trPr>
        <w:tc>
          <w:tcPr>
            <w:tcW w:w="8109" w:type="dxa"/>
          </w:tcPr>
          <w:p w14:paraId="1DFA8CCE" w14:textId="6EC6C877" w:rsidR="00B509B5" w:rsidRPr="0002196F" w:rsidRDefault="00F96344" w:rsidP="0002196F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color w:val="000000"/>
                <w:szCs w:val="21"/>
              </w:rPr>
              <w:t>中空内置百叶窗可以达到舒适与节能的目的，不仅能打造私人空间，也能减小清洗遮阳构建的人工成本。</w:t>
            </w:r>
            <w:r>
              <w:rPr>
                <w:color w:val="000000"/>
                <w:szCs w:val="21"/>
              </w:rPr>
              <w:t> </w:t>
            </w:r>
            <w:r>
              <w:rPr>
                <w:color w:val="000000"/>
                <w:szCs w:val="21"/>
              </w:rPr>
              <w:t>每个外窗均设置可控的中空内置百叶窗。</w:t>
            </w:r>
          </w:p>
        </w:tc>
      </w:tr>
    </w:tbl>
    <w:p w14:paraId="69E056E5" w14:textId="77777777" w:rsidR="00B509B5" w:rsidRPr="0002196F" w:rsidRDefault="00B509B5" w:rsidP="00B509B5">
      <w:pPr>
        <w:spacing w:line="288" w:lineRule="auto"/>
        <w:jc w:val="left"/>
        <w:rPr>
          <w:rFonts w:eastAsiaTheme="minorEastAsia"/>
          <w:b/>
          <w:sz w:val="24"/>
        </w:rPr>
      </w:pPr>
    </w:p>
    <w:p w14:paraId="5E727BFC" w14:textId="77777777" w:rsidR="00B509B5" w:rsidRPr="0002196F" w:rsidRDefault="00B509B5" w:rsidP="00B509B5">
      <w:pPr>
        <w:pStyle w:val="1"/>
        <w:numPr>
          <w:ilvl w:val="0"/>
          <w:numId w:val="2"/>
        </w:numPr>
        <w:spacing w:line="288" w:lineRule="auto"/>
        <w:ind w:firstLineChars="0"/>
        <w:jc w:val="left"/>
        <w:rPr>
          <w:rFonts w:eastAsiaTheme="minorEastAsia"/>
          <w:b/>
        </w:rPr>
      </w:pPr>
      <w:r w:rsidRPr="0002196F">
        <w:rPr>
          <w:rFonts w:eastAsiaTheme="minorEastAsia" w:hint="eastAsia"/>
          <w:b/>
        </w:rPr>
        <w:t>证明材料：</w:t>
      </w:r>
    </w:p>
    <w:p w14:paraId="690B68DB" w14:textId="77777777" w:rsidR="00B509B5" w:rsidRPr="0002196F" w:rsidRDefault="00B509B5" w:rsidP="00B509B5">
      <w:pPr>
        <w:spacing w:beforeLines="50" w:before="156" w:afterLines="50" w:after="156" w:line="288" w:lineRule="auto"/>
        <w:rPr>
          <w:rFonts w:eastAsiaTheme="minorEastAsia"/>
          <w:b/>
        </w:rPr>
      </w:pPr>
      <w:r w:rsidRPr="0002196F">
        <w:rPr>
          <w:rFonts w:eastAsiaTheme="minorEastAsia" w:hint="eastAsia"/>
          <w:b/>
        </w:rPr>
        <w:t>建议提交材料及技术要求：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703"/>
        <w:gridCol w:w="1765"/>
        <w:gridCol w:w="3864"/>
        <w:gridCol w:w="1184"/>
        <w:gridCol w:w="739"/>
      </w:tblGrid>
      <w:tr w:rsidR="00B509B5" w:rsidRPr="0002196F" w14:paraId="658678CF" w14:textId="77777777" w:rsidTr="00D91BCA">
        <w:trPr>
          <w:trHeight w:val="54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C2927D" w14:textId="77777777" w:rsidR="00B509B5" w:rsidRPr="0002196F" w:rsidRDefault="00B509B5" w:rsidP="0002196F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7ACC0E" w14:textId="77777777" w:rsidR="00B509B5" w:rsidRPr="0002196F" w:rsidRDefault="00B509B5" w:rsidP="0002196F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5F31EA9" w14:textId="77777777" w:rsidR="00B509B5" w:rsidRPr="0002196F" w:rsidRDefault="00B509B5" w:rsidP="0002196F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EC109C" w14:textId="77777777" w:rsidR="00B509B5" w:rsidRPr="0002196F" w:rsidRDefault="00B509B5" w:rsidP="0002196F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461AFE" w14:textId="77777777" w:rsidR="00B509B5" w:rsidRPr="0002196F" w:rsidRDefault="00B509B5" w:rsidP="0002196F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B509B5" w:rsidRPr="0002196F" w14:paraId="260E308C" w14:textId="77777777" w:rsidTr="0002196F">
        <w:trPr>
          <w:trHeight w:val="5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4AC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4C5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建筑设计说明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DD5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应包含可调节遮阳设施的类型、位置及朝向说明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3B3" w14:textId="77777777" w:rsidR="00D91BCA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5018A105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DB3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509B5" w:rsidRPr="0002196F" w14:paraId="0761253B" w14:textId="77777777" w:rsidTr="0002196F">
        <w:trPr>
          <w:trHeight w:val="54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4082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FF1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建筑立面图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A8B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应体现可调节遮阳设施的类型、位置及朝向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FBF" w14:textId="77777777" w:rsidR="00D91BCA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E9A4D2B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FF6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509B5" w:rsidRPr="0002196F" w14:paraId="743B2C5B" w14:textId="77777777" w:rsidTr="0002196F">
        <w:trPr>
          <w:trHeight w:val="5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923" w14:textId="77777777" w:rsidR="00B509B5" w:rsidRPr="0002196F" w:rsidRDefault="00B509B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01A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遮阳装置图纸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DDC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应体现可调节遮阳设施的类型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7A6" w14:textId="77777777" w:rsidR="00D91BCA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E4A9644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C2C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509B5" w:rsidRPr="0002196F" w14:paraId="375EC7CC" w14:textId="77777777" w:rsidTr="0002196F">
        <w:trPr>
          <w:trHeight w:val="54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A03D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D55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遮阳产品说明书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00F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应体现可调节遮阳设施的类型、最大遮阳面积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28C" w14:textId="77777777" w:rsidR="00D91BCA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7E63932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FD0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509B5" w:rsidRPr="0002196F" w14:paraId="1DFD4DF2" w14:textId="77777777" w:rsidTr="0002196F">
        <w:trPr>
          <w:trHeight w:val="13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B30D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0AC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可调节遮阳设施的面积占外窗透明部分比例计算书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65A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应包含可调节遮阳形式说明、控制措施、可调节遮阳覆盖率计算过程及结论，并且应对建筑透明围护结构总面积，有太阳直射部分的面积、以及采取可调节遮阳措施的面积进行分项统计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BCE" w14:textId="77777777" w:rsidR="00D91BCA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D4CB0E5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0D6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509B5" w:rsidRPr="0002196F" w14:paraId="379D2584" w14:textId="77777777" w:rsidTr="0002196F">
        <w:trPr>
          <w:trHeight w:val="54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0C57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DC3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门窗表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89B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应体现门窗的类型及尺寸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930" w14:textId="77777777" w:rsidR="00D91BCA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BBD990C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D8E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509B5" w:rsidRPr="0002196F" w14:paraId="63D15DDB" w14:textId="77777777" w:rsidTr="0002196F">
        <w:trPr>
          <w:trHeight w:val="54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0622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D47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招标文件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5BC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F4C" w14:textId="77777777" w:rsidR="00D91BCA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76A2625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39E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509B5" w:rsidRPr="0002196F" w14:paraId="0C1FB04B" w14:textId="77777777" w:rsidTr="0002196F">
        <w:trPr>
          <w:trHeight w:val="54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8554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180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采购合同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A40" w14:textId="77777777" w:rsidR="00B509B5" w:rsidRPr="0002196F" w:rsidRDefault="00B509B5" w:rsidP="0002196F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F6B" w14:textId="77777777" w:rsidR="00B509B5" w:rsidRPr="0002196F" w:rsidRDefault="00B509B5" w:rsidP="00D91BCA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15E" w14:textId="77777777" w:rsidR="00B509B5" w:rsidRPr="0002196F" w:rsidRDefault="00B509B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02196F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6BAE91D" w14:textId="77777777" w:rsidR="000416B5" w:rsidRPr="00AA3473" w:rsidRDefault="000416B5" w:rsidP="000416B5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416B5" w:rsidRPr="00547320" w14:paraId="4C4CE6E2" w14:textId="77777777" w:rsidTr="00F63371">
        <w:trPr>
          <w:trHeight w:val="2634"/>
          <w:jc w:val="center"/>
        </w:trPr>
        <w:tc>
          <w:tcPr>
            <w:tcW w:w="9356" w:type="dxa"/>
          </w:tcPr>
          <w:p w14:paraId="3B8DDC65" w14:textId="77777777" w:rsidR="000416B5" w:rsidRPr="00547320" w:rsidRDefault="000416B5" w:rsidP="00F63371">
            <w:pPr>
              <w:rPr>
                <w:szCs w:val="21"/>
              </w:rPr>
            </w:pPr>
          </w:p>
        </w:tc>
      </w:tr>
    </w:tbl>
    <w:p w14:paraId="3D423DEC" w14:textId="77777777" w:rsidR="000416B5" w:rsidRDefault="000416B5" w:rsidP="000416B5">
      <w:pPr>
        <w:rPr>
          <w:szCs w:val="21"/>
        </w:rPr>
      </w:pPr>
    </w:p>
    <w:p w14:paraId="314E6E10" w14:textId="77777777" w:rsidR="006E2A76" w:rsidRPr="0002196F" w:rsidRDefault="006E2A76">
      <w:pPr>
        <w:rPr>
          <w:rFonts w:eastAsiaTheme="minorEastAsia"/>
        </w:rPr>
      </w:pPr>
    </w:p>
    <w:sectPr w:rsidR="006E2A76" w:rsidRPr="000219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51BA1" w14:textId="77777777" w:rsidR="00E42798" w:rsidRDefault="00E42798" w:rsidP="00B509B5">
      <w:r>
        <w:separator/>
      </w:r>
    </w:p>
  </w:endnote>
  <w:endnote w:type="continuationSeparator" w:id="0">
    <w:p w14:paraId="4DB35A90" w14:textId="77777777" w:rsidR="00E42798" w:rsidRDefault="00E42798" w:rsidP="00B5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630A5" w14:textId="77777777" w:rsidR="00E42798" w:rsidRDefault="00E42798" w:rsidP="00B509B5">
      <w:r>
        <w:separator/>
      </w:r>
    </w:p>
  </w:footnote>
  <w:footnote w:type="continuationSeparator" w:id="0">
    <w:p w14:paraId="0715E04C" w14:textId="77777777" w:rsidR="00E42798" w:rsidRDefault="00E42798" w:rsidP="00B5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F3EB" w14:textId="77777777" w:rsidR="00140CAD" w:rsidRDefault="00140CAD">
    <w:pPr>
      <w:pStyle w:val="a3"/>
    </w:pPr>
    <w:r>
      <w:tab/>
    </w:r>
    <w:r>
      <w:tab/>
    </w:r>
    <w:r>
      <w:rPr>
        <w:rFonts w:hint="eastAsia"/>
      </w:rPr>
      <w:t>自评内容：健康舒适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A3111"/>
    <w:multiLevelType w:val="multilevel"/>
    <w:tmpl w:val="1F566BB6"/>
    <w:lvl w:ilvl="0">
      <w:start w:val="1"/>
      <w:numFmt w:val="decimal"/>
      <w:lvlText w:val="%1、"/>
      <w:lvlJc w:val="left"/>
      <w:pPr>
        <w:ind w:left="37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1B"/>
    <w:rsid w:val="0002196F"/>
    <w:rsid w:val="000416B5"/>
    <w:rsid w:val="0008138D"/>
    <w:rsid w:val="00140CAD"/>
    <w:rsid w:val="00162CB5"/>
    <w:rsid w:val="00343BC7"/>
    <w:rsid w:val="003E63E7"/>
    <w:rsid w:val="006369E0"/>
    <w:rsid w:val="006B4469"/>
    <w:rsid w:val="006E2A76"/>
    <w:rsid w:val="00B509B5"/>
    <w:rsid w:val="00D91BCA"/>
    <w:rsid w:val="00E42798"/>
    <w:rsid w:val="00E63E09"/>
    <w:rsid w:val="00ED5E1B"/>
    <w:rsid w:val="00F94890"/>
    <w:rsid w:val="00F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56D07"/>
  <w15:chartTrackingRefBased/>
  <w15:docId w15:val="{754458B8-FB86-45E3-BC87-FA0603FD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B509B5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9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9B5"/>
    <w:rPr>
      <w:sz w:val="18"/>
      <w:szCs w:val="18"/>
    </w:rPr>
  </w:style>
  <w:style w:type="character" w:customStyle="1" w:styleId="30">
    <w:name w:val="标题 3 字符"/>
    <w:basedOn w:val="a0"/>
    <w:link w:val="3"/>
    <w:rsid w:val="00B509B5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B509B5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B509B5"/>
    <w:pPr>
      <w:spacing w:line="300" w:lineRule="auto"/>
      <w:outlineLvl w:val="2"/>
    </w:pPr>
    <w:rPr>
      <w:sz w:val="24"/>
    </w:rPr>
  </w:style>
  <w:style w:type="paragraph" w:customStyle="1" w:styleId="1">
    <w:name w:val="列出段落1"/>
    <w:basedOn w:val="a"/>
    <w:uiPriority w:val="34"/>
    <w:qFormat/>
    <w:rsid w:val="00B509B5"/>
    <w:pPr>
      <w:ind w:firstLineChars="200" w:firstLine="420"/>
    </w:pPr>
  </w:style>
  <w:style w:type="paragraph" w:styleId="a8">
    <w:name w:val="List Paragraph"/>
    <w:basedOn w:val="a"/>
    <w:uiPriority w:val="34"/>
    <w:qFormat/>
    <w:rsid w:val="00B509B5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B509B5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9"/>
    <w:uiPriority w:val="59"/>
    <w:rsid w:val="000416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4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黎 珊</cp:lastModifiedBy>
  <cp:revision>8</cp:revision>
  <dcterms:created xsi:type="dcterms:W3CDTF">2020-06-04T02:11:00Z</dcterms:created>
  <dcterms:modified xsi:type="dcterms:W3CDTF">2021-01-28T15:19:00Z</dcterms:modified>
</cp:coreProperties>
</file>