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hint="eastAsia" w:ascii="黑体" w:hAnsi="黑体" w:eastAsia="黑体" w:cs="黑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hint="eastAsia" w:ascii="黑体" w:hAnsi="黑体" w:eastAsia="黑体" w:cs="黑体"/>
          <w:b/>
          <w:bCs/>
          <w:sz w:val="72"/>
          <w:szCs w:val="72"/>
        </w:rPr>
      </w:pPr>
    </w:p>
    <w:p>
      <w:pPr>
        <w:spacing w:before="312" w:beforeLines="100" w:line="180" w:lineRule="atLeast"/>
        <w:jc w:val="center"/>
        <w:rPr>
          <w:rFonts w:hint="eastAsia" w:ascii="黑体" w:hAnsi="黑体" w:eastAsia="黑体" w:cs="黑体"/>
          <w:b/>
          <w:bCs/>
          <w:sz w:val="72"/>
          <w:szCs w:val="72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52"/>
          <w:szCs w:val="5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52"/>
          <w:szCs w:val="5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52"/>
          <w:szCs w:val="5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52"/>
          <w:szCs w:val="52"/>
          <w:lang w:val="en-GB"/>
        </w:rPr>
        <w:t>浓度</w:t>
      </w:r>
      <w:r>
        <w:rPr>
          <w:rFonts w:ascii="Times New Roman" w:hAnsi="Times New Roman" w:eastAsia="黑体" w:cs="Times New Roman"/>
          <w:b/>
          <w:bCs/>
          <w:kern w:val="0"/>
          <w:sz w:val="52"/>
          <w:szCs w:val="52"/>
          <w:lang w:val="en-GB"/>
        </w:rPr>
        <w:t>报告书</w:t>
      </w:r>
    </w:p>
    <w:p>
      <w:pPr>
        <w:spacing w:line="180" w:lineRule="atLeast"/>
        <w:jc w:val="center"/>
        <w:rPr>
          <w:rFonts w:hint="eastAsia" w:ascii="黑体" w:hAnsi="黑体" w:eastAsia="黑体" w:cs="黑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hint="eastAsia" w:ascii="黑体" w:hAnsi="黑体" w:eastAsia="黑体" w:cs="黑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hint="eastAsia" w:ascii="黑体" w:hAnsi="黑体" w:eastAsia="黑体" w:cs="黑体"/>
          <w:b/>
          <w:bCs/>
          <w:szCs w:val="21"/>
          <w:lang w:val="en-US"/>
        </w:rPr>
      </w:pPr>
    </w:p>
    <w:p>
      <w:pPr>
        <w:rPr>
          <w:rFonts w:hint="eastAsia" w:ascii="黑体" w:hAnsi="黑体" w:eastAsia="黑体" w:cs="黑体"/>
          <w:lang w:val="en-US"/>
        </w:rPr>
      </w:pPr>
    </w:p>
    <w:p>
      <w:pPr>
        <w:jc w:val="center"/>
        <w:rPr>
          <w:rFonts w:hint="eastAsia" w:ascii="黑体" w:hAnsi="黑体" w:eastAsia="黑体" w:cs="黑体"/>
          <w:lang w:val="en-US"/>
        </w:rPr>
      </w:pPr>
    </w:p>
    <w:p>
      <w:pPr>
        <w:rPr>
          <w:rFonts w:hint="eastAsia" w:ascii="黑体" w:hAnsi="黑体" w:eastAsia="黑体" w:cs="黑体"/>
          <w:lang w:val="en-US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2"/>
        </w:rPr>
      </w:pPr>
    </w:p>
    <w:p>
      <w:pPr>
        <w:spacing w:line="1000" w:lineRule="exact"/>
        <w:ind w:left="0" w:leftChars="0" w:right="2024" w:rightChars="964" w:firstLine="2570" w:firstLineChars="8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项目名称：幼儿园改造后</w:t>
      </w:r>
    </w:p>
    <w:p>
      <w:pPr>
        <w:spacing w:line="1000" w:lineRule="exact"/>
        <w:ind w:left="0" w:leftChars="0" w:right="1619" w:rightChars="771" w:firstLine="2107" w:firstLineChars="656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学 校：黑龙江建筑职业技术学院</w:t>
      </w:r>
    </w:p>
    <w:p>
      <w:pPr>
        <w:spacing w:line="10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spacing w:line="10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2020年12月</w:t>
      </w:r>
    </w:p>
    <w:p>
      <w:pPr>
        <w:rPr>
          <w:rFonts w:ascii="Times New Roman" w:hAnsi="Times New Roman" w:cs="Times New Roman"/>
        </w:rPr>
      </w:pPr>
    </w:p>
    <w:p>
      <w:pPr>
        <w:pStyle w:val="36"/>
        <w:ind w:right="821" w:rightChars="391"/>
        <w:jc w:val="center"/>
        <w:rPr>
          <w:rFonts w:hint="eastAsia" w:ascii="宋体" w:hAnsi="宋体" w:eastAsia="宋体" w:cs="宋体"/>
          <w:color w:val="auto"/>
          <w:sz w:val="32"/>
        </w:rPr>
      </w:pPr>
      <w:r>
        <w:rPr>
          <w:rFonts w:hint="eastAsia" w:ascii="宋体" w:hAnsi="宋体" w:eastAsia="宋体" w:cs="宋体"/>
          <w:color w:val="auto"/>
          <w:sz w:val="32"/>
          <w:lang w:val="zh-CN" w:eastAsia="zh-CN"/>
        </w:rPr>
        <w:t>目录</w:t>
      </w:r>
    </w:p>
    <w:p>
      <w:pPr>
        <w:pStyle w:val="16"/>
        <w:tabs>
          <w:tab w:val="right" w:leader="dot" w:pos="7910"/>
        </w:tabs>
        <w:spacing w:line="360" w:lineRule="auto"/>
        <w:jc w:val="center"/>
      </w:pPr>
      <w:bookmarkStart w:id="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_Toc25351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_Toc25351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>
      <w:pPr>
        <w:pStyle w:val="17"/>
        <w:tabs>
          <w:tab w:val="right" w:leader="dot" w:pos="7910"/>
        </w:tabs>
        <w:spacing w:line="360" w:lineRule="auto"/>
        <w:jc w:val="center"/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_Toc23527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_Toc23527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  <w:spacing w:line="360" w:lineRule="auto"/>
        <w:jc w:val="center"/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_Toc1580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_Toc1580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  <w:spacing w:line="360" w:lineRule="auto"/>
        <w:jc w:val="center"/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_Toc19360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_Toc19360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  <w:spacing w:line="360" w:lineRule="auto"/>
        <w:jc w:val="center"/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_Toc26024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_Toc26024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  <w:spacing w:line="360" w:lineRule="auto"/>
        <w:jc w:val="center"/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_Toc29398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_Toc29398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  <w:spacing w:line="360" w:lineRule="auto"/>
        <w:jc w:val="center"/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_Toc10797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_Toc10797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  <w:spacing w:line="360" w:lineRule="auto"/>
        <w:jc w:val="center"/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_Toc21872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_Toc21872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  <w:spacing w:line="360" w:lineRule="auto"/>
        <w:jc w:val="center"/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_Toc22018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_Toc22018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  <w:spacing w:line="360" w:lineRule="auto"/>
        <w:jc w:val="center"/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_Toc10929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_Toc10929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  <w:spacing w:line="360" w:lineRule="auto"/>
        <w:jc w:val="center"/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_Toc20768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_Toc20768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  <w:spacing w:line="360" w:lineRule="auto"/>
        <w:jc w:val="center"/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_Toc14668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_Toc14668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0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5" w:h="16838"/>
          <w:pgMar w:top="1440" w:right="1417" w:bottom="1440" w:left="1417" w:header="851" w:footer="992" w:gutter="0"/>
          <w:paperSrc/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hint="default" w:ascii="Times New Roman" w:hAnsi="Times New Roman" w:eastAsia="宋体" w:cs="Times New Roman"/>
          <w:kern w:val="32"/>
          <w:sz w:val="28"/>
          <w:szCs w:val="28"/>
        </w:rPr>
      </w:pPr>
      <w:bookmarkStart w:id="1" w:name="_Toc25351"/>
      <w:r>
        <w:rPr>
          <w:rFonts w:hint="default" w:ascii="Times New Roman" w:hAnsi="Times New Roman" w:eastAsia="宋体" w:cs="Times New Roman"/>
          <w:kern w:val="32"/>
          <w:sz w:val="28"/>
          <w:szCs w:val="28"/>
        </w:rPr>
        <w:t>项目概况</w:t>
      </w:r>
      <w:bookmarkEnd w:id="1"/>
    </w:p>
    <w:p>
      <w:pPr>
        <w:pStyle w:val="3"/>
        <w:rPr>
          <w:rFonts w:hint="default" w:ascii="Times New Roman" w:hAnsi="Times New Roman" w:eastAsia="宋体" w:cs="Times New Roman"/>
          <w:sz w:val="24"/>
          <w:szCs w:val="24"/>
        </w:rPr>
      </w:pPr>
      <w:bookmarkStart w:id="2" w:name="_Toc23527"/>
      <w:r>
        <w:rPr>
          <w:rFonts w:hint="default" w:ascii="Times New Roman" w:hAnsi="Times New Roman" w:eastAsia="宋体" w:cs="Times New Roman"/>
          <w:sz w:val="24"/>
          <w:szCs w:val="24"/>
        </w:rPr>
        <w:t>建筑基本信息</w:t>
      </w:r>
      <w:bookmarkEnd w:id="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zh-CN" w:eastAsia="zh-CN"/>
        </w:rPr>
      </w:pPr>
    </w:p>
    <w:p>
      <w:pPr>
        <w:pStyle w:val="3"/>
        <w:rPr>
          <w:rFonts w:hint="default" w:ascii="Times New Roman" w:hAnsi="Times New Roman" w:eastAsia="宋体" w:cs="Times New Roman"/>
          <w:sz w:val="24"/>
          <w:szCs w:val="24"/>
        </w:rPr>
      </w:pPr>
      <w:bookmarkStart w:id="3" w:name="_Toc1580"/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建筑平面</w:t>
      </w:r>
      <w:r>
        <w:rPr>
          <w:rFonts w:hint="default" w:ascii="Times New Roman" w:hAnsi="Times New Roman" w:eastAsia="宋体" w:cs="Times New Roman"/>
          <w:sz w:val="24"/>
          <w:szCs w:val="24"/>
        </w:rPr>
        <w:t>图</w:t>
      </w:r>
      <w:bookmarkEnd w:id="3"/>
    </w:p>
    <w:p>
      <w:pPr>
        <w:rPr>
          <w:rFonts w:hint="default" w:ascii="Times New Roman" w:hAnsi="Times New Roman" w:eastAsia="宋体" w:cs="Times New Roman"/>
          <w:highlight w:val="red"/>
          <w:lang w:val="zh-CN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lang w:val="zh-CN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18"/>
          <w:lang w:val="zh-CN" w:eastAsia="zh-CN"/>
        </w:rPr>
      </w:pPr>
      <w:bookmarkStart w:id="4" w:name="平面图"/>
      <w:bookmarkEnd w:id="4"/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5667375" cy="35814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宋体" w:cs="Times New Roman"/>
          <w:b/>
          <w:sz w:val="18"/>
          <w:lang w:val="zh-CN" w:eastAsia="zh-CN"/>
        </w:rPr>
      </w:pPr>
      <w:r>
        <w:rPr>
          <w:rFonts w:hint="default" w:ascii="Times New Roman" w:hAnsi="Times New Roman" w:eastAsia="宋体" w:cs="Times New Roman"/>
          <w:b/>
          <w:sz w:val="18"/>
          <w:lang w:val="zh-CN" w:eastAsia="zh-CN"/>
        </w:rPr>
        <w:t>1层平面</w:t>
      </w:r>
    </w:p>
    <w:p>
      <w:pPr>
        <w:jc w:val="center"/>
        <w:rPr>
          <w:rFonts w:hint="default" w:ascii="Times New Roman" w:hAnsi="Times New Roman" w:eastAsia="宋体" w:cs="Times New Roman"/>
          <w:b/>
          <w:sz w:val="18"/>
          <w:lang w:val="zh-CN" w:eastAsia="zh-C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5667375" cy="32575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宋体" w:cs="Times New Roman"/>
          <w:b/>
          <w:sz w:val="18"/>
          <w:lang w:val="zh-CN" w:eastAsia="zh-CN"/>
        </w:rPr>
      </w:pPr>
      <w:r>
        <w:rPr>
          <w:rFonts w:hint="default" w:ascii="Times New Roman" w:hAnsi="Times New Roman" w:eastAsia="宋体" w:cs="Times New Roman"/>
          <w:b/>
          <w:sz w:val="18"/>
          <w:lang w:val="zh-CN" w:eastAsia="zh-CN"/>
        </w:rPr>
        <w:t>2层平面</w:t>
      </w:r>
    </w:p>
    <w:p>
      <w:pPr>
        <w:jc w:val="center"/>
        <w:rPr>
          <w:rFonts w:hint="default" w:ascii="Times New Roman" w:hAnsi="Times New Roman" w:eastAsia="宋体" w:cs="Times New Roman"/>
          <w:b/>
          <w:sz w:val="18"/>
          <w:lang w:val="zh-CN" w:eastAsia="zh-C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5667375" cy="32194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宋体" w:cs="Times New Roman"/>
          <w:b/>
          <w:sz w:val="18"/>
          <w:lang w:val="zh-CN" w:eastAsia="zh-CN"/>
        </w:rPr>
      </w:pPr>
      <w:r>
        <w:rPr>
          <w:rFonts w:hint="default" w:ascii="Times New Roman" w:hAnsi="Times New Roman" w:eastAsia="宋体" w:cs="Times New Roman"/>
          <w:b/>
          <w:sz w:val="18"/>
          <w:lang w:val="zh-CN" w:eastAsia="zh-CN"/>
        </w:rPr>
        <w:t>3层平面</w:t>
      </w:r>
    </w:p>
    <w:p>
      <w:pPr>
        <w:jc w:val="center"/>
        <w:rPr>
          <w:rFonts w:hint="default" w:ascii="Times New Roman" w:hAnsi="Times New Roman" w:eastAsia="宋体" w:cs="Times New Roman"/>
          <w:b/>
          <w:sz w:val="18"/>
          <w:lang w:val="zh-CN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lang w:val="zh-CN" w:eastAsia="zh-CN"/>
        </w:rPr>
      </w:pPr>
    </w:p>
    <w:p>
      <w:pPr>
        <w:pStyle w:val="3"/>
        <w:rPr>
          <w:rFonts w:hint="default" w:ascii="Times New Roman" w:hAnsi="Times New Roman" w:eastAsia="宋体" w:cs="Times New Roman"/>
          <w:sz w:val="24"/>
          <w:szCs w:val="24"/>
        </w:rPr>
      </w:pPr>
      <w:bookmarkStart w:id="5" w:name="_Toc19360"/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建筑</w:t>
      </w:r>
      <w:r>
        <w:rPr>
          <w:rFonts w:hint="default" w:ascii="Times New Roman" w:hAnsi="Times New Roman" w:eastAsia="宋体" w:cs="Times New Roman"/>
          <w:sz w:val="24"/>
          <w:szCs w:val="24"/>
        </w:rPr>
        <w:t>三维轴测</w:t>
      </w:r>
      <w:bookmarkStart w:id="24" w:name="_GoBack"/>
      <w:bookmarkEnd w:id="24"/>
      <w:r>
        <w:rPr>
          <w:rFonts w:hint="default" w:ascii="Times New Roman" w:hAnsi="Times New Roman" w:eastAsia="宋体" w:cs="Times New Roman"/>
          <w:sz w:val="24"/>
          <w:szCs w:val="24"/>
        </w:rPr>
        <w:t>图</w:t>
      </w:r>
      <w:bookmarkEnd w:id="5"/>
    </w:p>
    <w:p>
      <w:pPr>
        <w:jc w:val="center"/>
        <w:rPr>
          <w:rFonts w:hint="default" w:ascii="Times New Roman" w:hAnsi="Times New Roman" w:eastAsia="宋体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5756275" cy="4189730"/>
                  <wp:effectExtent l="0" t="0" r="15875" b="127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275" cy="418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lang w:val="zh-CN" w:eastAsia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hint="default" w:ascii="Times New Roman" w:hAnsi="Times New Roman" w:eastAsia="宋体" w:cs="Times New Roman"/>
          <w:kern w:val="32"/>
          <w:sz w:val="28"/>
          <w:szCs w:val="28"/>
        </w:rPr>
      </w:pPr>
      <w:bookmarkStart w:id="6" w:name="_Toc26024"/>
      <w:r>
        <w:rPr>
          <w:rFonts w:hint="default" w:ascii="Times New Roman" w:hAnsi="Times New Roman" w:eastAsia="宋体" w:cs="Times New Roman"/>
          <w:kern w:val="32"/>
          <w:sz w:val="28"/>
          <w:szCs w:val="28"/>
        </w:rPr>
        <w:t>参考标准</w:t>
      </w:r>
      <w:bookmarkEnd w:id="6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《绿色建筑评价标准》GB50378-2019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《住宅建筑室内装修污染控制技术标准》JGJ/T 436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《公共建筑室内空气质量控制设计标准》JGJ/T 461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《室内空气质量标准》GB/T 18883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《建筑外门窗气密、水密、抗风压性能分级及检测方法》GB/T 7106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《民用建筑工程室内环境污染控制规范》GB 50325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hint="default" w:ascii="Times New Roman" w:hAnsi="Times New Roman" w:eastAsia="宋体" w:cs="Times New Roman"/>
          <w:kern w:val="32"/>
          <w:sz w:val="28"/>
          <w:szCs w:val="28"/>
        </w:rPr>
      </w:pPr>
      <w:bookmarkStart w:id="7" w:name="_Toc29398"/>
      <w:r>
        <w:rPr>
          <w:rFonts w:hint="default" w:ascii="Times New Roman" w:hAnsi="Times New Roman" w:eastAsia="宋体" w:cs="Times New Roman"/>
          <w:kern w:val="32"/>
          <w:sz w:val="28"/>
          <w:szCs w:val="28"/>
        </w:rPr>
        <w:t>评价标准</w:t>
      </w:r>
      <w:bookmarkEnd w:id="7"/>
    </w:p>
    <w:p>
      <w:pPr>
        <w:spacing w:before="156"/>
        <w:ind w:firstLine="420" w:firstLineChars="200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本项目主要依据《绿色建筑评价标准》，对有机挥发性污染物浓度进行计算及评价，包括控制项、评分项及加分项，对应条款如下：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室内空气中的氨、甲醛、苯、总挥发性有机物、氡、可吸入颗粒物等主要污染物浓度比《室内空气质量标准》GB/T18883的要求降低的比例，达到10%为一星级要求；达到20%为二星级和三星级要求。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hint="default" w:ascii="Times New Roman" w:hAnsi="Times New Roman" w:eastAsia="宋体" w:cs="Times New Roman"/>
          <w:b/>
          <w:sz w:val="18"/>
        </w:rPr>
      </w:pPr>
      <w:r>
        <w:rPr>
          <w:rFonts w:hint="default" w:ascii="Times New Roman" w:hAnsi="Times New Roman" w:eastAsia="宋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hint="default" w:ascii="Times New Roman" w:hAnsi="Times New Roman" w:eastAsia="宋体" w:cs="Times New Roman"/>
          <w:kern w:val="0"/>
          <w:sz w:val="24"/>
          <w:szCs w:val="20"/>
          <w:lang w:val="en-GB"/>
        </w:rPr>
      </w:pPr>
      <w:r>
        <w:rPr>
          <w:rFonts w:hint="default" w:ascii="Times New Roman" w:hAnsi="Times New Roman" w:eastAsia="宋体" w:cs="Times New Roman"/>
          <w:lang w:val="zh-CN"/>
        </w:rPr>
        <w:t>下面为《室内空气质量标准》GB/T 18883中关于不同类别污染物浓度的限值：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>
      <w:pPr>
        <w:tabs>
          <w:tab w:val="left" w:pos="426"/>
        </w:tabs>
        <w:rPr>
          <w:rFonts w:hint="default" w:ascii="Times New Roman" w:hAnsi="Times New Roman" w:eastAsia="宋体" w:cs="Times New Roman"/>
          <w:b/>
          <w:sz w:val="18"/>
        </w:rPr>
      </w:pPr>
      <w:r>
        <w:rPr>
          <w:rFonts w:hint="default" w:ascii="Times New Roman" w:hAnsi="Times New Roman" w:eastAsia="宋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hint="default" w:ascii="Times New Roman" w:hAnsi="Times New Roman" w:eastAsia="宋体" w:cs="Times New Roman"/>
          <w:lang w:val="zh-CN"/>
        </w:rPr>
      </w:pPr>
      <w:r>
        <w:rPr>
          <w:rFonts w:hint="default" w:ascii="Times New Roman" w:hAnsi="Times New Roman" w:eastAsia="宋体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7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</w:tr>
    </w:tbl>
    <w:p>
      <w:pPr>
        <w:spacing w:before="120"/>
        <w:rPr>
          <w:rFonts w:hint="default" w:ascii="Times New Roman" w:hAnsi="Times New Roman" w:eastAsia="宋体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hint="default" w:ascii="Times New Roman" w:hAnsi="Times New Roman" w:eastAsia="宋体" w:cs="Times New Roman"/>
          <w:kern w:val="32"/>
          <w:sz w:val="28"/>
          <w:szCs w:val="28"/>
        </w:rPr>
      </w:pPr>
      <w:bookmarkStart w:id="8" w:name="_Toc10797"/>
      <w:r>
        <w:rPr>
          <w:rFonts w:hint="default" w:ascii="Times New Roman" w:hAnsi="Times New Roman" w:eastAsia="宋体" w:cs="Times New Roman"/>
          <w:kern w:val="32"/>
          <w:sz w:val="28"/>
          <w:szCs w:val="28"/>
        </w:rPr>
        <w:t>计算原理</w:t>
      </w:r>
      <w:bookmarkEnd w:id="8"/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zh-CN"/>
        </w:rPr>
        <w:t>本项目</w:t>
      </w:r>
      <w:r>
        <w:rPr>
          <w:rFonts w:hint="default" w:ascii="Times New Roman" w:hAnsi="Times New Roman" w:eastAsia="宋体" w:cs="Times New Roman"/>
        </w:rPr>
        <w:t>依据装修设计方案，通过选择典型功能房间（卧室、客厅、办公室等）使用的3〜5种主要建材及固定家具制品，</w:t>
      </w:r>
      <w:r>
        <w:rPr>
          <w:rFonts w:hint="default" w:ascii="Times New Roman" w:hAnsi="Times New Roman" w:eastAsia="宋体" w:cs="Times New Roman"/>
          <w:lang w:val="zh-CN"/>
        </w:rPr>
        <w:t>输入装修材料信息、房间用量及建材用量，对</w:t>
      </w:r>
      <w:r>
        <w:rPr>
          <w:rFonts w:hint="default" w:ascii="Times New Roman" w:hAnsi="Times New Roman" w:eastAsia="宋体" w:cs="Times New Roman"/>
        </w:rPr>
        <w:t>室内空气中甲醛、苯、总挥发性有机物</w:t>
      </w:r>
      <w:r>
        <w:rPr>
          <w:rFonts w:hint="default" w:ascii="Times New Roman" w:hAnsi="Times New Roman" w:eastAsia="宋体" w:cs="Times New Roman"/>
          <w:lang w:val="zh-CN"/>
        </w:rPr>
        <w:t>浓度进行计算，如下图所示：</w:t>
      </w:r>
      <w:r>
        <w:rPr>
          <w:rFonts w:hint="default" w:ascii="Times New Roman" w:hAnsi="Times New Roman" w:eastAsia="宋体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宋体" w:cs="Times New Roman"/>
          <w:b/>
          <w:sz w:val="18"/>
          <w:szCs w:val="18"/>
          <w:lang w:val="zh-CN" w:eastAsia="zh-CN"/>
        </w:rPr>
      </w:pPr>
      <w:r>
        <w:rPr>
          <w:rFonts w:hint="default" w:ascii="Times New Roman" w:hAnsi="Times New Roman" w:eastAsia="宋体" w:cs="Times New Roman"/>
          <w:b/>
          <w:sz w:val="18"/>
          <w:szCs w:val="18"/>
        </w:rPr>
        <w:t xml:space="preserve">    图4-1 计算流程图</w:t>
      </w:r>
    </w:p>
    <w:p>
      <w:pPr>
        <w:spacing w:before="156"/>
        <w:ind w:firstLine="420" w:firstLineChars="200"/>
        <w:rPr>
          <w:rFonts w:hint="default" w:ascii="Times New Roman" w:hAnsi="Times New Roman" w:eastAsia="宋体" w:cs="Times New Roman"/>
          <w:lang w:val="zh-CN"/>
        </w:rPr>
      </w:pPr>
      <w:r>
        <w:rPr>
          <w:rFonts w:hint="default" w:ascii="Times New Roman" w:hAnsi="Times New Roman" w:eastAsia="宋体" w:cs="Times New Roman"/>
          <w:lang w:val="zh-CN"/>
        </w:rPr>
        <w:t>室内VOCs评价模型遵循材料表面污染物与室内空气之间的质量平衡方程，如下：</w:t>
      </w:r>
    </w:p>
    <w:p>
      <w:pPr>
        <w:rPr>
          <w:rFonts w:hint="default" w:ascii="Times New Roman" w:hAnsi="Times New Roman" w:eastAsia="宋体" w:cs="Times New Roman"/>
          <w:szCs w:val="21"/>
          <w:lang w:val="zh-CN"/>
        </w:rPr>
      </w:pPr>
      <m:oMathPara>
        <m:oMath>
          <m:r>
            <w:rPr>
              <w:rFonts w:hint="default" w:ascii="Cambria Math" w:hAnsi="Cambria Math" w:eastAsia="宋体" w:cs="Times New Roman"/>
              <w:szCs w:val="21"/>
              <w:lang w:val="zh-CN"/>
            </w:rPr>
            <m:t>V</m:t>
          </m:r>
          <m:f>
            <m:fPr>
              <m:ctrlPr>
                <w:rPr>
                  <w:rFonts w:hint="default" w:ascii="Cambria Math" w:hAnsi="Cambria Math" w:eastAsia="宋体" w:cs="Times New Roman"/>
                  <w:szCs w:val="21"/>
                  <w:lang w:val="zh-CN"/>
                </w:rPr>
              </m:ctrlPr>
            </m:fPr>
            <m:num>
              <m:r>
                <w:rPr>
                  <w:rFonts w:hint="default" w:ascii="Cambria Math" w:hAnsi="Cambria Math" w:eastAsia="宋体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hint="default" w:ascii="Cambria Math" w:hAnsi="Cambria Math" w:eastAsia="宋体" w:cs="Times New Roman"/>
                      <w:szCs w:val="21"/>
                      <w:lang w:val="zh-CN"/>
                    </w:rPr>
                  </m:ctrlPr>
                </m:sSubPr>
                <m:e>
                  <m:r>
                    <w:rPr>
                      <w:rFonts w:hint="default" w:ascii="Cambria Math" w:hAnsi="Cambria Math" w:eastAsia="宋体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hint="default" w:ascii="Cambria Math" w:hAnsi="Cambria Math" w:eastAsia="宋体" w:cs="Times New Roman"/>
                      <w:szCs w:val="21"/>
                      <w:lang w:val="zh-CN"/>
                    </w:rPr>
                  </m:ctrlPr>
                </m:e>
                <m:sub>
                  <m:r>
                    <w:rPr>
                      <w:rFonts w:hint="default" w:ascii="Cambria Math" w:hAnsi="Cambria Math" w:eastAsia="宋体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hint="default" w:ascii="Cambria Math" w:hAnsi="Cambria Math" w:eastAsia="宋体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hint="default" w:ascii="Cambria Math" w:hAnsi="Cambria Math" w:eastAsia="宋体" w:cs="Times New Roman"/>
                  <w:szCs w:val="21"/>
                  <w:lang w:val="zh-CN"/>
                </w:rPr>
              </m:ctrlPr>
            </m:num>
            <m:den>
              <m:r>
                <w:rPr>
                  <w:rFonts w:hint="default" w:ascii="Cambria Math" w:hAnsi="Cambria Math" w:eastAsia="宋体" w:cs="Times New Roman"/>
                  <w:szCs w:val="21"/>
                  <w:lang w:val="zh-CN"/>
                </w:rPr>
                <m:t>dt</m:t>
              </m:r>
              <m:ctrlPr>
                <w:rPr>
                  <w:rFonts w:hint="default" w:ascii="Cambria Math" w:hAnsi="Cambria Math" w:eastAsia="宋体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eastAsia="宋体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hint="default" w:ascii="Cambria Math" w:hAnsi="Cambria Math" w:eastAsia="宋体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hint="default" w:ascii="Cambria Math" w:hAnsi="Cambria Math" w:eastAsia="宋体" w:cs="Times New Roman"/>
                  <w:szCs w:val="21"/>
                  <w:lang w:val="zh-CN"/>
                </w:rPr>
              </m:ctrlPr>
            </m:sub>
            <m:sup>
              <m:ctrlPr>
                <w:rPr>
                  <w:rFonts w:hint="default" w:ascii="Cambria Math" w:hAnsi="Cambria Math" w:eastAsia="宋体" w:cs="Times New Roman"/>
                  <w:szCs w:val="21"/>
                  <w:lang w:val="zh-CN"/>
                </w:rPr>
              </m:ctrlPr>
            </m:sup>
            <m:e>
              <m:r>
                <w:rPr>
                  <w:rFonts w:hint="default" w:ascii="Cambria Math" w:hAnsi="Cambria Math" w:eastAsia="宋体" w:cs="Times New Roman"/>
                  <w:szCs w:val="21"/>
                  <w:lang w:val="zh-CN"/>
                </w:rPr>
                <m:t>AE</m:t>
              </m:r>
              <m:ctrlPr>
                <w:rPr>
                  <w:rFonts w:hint="default" w:ascii="Cambria Math" w:hAnsi="Cambria Math" w:eastAsia="宋体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hint="default" w:ascii="Cambria Math" w:hAnsi="Cambria Math" w:eastAsia="宋体" w:cs="Times New Roman"/>
              <w:szCs w:val="21"/>
              <w:lang w:val="zh-CN"/>
            </w:rPr>
            <m:t>-</m:t>
          </m:r>
          <m:r>
            <w:rPr>
              <w:rFonts w:hint="default" w:ascii="Cambria Math" w:hAnsi="Cambria Math" w:eastAsia="宋体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hint="default" w:ascii="Cambria Math" w:hAnsi="Cambria Math" w:eastAsia="宋体" w:cs="Times New Roman"/>
                  <w:szCs w:val="21"/>
                  <w:lang w:val="zh-CN"/>
                </w:rPr>
              </m:ctrlPr>
            </m:sSubPr>
            <m:e>
              <m:r>
                <w:rPr>
                  <w:rFonts w:hint="default" w:ascii="Cambria Math" w:hAnsi="Cambria Math" w:eastAsia="宋体" w:cs="Times New Roman"/>
                  <w:szCs w:val="21"/>
                  <w:lang w:val="zh-CN"/>
                </w:rPr>
                <m:t>C</m:t>
              </m:r>
              <m:ctrlPr>
                <w:rPr>
                  <w:rFonts w:hint="default" w:ascii="Cambria Math" w:hAnsi="Cambria Math" w:eastAsia="宋体" w:cs="Times New Roman"/>
                  <w:szCs w:val="21"/>
                  <w:lang w:val="zh-CN"/>
                </w:rPr>
              </m:ctrlPr>
            </m:e>
            <m:sub>
              <m:r>
                <w:rPr>
                  <w:rFonts w:hint="default" w:ascii="Cambria Math" w:hAnsi="Cambria Math" w:eastAsia="宋体" w:cs="Times New Roman"/>
                  <w:szCs w:val="21"/>
                  <w:lang w:val="zh-CN"/>
                </w:rPr>
                <m:t>a</m:t>
              </m:r>
              <m:ctrlPr>
                <w:rPr>
                  <w:rFonts w:hint="default" w:ascii="Cambria Math" w:hAnsi="Cambria Math" w:eastAsia="宋体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其中：</w:t>
      </w:r>
    </w:p>
    <w:p>
      <w:pPr>
        <w:spacing w:before="156"/>
        <w:ind w:left="210" w:leftChars="100" w:right="210" w:right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V</w:t>
      </w:r>
      <w:r>
        <w:rPr>
          <w:rFonts w:hint="default" w:ascii="Times New Roman" w:hAnsi="Times New Roman" w:eastAsia="宋体" w:cs="Times New Roman"/>
          <w:szCs w:val="21"/>
        </w:rPr>
        <w:t>——</w:t>
      </w:r>
      <w:r>
        <w:rPr>
          <w:rFonts w:hint="default" w:ascii="Times New Roman" w:hAnsi="Times New Roman" w:eastAsia="宋体" w:cs="Times New Roman"/>
          <w:lang w:val="zh-CN"/>
        </w:rPr>
        <w:t>房间体积</w:t>
      </w:r>
      <w:r>
        <w:rPr>
          <w:rFonts w:hint="default" w:ascii="Times New Roman" w:hAnsi="Times New Roman" w:eastAsia="宋体" w:cs="Times New Roman"/>
        </w:rPr>
        <w:t>，m</w:t>
      </w:r>
      <w:r>
        <w:rPr>
          <w:rFonts w:hint="default" w:ascii="Times New Roman" w:hAnsi="Times New Roman" w:eastAsia="宋体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</w:t>
      </w:r>
      <w:r>
        <w:rPr>
          <w:rFonts w:hint="default" w:ascii="Times New Roman" w:hAnsi="Times New Roman" w:eastAsia="宋体" w:cs="Times New Roman"/>
          <w:sz w:val="22"/>
          <w:szCs w:val="24"/>
          <w:vertAlign w:val="subscript"/>
        </w:rPr>
        <w:t>a</w:t>
      </w:r>
      <w:r>
        <w:rPr>
          <w:rFonts w:hint="default" w:ascii="Times New Roman" w:hAnsi="Times New Roman" w:eastAsia="宋体" w:cs="Times New Roman"/>
          <w:szCs w:val="21"/>
        </w:rPr>
        <w:t>——</w:t>
      </w:r>
      <w:r>
        <w:rPr>
          <w:rFonts w:hint="default" w:ascii="Times New Roman" w:hAnsi="Times New Roman" w:eastAsia="宋体" w:cs="Times New Roman"/>
          <w:lang w:val="zh-CN"/>
        </w:rPr>
        <w:t>房间空气中污染物浓度，</w:t>
      </w:r>
      <w:r>
        <w:rPr>
          <w:rFonts w:hint="default" w:ascii="Times New Roman" w:hAnsi="Times New Roman" w:eastAsia="宋体" w:cs="Times New Roman"/>
        </w:rPr>
        <w:t>mg/ m</w:t>
      </w:r>
      <w:r>
        <w:rPr>
          <w:rFonts w:hint="default" w:ascii="Times New Roman" w:hAnsi="Times New Roman" w:eastAsia="宋体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</w:t>
      </w:r>
      <w:r>
        <w:rPr>
          <w:rFonts w:hint="default" w:ascii="Times New Roman" w:hAnsi="Times New Roman" w:eastAsia="宋体" w:cs="Times New Roman"/>
          <w:szCs w:val="21"/>
        </w:rPr>
        <w:t>——</w:t>
      </w:r>
      <w:r>
        <w:rPr>
          <w:rFonts w:hint="default" w:ascii="Times New Roman" w:hAnsi="Times New Roman" w:eastAsia="宋体" w:cs="Times New Roman"/>
          <w:lang w:val="zh-CN"/>
        </w:rPr>
        <w:t>材料与室内空气接触的面积，</w:t>
      </w:r>
      <w:r>
        <w:rPr>
          <w:rFonts w:hint="default" w:ascii="Times New Roman" w:hAnsi="Times New Roman" w:eastAsia="宋体" w:cs="Times New Roman"/>
        </w:rPr>
        <w:t>m</w:t>
      </w:r>
      <w:r>
        <w:rPr>
          <w:rFonts w:hint="default" w:ascii="Times New Roman" w:hAnsi="Times New Roman" w:eastAsia="宋体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Q</w:t>
      </w:r>
      <w:r>
        <w:rPr>
          <w:rFonts w:hint="default" w:ascii="Times New Roman" w:hAnsi="Times New Roman" w:eastAsia="宋体" w:cs="Times New Roman"/>
          <w:szCs w:val="21"/>
        </w:rPr>
        <w:t>——</w:t>
      </w:r>
      <w:r>
        <w:rPr>
          <w:rFonts w:hint="default" w:ascii="Times New Roman" w:hAnsi="Times New Roman" w:eastAsia="宋体" w:cs="Times New Roman"/>
          <w:lang w:val="zh-CN"/>
        </w:rPr>
        <w:t>房间内渗风量</w:t>
      </w:r>
      <w:r>
        <w:rPr>
          <w:rFonts w:hint="default" w:ascii="Times New Roman" w:hAnsi="Times New Roman" w:eastAsia="宋体" w:cs="Times New Roman"/>
        </w:rPr>
        <w:t>，m</w:t>
      </w:r>
      <w:r>
        <w:rPr>
          <w:rFonts w:hint="default" w:ascii="Times New Roman" w:hAnsi="Times New Roman" w:eastAsia="宋体" w:cs="Times New Roman"/>
          <w:vertAlign w:val="superscript"/>
        </w:rPr>
        <w:t>3</w:t>
      </w:r>
      <w:r>
        <w:rPr>
          <w:rFonts w:hint="default" w:ascii="Times New Roman" w:hAnsi="Times New Roman" w:eastAsia="宋体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E——</w:t>
      </w:r>
      <w:r>
        <w:rPr>
          <w:rFonts w:hint="default" w:ascii="Times New Roman" w:hAnsi="Times New Roman" w:eastAsia="宋体" w:cs="Times New Roman"/>
          <w:lang w:val="zh-CN"/>
        </w:rPr>
        <w:t>材料污染物释放率</w:t>
      </w:r>
      <w:r>
        <w:rPr>
          <w:rFonts w:hint="default" w:ascii="Times New Roman" w:hAnsi="Times New Roman" w:eastAsia="宋体" w:cs="Times New Roman"/>
          <w:szCs w:val="21"/>
        </w:rPr>
        <w:t>，mg/m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hint="default" w:ascii="Times New Roman" w:hAnsi="Times New Roman" w:eastAsia="宋体" w:cs="Times New Roman"/>
          <w:kern w:val="32"/>
          <w:sz w:val="28"/>
          <w:szCs w:val="28"/>
        </w:rPr>
      </w:pPr>
      <w:bookmarkStart w:id="9" w:name="_Toc21872"/>
      <w:r>
        <w:rPr>
          <w:rFonts w:hint="default" w:ascii="Times New Roman" w:hAnsi="Times New Roman" w:eastAsia="宋体" w:cs="Times New Roman"/>
          <w:kern w:val="32"/>
          <w:sz w:val="28"/>
          <w:szCs w:val="28"/>
        </w:rPr>
        <w:t>计算参数</w:t>
      </w:r>
      <w:bookmarkEnd w:id="9"/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依据上述计算原理，本项目计算所需输入的参数主要为装修材料污染物释放特性、材料用量以及房间渗透风量，如下述章节所述：</w:t>
      </w:r>
    </w:p>
    <w:p>
      <w:pPr>
        <w:pStyle w:val="3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bookmarkStart w:id="10" w:name="_Toc22018"/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渗透风量</w:t>
      </w:r>
      <w:bookmarkEnd w:id="10"/>
    </w:p>
    <w:p>
      <w:pPr>
        <w:ind w:left="-36" w:leftChars="-17" w:firstLine="420" w:firstLineChars="200"/>
        <w:rPr>
          <w:rFonts w:hint="default" w:ascii="Times New Roman" w:hAnsi="Times New Roman" w:eastAsia="宋体" w:cs="Times New Roman"/>
          <w:lang w:val="zh-CN"/>
        </w:rPr>
      </w:pPr>
      <w:r>
        <w:rPr>
          <w:rFonts w:hint="default" w:ascii="Times New Roman" w:hAnsi="Times New Roman" w:eastAsia="宋体" w:cs="Times New Roman"/>
          <w:lang w:val="zh-CN"/>
        </w:rPr>
        <w:t>渗透风量可通过</w:t>
      </w:r>
      <w:r>
        <w:rPr>
          <w:rFonts w:hint="default" w:ascii="Times New Roman" w:hAnsi="Times New Roman" w:eastAsia="宋体" w:cs="Times New Roman"/>
          <w:b/>
          <w:lang w:val="zh-CN"/>
        </w:rPr>
        <w:t>门窗气密性</w:t>
      </w:r>
      <w:r>
        <w:rPr>
          <w:rFonts w:hint="default" w:ascii="Times New Roman" w:hAnsi="Times New Roman" w:eastAsia="宋体" w:cs="Times New Roman"/>
          <w:bCs/>
          <w:lang w:val="zh-CN"/>
        </w:rPr>
        <w:t>或者</w:t>
      </w:r>
      <w:r>
        <w:rPr>
          <w:rFonts w:hint="default" w:ascii="Times New Roman" w:hAnsi="Times New Roman" w:eastAsia="宋体" w:cs="Times New Roman"/>
          <w:b/>
          <w:lang w:val="zh-CN"/>
        </w:rPr>
        <w:t>换气次数</w:t>
      </w:r>
      <w:r>
        <w:rPr>
          <w:rFonts w:hint="default" w:ascii="Times New Roman" w:hAnsi="Times New Roman" w:eastAsia="宋体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7106中1~8级进行设置；换气次数选取可参考建筑节能标准中的相关规定。</w:t>
      </w:r>
    </w:p>
    <w:p>
      <w:pPr>
        <w:ind w:left="-36" w:leftChars="-17" w:firstLine="420" w:firstLineChars="200"/>
        <w:rPr>
          <w:rFonts w:hint="default" w:ascii="Times New Roman" w:hAnsi="Times New Roman" w:eastAsia="宋体" w:cs="Times New Roman"/>
          <w:lang w:val="zh-CN"/>
        </w:rPr>
      </w:pPr>
      <w:bookmarkStart w:id="11" w:name="渗透风量"/>
      <w:r>
        <w:rPr>
          <w:rFonts w:hint="default" w:ascii="Times New Roman" w:hAnsi="Times New Roman" w:eastAsia="宋体" w:cs="Times New Roman"/>
        </w:rPr>
        <w:t>本项目忽略渗透风量的影响。</w:t>
      </w:r>
      <w:bookmarkEnd w:id="11"/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</w:rPr>
      </w:pPr>
      <w:bookmarkStart w:id="12" w:name="房间及渗透风量表"/>
      <w:bookmarkEnd w:id="12"/>
    </w:p>
    <w:p>
      <w:pPr>
        <w:pStyle w:val="3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bookmarkStart w:id="13" w:name="_Toc10929"/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室内装修信息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</w:rPr>
      </w:pPr>
      <w:r>
        <w:rPr>
          <w:rFonts w:hint="default" w:ascii="Times New Roman" w:hAnsi="Times New Roman" w:eastAsia="宋体" w:cs="Times New Roman"/>
          <w:b/>
          <w:bCs/>
          <w:color w:val="000000"/>
        </w:rPr>
        <w:t>表5.2-1  材料污染物释放率mg/（m</w:t>
      </w:r>
      <w:r>
        <w:rPr>
          <w:rFonts w:hint="default" w:ascii="Times New Roman" w:hAnsi="Times New Roman" w:eastAsia="宋体" w:cs="Times New Roman"/>
          <w:b/>
          <w:bCs/>
          <w:color w:val="000000"/>
          <w:vertAlign w:val="superscript"/>
        </w:rPr>
        <w:t>2</w:t>
      </w:r>
      <w:r>
        <w:rPr>
          <w:rFonts w:hint="default" w:ascii="Times New Roman" w:hAnsi="Times New Roman" w:eastAsia="宋体" w:cs="Times New Roman"/>
          <w:b/>
          <w:bCs/>
          <w:color w:val="000000"/>
        </w:rPr>
        <w:t>·h）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F2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F2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木地板1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F2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木地板2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F2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胶合板1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F2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F2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F2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F2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F2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0.051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highlight w:val="red"/>
          <w:lang w:val="zh-CN"/>
        </w:rPr>
      </w:pPr>
      <w:bookmarkStart w:id="14" w:name="装修材料表"/>
      <w:bookmarkEnd w:id="14"/>
    </w:p>
    <w:p>
      <w:pPr>
        <w:jc w:val="center"/>
        <w:rPr>
          <w:rFonts w:hint="default" w:ascii="Times New Roman" w:hAnsi="Times New Roman" w:eastAsia="宋体" w:cs="Times New Roman"/>
          <w:highlight w:val="red"/>
          <w:lang w:val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</w:rPr>
      </w:pPr>
      <w:r>
        <w:rPr>
          <w:rFonts w:hint="default" w:ascii="Times New Roman" w:hAnsi="Times New Roman" w:eastAsia="宋体" w:cs="Times New Roman"/>
          <w:b/>
          <w:bCs/>
          <w:color w:val="000000"/>
        </w:rPr>
        <w:t>表5.2-2  装修方案清单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1002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活动室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1003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活动室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1005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手工室兼教具制作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图书资料室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（公建）阅览室方案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木地板2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1007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会议室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1010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员工餐厅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（公建）大食堂方案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1014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教师办公室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1016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园长室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财务室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1021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教师值班室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胶合板1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1024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保健观察室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胶合板1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2001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活动室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2002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活动室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2003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活动室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2004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多功能活动室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3002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寝室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（居建）卧室方案1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木地板1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3003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寝室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（居建）卧室方案1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木地板1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3004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寝室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（居建）卧室方案1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木地板1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3005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活动室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活动室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3007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活动室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乳胶漆1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木材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家具2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瓷砖2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30.8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highlight w:val="red"/>
          <w:lang w:val="zh-CN"/>
        </w:rPr>
      </w:pPr>
      <w:bookmarkStart w:id="15" w:name="装修材料清单表"/>
      <w:bookmarkEnd w:id="15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hint="default" w:ascii="Times New Roman" w:hAnsi="Times New Roman" w:eastAsia="宋体" w:cs="Times New Roman"/>
          <w:kern w:val="32"/>
          <w:sz w:val="28"/>
          <w:szCs w:val="28"/>
        </w:rPr>
      </w:pPr>
      <w:bookmarkStart w:id="16" w:name="_Toc20768"/>
      <w:r>
        <w:rPr>
          <w:rFonts w:hint="default" w:ascii="Times New Roman" w:hAnsi="Times New Roman" w:eastAsia="宋体" w:cs="Times New Roman"/>
          <w:kern w:val="32"/>
          <w:sz w:val="28"/>
          <w:szCs w:val="28"/>
        </w:rPr>
        <w:t>计算结果</w:t>
      </w:r>
      <w:bookmarkEnd w:id="16"/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hint="default" w:ascii="Times New Roman" w:hAnsi="Times New Roman" w:eastAsia="宋体" w:cs="Times New Roman"/>
          <w:lang w:val="zh-CN"/>
        </w:rPr>
        <w:t>中不同的检查项目对不同室内挥发物的浓度要求详见下表：</w:t>
      </w:r>
      <w:r>
        <w:rPr>
          <w:rFonts w:hint="default" w:ascii="Times New Roman" w:hAnsi="Times New Roman" w:eastAsia="宋体" w:cs="Times New Roman"/>
          <w:sz w:val="18"/>
          <w:szCs w:val="20"/>
          <w:lang w:val="zh-CN"/>
        </w:rPr>
        <w:tab/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</w:rPr>
      </w:pPr>
      <w:r>
        <w:rPr>
          <w:rFonts w:hint="default" w:ascii="Times New Roman" w:hAnsi="Times New Roman" w:eastAsia="宋体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hint="default" w:ascii="Times New Roman" w:hAnsi="Times New Roman" w:eastAsia="宋体" w:cs="Times New Roman"/>
          <w:color w:val="000000"/>
          <w:kern w:val="0"/>
          <w:sz w:val="2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default" w:ascii="Times New Roman" w:hAnsi="Times New Roman" w:eastAsia="宋体" w:cs="Times New Roman"/>
        </w:rPr>
        <w:t>本项目对各房间有机挥发物浓度进行了计算，汇总如下表：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</w:rPr>
      </w:pPr>
      <w:r>
        <w:rPr>
          <w:rFonts w:hint="default" w:ascii="Times New Roman" w:hAnsi="Times New Roman" w:eastAsia="宋体" w:cs="Times New Roman"/>
          <w:b/>
          <w:bCs/>
          <w:color w:val="000000"/>
        </w:rPr>
        <w:t>表6.2  各房间有机挥发物达标判定</w:t>
      </w:r>
    </w:p>
    <w:tbl>
      <w:tblPr>
        <w:tblStyle w:val="19"/>
        <w:tblW w:w="822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31"/>
        <w:gridCol w:w="1341"/>
        <w:gridCol w:w="984"/>
        <w:gridCol w:w="984"/>
        <w:gridCol w:w="984"/>
        <w:gridCol w:w="1058"/>
        <w:gridCol w:w="10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评分项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1002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活动室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0.264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1003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活动室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0.264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1005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手工室兼教具制作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0.264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1006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图书资料室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0.245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1007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0.264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1010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员工餐厅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0.069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0.313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1014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教师办公室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0.264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1016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园长室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0.264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1017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财务室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0.264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1021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教师值班室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0.301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1024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保健观察室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0.301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2001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活动室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0.264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2002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活动室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0.264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2003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活动室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0.264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2004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多功能活动室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0.264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3002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寝室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0.278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3003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寝室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0.278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3004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寝室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0.278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3005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活动室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0.251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3006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活动室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0.251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3007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活动室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0.251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</w:p>
        </w:tc>
      </w:tr>
    </w:tbl>
    <w:p>
      <w:pPr>
        <w:ind w:left="-567" w:leftChars="-270" w:firstLine="420" w:firstLineChars="200"/>
        <w:jc w:val="center"/>
        <w:rPr>
          <w:rFonts w:hint="default" w:ascii="Times New Roman" w:hAnsi="Times New Roman" w:eastAsia="宋体" w:cs="Times New Roman"/>
          <w:bCs/>
        </w:rPr>
      </w:pPr>
      <w:bookmarkStart w:id="17" w:name="室内VOC达标判定表"/>
      <w:bookmarkEnd w:id="17"/>
    </w:p>
    <w:p>
      <w:pPr>
        <w:ind w:right="210" w:rightChars="100" w:firstLine="210" w:firstLineChars="100"/>
        <w:jc w:val="left"/>
        <w:rPr>
          <w:rFonts w:hint="default" w:ascii="Times New Roman" w:hAnsi="Times New Roman" w:eastAsia="宋体" w:cs="Times New Roman"/>
          <w:bCs/>
          <w:vertAlign w:val="superscript"/>
        </w:rPr>
      </w:pPr>
      <w:r>
        <w:rPr>
          <w:rFonts w:hint="default" w:ascii="Times New Roman" w:hAnsi="Times New Roman" w:eastAsia="宋体" w:cs="Times New Roman"/>
          <w:bCs/>
        </w:rPr>
        <w:t>说明:甲醛、苯数值为1小时均值,单位mg/m</w:t>
      </w:r>
      <w:r>
        <w:rPr>
          <w:rFonts w:hint="default" w:ascii="Times New Roman" w:hAnsi="Times New Roman" w:eastAsia="宋体" w:cs="Times New Roman"/>
          <w:bCs/>
          <w:vertAlign w:val="superscript"/>
        </w:rPr>
        <w:t>3</w:t>
      </w:r>
      <w:r>
        <w:rPr>
          <w:rFonts w:hint="default" w:ascii="Times New Roman" w:hAnsi="Times New Roman" w:eastAsia="宋体" w:cs="Times New Roman"/>
          <w:bCs/>
        </w:rPr>
        <w:t>；TVOC为8小时均值单位mg/m</w:t>
      </w:r>
      <w:r>
        <w:rPr>
          <w:rFonts w:hint="default" w:ascii="Times New Roman" w:hAnsi="Times New Roman" w:eastAsia="宋体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hint="default" w:ascii="Times New Roman" w:hAnsi="Times New Roman" w:eastAsia="宋体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hint="default" w:ascii="Times New Roman" w:hAnsi="Times New Roman" w:eastAsia="宋体" w:cs="Times New Roman"/>
          <w:bCs/>
        </w:rPr>
      </w:pPr>
      <w:bookmarkStart w:id="18" w:name="有机物达标判定图"/>
      <w:bookmarkEnd w:id="18"/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5667375" cy="347662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right" w:pos="8306"/>
        </w:tabs>
        <w:jc w:val="left"/>
        <w:rPr>
          <w:rFonts w:hint="default" w:ascii="Times New Roman" w:hAnsi="Times New Roman" w:eastAsia="宋体" w:cs="Times New Roman"/>
          <w:b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sz w:val="18"/>
          <w:szCs w:val="18"/>
        </w:rPr>
        <w:tab/>
      </w:r>
      <w:r>
        <w:rPr>
          <w:rFonts w:hint="default" w:ascii="Times New Roman" w:hAnsi="Times New Roman" w:eastAsia="宋体" w:cs="Times New Roman"/>
          <w:b/>
          <w:sz w:val="18"/>
          <w:szCs w:val="18"/>
        </w:rPr>
        <w:t>图6-1 达标统计图</w:t>
      </w:r>
      <w:r>
        <w:rPr>
          <w:rFonts w:hint="default" w:ascii="Times New Roman" w:hAnsi="Times New Roman" w:eastAsia="宋体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hint="default" w:ascii="Times New Roman" w:hAnsi="Times New Roman" w:eastAsia="宋体" w:cs="Times New Roman"/>
          <w:kern w:val="32"/>
          <w:sz w:val="28"/>
          <w:szCs w:val="28"/>
        </w:rPr>
      </w:pPr>
      <w:bookmarkStart w:id="19" w:name="_Toc14668"/>
      <w:r>
        <w:rPr>
          <w:rFonts w:hint="default" w:ascii="Times New Roman" w:hAnsi="Times New Roman" w:eastAsia="宋体" w:cs="Times New Roman"/>
          <w:kern w:val="32"/>
          <w:sz w:val="28"/>
          <w:szCs w:val="28"/>
        </w:rPr>
        <w:t>结论</w:t>
      </w:r>
      <w:bookmarkEnd w:id="19"/>
    </w:p>
    <w:p>
      <w:pPr>
        <w:ind w:firstLine="42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室内空气中甲醛、苯、TVOC浓度限值分别为甲醛0.10，苯0.11，TVOC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bookmarkStart w:id="20" w:name="控制项计算结果"/>
            <w:r>
              <w:rPr>
                <w:rFonts w:hint="default" w:ascii="Times New Roman" w:hAnsi="Times New Roman" w:eastAsia="宋体" w:cs="Times New Roman"/>
              </w:rPr>
              <w:t>所有房间均达标</w:t>
            </w:r>
            <w:bookmarkEnd w:id="20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bookmarkStart w:id="21" w:name="控制项计算结论"/>
            <w:r>
              <w:rPr>
                <w:rFonts w:hint="default" w:ascii="Times New Roman" w:hAnsi="Times New Roman" w:eastAsia="宋体" w:cs="Times New Roman"/>
                <w:b/>
              </w:rPr>
              <w:t>满足</w:t>
            </w:r>
            <w:bookmarkEnd w:id="21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室内空气中化学类污染物浓度限值分别为甲醛0.09，苯0.099，TVOC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bookmarkStart w:id="22" w:name="评分项计算结果"/>
            <w:r>
              <w:rPr>
                <w:rFonts w:hint="default" w:ascii="Times New Roman" w:hAnsi="Times New Roman" w:eastAsia="宋体" w:cs="Times New Roman"/>
              </w:rPr>
              <w:t>所有房间均满足要求</w:t>
            </w:r>
            <w:bookmarkEnd w:id="22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bookmarkStart w:id="23" w:name="评分项计算得分"/>
            <w:r>
              <w:rPr>
                <w:rFonts w:hint="default" w:ascii="Times New Roman" w:hAnsi="Times New Roman" w:eastAsia="宋体" w:cs="Times New Roman"/>
                <w:b/>
              </w:rPr>
              <w:t>6</w:t>
            </w:r>
            <w:bookmarkEnd w:id="23"/>
            <w:r>
              <w:rPr>
                <w:rFonts w:hint="default" w:ascii="Times New Roman" w:hAnsi="Times New Roman" w:eastAsia="宋体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室内空气中化学类污染物浓度限值分别为甲醛0.08，苯0.088，TVOC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hint="default" w:ascii="Times New Roman" w:hAnsi="Times New Roman" w:eastAsia="宋体" w:cs="Times New Roman"/>
          <w:bCs/>
          <w:sz w:val="18"/>
        </w:rPr>
      </w:pPr>
      <w:r>
        <w:rPr>
          <w:rFonts w:hint="default" w:ascii="Times New Roman" w:hAnsi="Times New Roman" w:eastAsia="宋体" w:cs="Times New Roman"/>
          <w:bCs/>
        </w:rPr>
        <w:t>说明:甲醛、苯数值为1小时均值,单位mg/m</w:t>
      </w:r>
      <w:r>
        <w:rPr>
          <w:rFonts w:hint="default" w:ascii="Times New Roman" w:hAnsi="Times New Roman" w:eastAsia="宋体" w:cs="Times New Roman"/>
          <w:bCs/>
          <w:vertAlign w:val="superscript"/>
        </w:rPr>
        <w:t>3</w:t>
      </w:r>
      <w:r>
        <w:rPr>
          <w:rFonts w:hint="default" w:ascii="Times New Roman" w:hAnsi="Times New Roman" w:eastAsia="宋体" w:cs="Times New Roman"/>
          <w:bCs/>
        </w:rPr>
        <w:t>；TVOC为8小时均值单位mg/m</w:t>
      </w:r>
      <w:r>
        <w:rPr>
          <w:rFonts w:hint="default" w:ascii="Times New Roman" w:hAnsi="Times New Roman" w:eastAsia="宋体" w:cs="Times New Roman"/>
          <w:bCs/>
          <w:vertAlign w:val="superscript"/>
        </w:rPr>
        <w:t>3</w:t>
      </w:r>
    </w:p>
    <w:sectPr>
      <w:headerReference r:id="rId9" w:type="default"/>
      <w:pgSz w:w="11905" w:h="16838"/>
      <w:pgMar w:top="1440" w:right="1417" w:bottom="1440" w:left="1417" w:header="851" w:footer="992" w:gutter="0"/>
      <w:paperSrc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  <w:rPr>
        <w:rFonts w:hint="eastAsia" w:ascii="宋体" w:hAnsi="宋体" w:eastAsia="宋体" w:cs="宋体"/>
      </w:rPr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8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</w:t>
    </w:r>
    <w:r>
      <w:t xml:space="preserve">                                     </w:t>
    </w:r>
    <w:r>
      <w:rPr>
        <w:rFonts w:hint="eastAsia" w:ascii="宋体" w:hAnsi="宋体" w:eastAsia="宋体" w:cs="宋体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  <w:rPr>
        <w:rFonts w:hint="eastAsia" w:ascii="宋体" w:hAnsi="宋体" w:eastAsia="宋体" w:cs="宋体"/>
      </w:rPr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</w:t>
    </w:r>
    <w:r>
      <w:t xml:space="preserve">                                     </w:t>
    </w:r>
    <w:r>
      <w:rPr>
        <w:rFonts w:hint="eastAsia" w:ascii="宋体" w:hAnsi="宋体" w:eastAsia="宋体" w:cs="宋体"/>
      </w:rPr>
      <w:t>空气质量评价报告书-有机挥发物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  <w:rPr>
        <w:rFonts w:hint="eastAsia" w:ascii="宋体" w:hAnsi="宋体" w:eastAsia="宋体" w:cs="宋体"/>
      </w:rPr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7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</w:t>
    </w:r>
    <w:r>
      <w:t xml:space="preserve">                                     </w:t>
    </w:r>
    <w:r>
      <w:rPr>
        <w:rFonts w:hint="eastAsia" w:ascii="宋体" w:hAnsi="宋体" w:eastAsia="宋体" w:cs="宋体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F23082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4EF2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uiPriority w:val="99"/>
    <w:rPr>
      <w:sz w:val="20"/>
      <w:szCs w:val="20"/>
    </w:rPr>
  </w:style>
  <w:style w:type="paragraph" w:styleId="12">
    <w:name w:val="toc 3"/>
    <w:basedOn w:val="1"/>
    <w:next w:val="1"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Char"/>
    <w:basedOn w:val="21"/>
    <w:link w:val="15"/>
    <w:uiPriority w:val="0"/>
    <w:rPr>
      <w:sz w:val="18"/>
      <w:szCs w:val="18"/>
    </w:rPr>
  </w:style>
  <w:style w:type="character" w:customStyle="1" w:styleId="25">
    <w:name w:val="页脚 Char"/>
    <w:basedOn w:val="21"/>
    <w:link w:val="14"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21"/>
    <w:link w:val="4"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Char"/>
    <w:basedOn w:val="21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Char"/>
    <w:link w:val="3"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Char"/>
    <w:basedOn w:val="21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Char"/>
    <w:basedOn w:val="21"/>
    <w:link w:val="6"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Char"/>
    <w:basedOn w:val="21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Char"/>
    <w:basedOn w:val="21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Char"/>
    <w:basedOn w:val="21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Char"/>
    <w:basedOn w:val="21"/>
    <w:link w:val="10"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Char"/>
    <w:basedOn w:val="21"/>
    <w:link w:val="13"/>
    <w:semiHidden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Char"/>
    <w:basedOn w:val="21"/>
    <w:link w:val="11"/>
    <w:semiHidden/>
    <w:uiPriority w:val="99"/>
    <w:rPr>
      <w:sz w:val="20"/>
      <w:szCs w:val="20"/>
    </w:rPr>
  </w:style>
  <w:style w:type="character" w:customStyle="1" w:styleId="41">
    <w:name w:val="批注主题 Char"/>
    <w:basedOn w:val="40"/>
    <w:link w:val="18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jpe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wmf"/><Relationship Id="rId12" Type="http://schemas.openxmlformats.org/officeDocument/2006/relationships/image" Target="media/image3.wmf"/><Relationship Id="rId11" Type="http://schemas.openxmlformats.org/officeDocument/2006/relationships/image" Target="media/image2.wmf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5957A3-98BA-49C0-BA57-E110D02589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Pages>10</Pages>
  <Words>3101</Words>
  <Characters>4213</Characters>
  <Lines>25</Lines>
  <Paragraphs>7</Paragraphs>
  <TotalTime>0</TotalTime>
  <ScaleCrop>false</ScaleCrop>
  <LinksUpToDate>false</LinksUpToDate>
  <CharactersWithSpaces>4297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2020-12-16T06:09:00Z</dcterms:created>
  <dc:creator>必易</dc:creator>
  <cp:lastModifiedBy>必易</cp:lastModifiedBy>
  <dcterms:modified xsi:type="dcterms:W3CDTF">2020-12-16T06:19:34Z</dcterms:modified>
  <dc:title>绿色建筑有机挥发物预评价报告书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