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after="312" w:afterLines="100"/>
        <w:ind w:left="180" w:right="180" w:firstLine="600"/>
        <w:rPr>
          <w:rFonts w:hint="eastAsia" w:ascii="黑体" w:hAnsi="黑体" w:eastAsia="黑体" w:cs="黑体"/>
          <w:b/>
          <w:bCs/>
          <w:kern w:val="2"/>
          <w:sz w:val="30"/>
          <w:szCs w:val="24"/>
          <w:lang w:val="en-US"/>
        </w:rPr>
      </w:pPr>
    </w:p>
    <w:p>
      <w:pPr>
        <w:spacing w:before="312" w:beforeLines="100" w:line="180" w:lineRule="atLeast"/>
        <w:ind w:left="180" w:right="180"/>
        <w:rPr>
          <w:rFonts w:hint="eastAsia" w:ascii="黑体" w:hAnsi="黑体" w:eastAsia="黑体" w:cs="黑体"/>
          <w:b/>
          <w:bCs/>
          <w:sz w:val="72"/>
          <w:szCs w:val="72"/>
        </w:rPr>
      </w:pPr>
    </w:p>
    <w:p>
      <w:pPr>
        <w:widowControl w:val="0"/>
        <w:spacing w:after="312" w:afterLines="100"/>
        <w:jc w:val="both"/>
        <w:rPr>
          <w:rFonts w:hint="eastAsia" w:ascii="黑体" w:hAnsi="黑体" w:eastAsia="黑体" w:cs="黑体"/>
          <w:b/>
          <w:bCs/>
          <w:kern w:val="2"/>
          <w:sz w:val="30"/>
          <w:szCs w:val="24"/>
          <w:lang w:val="en-US"/>
        </w:rPr>
      </w:pPr>
    </w:p>
    <w:p>
      <w:pPr>
        <w:widowControl w:val="0"/>
        <w:spacing w:after="312" w:afterLines="100"/>
        <w:jc w:val="both"/>
        <w:rPr>
          <w:rFonts w:hint="eastAsia" w:ascii="黑体" w:hAnsi="黑体" w:eastAsia="黑体" w:cs="黑体"/>
          <w:b/>
          <w:bCs/>
          <w:kern w:val="2"/>
          <w:sz w:val="30"/>
          <w:szCs w:val="24"/>
          <w:lang w:val="en-US"/>
        </w:rPr>
      </w:pPr>
    </w:p>
    <w:p>
      <w:pPr>
        <w:spacing w:before="312" w:beforeLines="100" w:line="180" w:lineRule="atLeast"/>
        <w:jc w:val="both"/>
        <w:rPr>
          <w:rFonts w:hint="eastAsia" w:ascii="黑体" w:hAnsi="黑体" w:eastAsia="黑体" w:cs="黑体"/>
          <w:b/>
          <w:bCs/>
          <w:sz w:val="72"/>
          <w:szCs w:val="72"/>
        </w:rPr>
      </w:pPr>
    </w:p>
    <w:p>
      <w:pPr>
        <w:spacing w:before="312" w:beforeLines="100" w:line="180" w:lineRule="atLeast"/>
        <w:jc w:val="center"/>
        <w:rPr>
          <w:rFonts w:hint="eastAsia" w:ascii="黑体" w:hAnsi="黑体" w:eastAsia="黑体" w:cs="黑体"/>
          <w:b/>
          <w:bCs/>
          <w:sz w:val="52"/>
          <w:szCs w:val="52"/>
        </w:rPr>
      </w:pPr>
      <w:r>
        <w:rPr>
          <w:rFonts w:hint="eastAsia" w:ascii="黑体" w:hAnsi="黑体" w:eastAsia="黑体" w:cs="黑体"/>
          <w:b/>
          <w:bCs/>
          <w:sz w:val="52"/>
          <w:szCs w:val="52"/>
          <w:lang w:val="en-US" w:eastAsia="zh-CN"/>
        </w:rPr>
        <w:t>眩光分析报</w:t>
      </w:r>
      <w:r>
        <w:rPr>
          <w:rFonts w:hint="eastAsia" w:ascii="黑体" w:hAnsi="黑体" w:eastAsia="黑体" w:cs="黑体"/>
          <w:b/>
          <w:bCs/>
          <w:sz w:val="52"/>
          <w:szCs w:val="52"/>
        </w:rPr>
        <w:t>告书</w:t>
      </w:r>
    </w:p>
    <w:p>
      <w:pPr>
        <w:spacing w:line="180" w:lineRule="atLeast"/>
        <w:jc w:val="center"/>
        <w:rPr>
          <w:rFonts w:hint="eastAsia" w:ascii="黑体" w:hAnsi="黑体" w:eastAsia="黑体" w:cs="黑体"/>
          <w:b/>
          <w:bCs/>
          <w:szCs w:val="21"/>
          <w:lang w:val="en-US"/>
        </w:rPr>
      </w:pPr>
    </w:p>
    <w:p>
      <w:pPr>
        <w:spacing w:line="180" w:lineRule="atLeast"/>
        <w:jc w:val="center"/>
        <w:rPr>
          <w:rFonts w:hint="eastAsia" w:ascii="黑体" w:hAnsi="黑体" w:eastAsia="黑体" w:cs="黑体"/>
          <w:b/>
          <w:bCs/>
          <w:szCs w:val="21"/>
          <w:lang w:val="en-US"/>
        </w:rPr>
      </w:pPr>
    </w:p>
    <w:p>
      <w:pPr>
        <w:spacing w:line="180" w:lineRule="atLeast"/>
        <w:jc w:val="center"/>
        <w:rPr>
          <w:rFonts w:hint="eastAsia" w:ascii="黑体" w:hAnsi="黑体" w:eastAsia="黑体" w:cs="黑体"/>
          <w:b/>
          <w:bCs/>
          <w:szCs w:val="21"/>
          <w:lang w:val="en-US"/>
        </w:rPr>
      </w:pPr>
    </w:p>
    <w:p>
      <w:pPr>
        <w:spacing w:line="180" w:lineRule="atLeast"/>
        <w:jc w:val="center"/>
        <w:rPr>
          <w:rFonts w:hint="eastAsia" w:ascii="黑体" w:hAnsi="黑体" w:eastAsia="黑体" w:cs="黑体"/>
          <w:b/>
          <w:bCs/>
          <w:szCs w:val="21"/>
          <w:lang w:val="en-US"/>
        </w:rPr>
      </w:pPr>
    </w:p>
    <w:p>
      <w:pPr>
        <w:spacing w:line="180" w:lineRule="atLeast"/>
        <w:jc w:val="center"/>
        <w:rPr>
          <w:rFonts w:hint="eastAsia" w:ascii="黑体" w:hAnsi="黑体" w:eastAsia="黑体" w:cs="黑体"/>
          <w:b/>
          <w:bCs/>
          <w:szCs w:val="21"/>
          <w:lang w:val="en-US"/>
        </w:rPr>
      </w:pPr>
    </w:p>
    <w:p>
      <w:pPr>
        <w:rPr>
          <w:rFonts w:hint="eastAsia" w:ascii="黑体" w:hAnsi="黑体" w:eastAsia="黑体" w:cs="黑体"/>
          <w:lang w:val="en-US"/>
        </w:rPr>
      </w:pPr>
    </w:p>
    <w:p>
      <w:pPr>
        <w:rPr>
          <w:rFonts w:hint="eastAsia" w:ascii="黑体" w:hAnsi="黑体" w:eastAsia="黑体" w:cs="黑体"/>
          <w:lang w:val="en-US"/>
        </w:rPr>
      </w:pPr>
    </w:p>
    <w:p>
      <w:pPr>
        <w:jc w:val="center"/>
        <w:rPr>
          <w:rFonts w:hint="eastAsia" w:ascii="黑体" w:hAnsi="黑体" w:eastAsia="黑体" w:cs="黑体"/>
          <w:lang w:val="en-US"/>
        </w:rPr>
      </w:pPr>
      <w:bookmarkStart w:id="0" w:name="二维码"/>
      <w:bookmarkEnd w:id="0"/>
    </w:p>
    <w:p>
      <w:pPr>
        <w:rPr>
          <w:rFonts w:hint="eastAsia" w:ascii="黑体" w:hAnsi="黑体" w:eastAsia="黑体" w:cs="黑体"/>
          <w:lang w:val="en-US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30"/>
          <w:szCs w:val="32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30"/>
          <w:szCs w:val="32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30"/>
          <w:szCs w:val="32"/>
        </w:rPr>
      </w:pPr>
    </w:p>
    <w:p>
      <w:pPr>
        <w:spacing w:line="1000" w:lineRule="exact"/>
        <w:ind w:left="0" w:leftChars="0" w:right="2024" w:rightChars="964" w:firstLine="2570" w:firstLineChars="800"/>
        <w:jc w:val="both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项目名称：幼儿园改造后</w:t>
      </w:r>
    </w:p>
    <w:p>
      <w:pPr>
        <w:spacing w:line="1000" w:lineRule="exact"/>
        <w:ind w:right="1619" w:rightChars="771" w:firstLine="2570" w:firstLineChars="800"/>
        <w:jc w:val="both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学 校：黑龙江建筑职业技术学院</w:t>
      </w:r>
    </w:p>
    <w:p>
      <w:pPr>
        <w:spacing w:line="1000" w:lineRule="exact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</w:p>
    <w:p>
      <w:pPr>
        <w:spacing w:line="1000" w:lineRule="exact"/>
        <w:jc w:val="center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</w:p>
    <w:p>
      <w:pPr>
        <w:pStyle w:val="3"/>
        <w:ind w:firstLine="420"/>
        <w:jc w:val="center"/>
        <w:rPr>
          <w:rFonts w:hint="eastAsia" w:ascii="黑体" w:hAnsi="黑体" w:eastAsia="黑体" w:cs="黑体"/>
          <w:lang w:val="en-US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2020年12月</w:t>
      </w:r>
    </w:p>
    <w:p>
      <w:pPr>
        <w:ind w:left="180" w:right="180" w:firstLine="420"/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418" w:bottom="1440" w:left="1418" w:header="851" w:footer="992" w:gutter="0"/>
          <w:pgNumType w:fmt="decimal"/>
          <w:cols w:space="425" w:num="1"/>
          <w:titlePg/>
          <w:docGrid w:type="lines" w:linePitch="312" w:charSpace="0"/>
        </w:sectPr>
      </w:pPr>
    </w:p>
    <w:p>
      <w:pPr>
        <w:ind w:left="180" w:right="180" w:firstLine="560"/>
        <w:rPr>
          <w:sz w:val="28"/>
          <w:szCs w:val="28"/>
        </w:rPr>
      </w:pPr>
      <w:bookmarkStart w:id="1" w:name="目录"/>
      <w:r>
        <w:rPr>
          <w:rFonts w:hint="eastAsia"/>
          <w:sz w:val="28"/>
          <w:szCs w:val="28"/>
        </w:rPr>
        <w:t>目  录</w:t>
      </w:r>
    </w:p>
    <w:p>
      <w:pPr>
        <w:pStyle w:val="17"/>
        <w:tabs>
          <w:tab w:val="right" w:leader="dot" w:pos="9070"/>
          <w:tab w:val="clear" w:pos="180"/>
          <w:tab w:val="clear" w:pos="420"/>
          <w:tab w:val="clear" w:pos="9360"/>
        </w:tabs>
        <w:spacing w:line="360" w:lineRule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</w:rPr>
        <w:instrText xml:space="preserve"> TOC \o "1-3" \h \z \u </w:instrTex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</w:rPr>
        <w:instrText xml:space="preserve"> HYPERLINK \l _Toc30607 </w:instrTex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eastAsia="宋体" w:cs="Times New Roman"/>
          <w:sz w:val="21"/>
          <w:szCs w:val="21"/>
        </w:rPr>
        <w:t>1. 建筑概况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</w:rPr>
        <w:instrText xml:space="preserve"> PAGEREF _Toc30607 </w:instrTex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eastAsia="宋体" w:cs="Times New Roman"/>
          <w:sz w:val="21"/>
          <w:szCs w:val="21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end"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end"/>
      </w:r>
    </w:p>
    <w:p>
      <w:pPr>
        <w:pStyle w:val="17"/>
        <w:tabs>
          <w:tab w:val="right" w:leader="dot" w:pos="9070"/>
          <w:tab w:val="clear" w:pos="180"/>
          <w:tab w:val="clear" w:pos="420"/>
          <w:tab w:val="clear" w:pos="9360"/>
        </w:tabs>
        <w:spacing w:line="360" w:lineRule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</w:rPr>
        <w:instrText xml:space="preserve"> HYPERLINK \l _Toc31593 </w:instrTex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eastAsia="宋体" w:cs="Times New Roman"/>
          <w:sz w:val="21"/>
          <w:szCs w:val="21"/>
        </w:rPr>
        <w:t>2. 分析目的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</w:rPr>
        <w:instrText xml:space="preserve"> PAGEREF _Toc31593 </w:instrTex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eastAsia="宋体" w:cs="Times New Roman"/>
          <w:sz w:val="21"/>
          <w:szCs w:val="21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end"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end"/>
      </w:r>
    </w:p>
    <w:p>
      <w:pPr>
        <w:pStyle w:val="17"/>
        <w:tabs>
          <w:tab w:val="right" w:leader="dot" w:pos="9070"/>
          <w:tab w:val="clear" w:pos="180"/>
          <w:tab w:val="clear" w:pos="420"/>
          <w:tab w:val="clear" w:pos="9360"/>
        </w:tabs>
        <w:spacing w:line="360" w:lineRule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</w:rPr>
        <w:instrText xml:space="preserve"> HYPERLINK \l _Toc6071 </w:instrTex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eastAsia="宋体" w:cs="Times New Roman"/>
          <w:sz w:val="21"/>
          <w:szCs w:val="21"/>
        </w:rPr>
        <w:t>3. 分析依据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</w:rPr>
        <w:instrText xml:space="preserve"> PAGEREF _Toc6071 </w:instrTex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eastAsia="宋体" w:cs="Times New Roman"/>
          <w:sz w:val="21"/>
          <w:szCs w:val="21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end"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end"/>
      </w:r>
    </w:p>
    <w:p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  <w:spacing w:line="360" w:lineRule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</w:rPr>
        <w:instrText xml:space="preserve"> HYPERLINK \l _Toc12462 </w:instrTex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eastAsia="宋体" w:cs="Times New Roman"/>
          <w:sz w:val="21"/>
          <w:szCs w:val="21"/>
          <w:lang w:val="en-GB"/>
        </w:rPr>
        <w:t xml:space="preserve">3.1 </w:t>
      </w:r>
      <w:r>
        <w:rPr>
          <w:rFonts w:hint="default" w:ascii="Times New Roman" w:hAnsi="Times New Roman" w:eastAsia="宋体" w:cs="Times New Roman"/>
          <w:sz w:val="21"/>
          <w:szCs w:val="21"/>
        </w:rPr>
        <w:t>标准依据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</w:rPr>
        <w:instrText xml:space="preserve"> PAGEREF _Toc12462 </w:instrTex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eastAsia="宋体" w:cs="Times New Roman"/>
          <w:sz w:val="21"/>
          <w:szCs w:val="21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end"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end"/>
      </w:r>
    </w:p>
    <w:p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  <w:spacing w:line="360" w:lineRule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</w:rPr>
        <w:instrText xml:space="preserve"> HYPERLINK \l _Toc11224 </w:instrTex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eastAsia="宋体" w:cs="Times New Roman"/>
          <w:sz w:val="21"/>
          <w:szCs w:val="21"/>
          <w:lang w:val="en-GB"/>
        </w:rPr>
        <w:t xml:space="preserve">3.2 </w:t>
      </w:r>
      <w:r>
        <w:rPr>
          <w:rFonts w:hint="default" w:ascii="Times New Roman" w:hAnsi="Times New Roman" w:eastAsia="宋体" w:cs="Times New Roman"/>
          <w:sz w:val="21"/>
          <w:szCs w:val="21"/>
        </w:rPr>
        <w:t>标准要求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</w:rPr>
        <w:instrText xml:space="preserve"> PAGEREF _Toc11224 </w:instrTex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eastAsia="宋体" w:cs="Times New Roman"/>
          <w:sz w:val="21"/>
          <w:szCs w:val="21"/>
        </w:rPr>
        <w:t>4</w: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end"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end"/>
      </w:r>
    </w:p>
    <w:p>
      <w:pPr>
        <w:pStyle w:val="17"/>
        <w:tabs>
          <w:tab w:val="right" w:leader="dot" w:pos="9070"/>
          <w:tab w:val="clear" w:pos="180"/>
          <w:tab w:val="clear" w:pos="420"/>
          <w:tab w:val="clear" w:pos="9360"/>
        </w:tabs>
        <w:spacing w:line="360" w:lineRule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</w:rPr>
        <w:instrText xml:space="preserve"> HYPERLINK \l _Toc31002 </w:instrTex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eastAsia="宋体" w:cs="Times New Roman"/>
          <w:sz w:val="21"/>
          <w:szCs w:val="21"/>
        </w:rPr>
        <w:t>4. 应用软件与计算方法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</w:rPr>
        <w:instrText xml:space="preserve"> PAGEREF _Toc31002 </w:instrTex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eastAsia="宋体" w:cs="Times New Roman"/>
          <w:sz w:val="21"/>
          <w:szCs w:val="21"/>
        </w:rPr>
        <w:t>5</w: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end"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end"/>
      </w:r>
    </w:p>
    <w:p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  <w:spacing w:line="360" w:lineRule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</w:rPr>
        <w:instrText xml:space="preserve"> HYPERLINK \l _Toc25153 </w:instrTex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eastAsia="宋体" w:cs="Times New Roman"/>
          <w:sz w:val="21"/>
          <w:szCs w:val="21"/>
          <w:lang w:val="en-GB"/>
        </w:rPr>
        <w:t xml:space="preserve">4.1 </w:t>
      </w:r>
      <w:r>
        <w:rPr>
          <w:rFonts w:hint="default" w:ascii="Times New Roman" w:hAnsi="Times New Roman" w:eastAsia="宋体" w:cs="Times New Roman"/>
          <w:sz w:val="21"/>
          <w:szCs w:val="21"/>
        </w:rPr>
        <w:t>软件选用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</w:rPr>
        <w:instrText xml:space="preserve"> PAGEREF _Toc25153 </w:instrTex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eastAsia="宋体" w:cs="Times New Roman"/>
          <w:sz w:val="21"/>
          <w:szCs w:val="21"/>
        </w:rPr>
        <w:t>5</w: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end"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end"/>
      </w:r>
    </w:p>
    <w:p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  <w:spacing w:line="360" w:lineRule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</w:rPr>
        <w:instrText xml:space="preserve"> HYPERLINK \l _Toc19576 </w:instrTex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eastAsia="宋体" w:cs="Times New Roman"/>
          <w:sz w:val="21"/>
          <w:szCs w:val="21"/>
          <w:lang w:val="en-GB"/>
        </w:rPr>
        <w:t xml:space="preserve">4.2 </w:t>
      </w:r>
      <w:r>
        <w:rPr>
          <w:rFonts w:hint="default" w:ascii="Times New Roman" w:hAnsi="Times New Roman" w:eastAsia="宋体" w:cs="Times New Roman"/>
          <w:sz w:val="21"/>
          <w:szCs w:val="21"/>
        </w:rPr>
        <w:t>计算原理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</w:rPr>
        <w:instrText xml:space="preserve"> PAGEREF _Toc19576 </w:instrTex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eastAsia="宋体" w:cs="Times New Roman"/>
          <w:sz w:val="21"/>
          <w:szCs w:val="21"/>
        </w:rPr>
        <w:t>6</w: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end"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end"/>
      </w:r>
    </w:p>
    <w:p>
      <w:pPr>
        <w:pStyle w:val="17"/>
        <w:tabs>
          <w:tab w:val="right" w:leader="dot" w:pos="9070"/>
          <w:tab w:val="clear" w:pos="180"/>
          <w:tab w:val="clear" w:pos="420"/>
          <w:tab w:val="clear" w:pos="9360"/>
        </w:tabs>
        <w:spacing w:line="360" w:lineRule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</w:rPr>
        <w:instrText xml:space="preserve"> HYPERLINK \l _Toc4987 </w:instrTex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eastAsia="宋体" w:cs="Times New Roman"/>
          <w:sz w:val="21"/>
          <w:szCs w:val="21"/>
        </w:rPr>
        <w:t>5. 计算参数选用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</w:rPr>
        <w:instrText xml:space="preserve"> PAGEREF _Toc4987 </w:instrTex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eastAsia="宋体" w:cs="Times New Roman"/>
          <w:sz w:val="21"/>
          <w:szCs w:val="21"/>
        </w:rPr>
        <w:t>7</w: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end"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end"/>
      </w:r>
    </w:p>
    <w:p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  <w:spacing w:line="360" w:lineRule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</w:rPr>
        <w:instrText xml:space="preserve"> HYPERLINK \l _Toc2415 </w:instrTex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eastAsia="宋体" w:cs="Times New Roman"/>
          <w:sz w:val="21"/>
          <w:szCs w:val="21"/>
          <w:lang w:val="en-GB"/>
        </w:rPr>
        <w:t xml:space="preserve">5.1 </w:t>
      </w:r>
      <w:r>
        <w:rPr>
          <w:rFonts w:hint="default" w:ascii="Times New Roman" w:hAnsi="Times New Roman" w:eastAsia="宋体" w:cs="Times New Roman"/>
          <w:sz w:val="21"/>
          <w:szCs w:val="21"/>
        </w:rPr>
        <w:t>模拟条件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</w:rPr>
        <w:instrText xml:space="preserve"> PAGEREF _Toc2415 </w:instrTex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eastAsia="宋体" w:cs="Times New Roman"/>
          <w:sz w:val="21"/>
          <w:szCs w:val="21"/>
        </w:rPr>
        <w:t>7</w: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end"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end"/>
      </w:r>
    </w:p>
    <w:p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  <w:spacing w:line="360" w:lineRule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</w:rPr>
        <w:instrText xml:space="preserve"> HYPERLINK \l _Toc29387 </w:instrTex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eastAsia="宋体" w:cs="Times New Roman"/>
          <w:sz w:val="21"/>
          <w:szCs w:val="21"/>
          <w:lang w:val="en-GB"/>
        </w:rPr>
        <w:t xml:space="preserve">5.2 </w:t>
      </w:r>
      <w:r>
        <w:rPr>
          <w:rFonts w:hint="default" w:ascii="Times New Roman" w:hAnsi="Times New Roman" w:eastAsia="宋体" w:cs="Times New Roman"/>
          <w:sz w:val="21"/>
          <w:szCs w:val="21"/>
        </w:rPr>
        <w:t>建筑饰面材料参数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</w:rPr>
        <w:instrText xml:space="preserve"> PAGEREF _Toc29387 </w:instrTex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eastAsia="宋体" w:cs="Times New Roman"/>
          <w:sz w:val="21"/>
          <w:szCs w:val="21"/>
        </w:rPr>
        <w:t>7</w: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end"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end"/>
      </w:r>
    </w:p>
    <w:p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  <w:spacing w:line="360" w:lineRule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</w:rPr>
        <w:instrText xml:space="preserve"> HYPERLINK \l _Toc4221 </w:instrTex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eastAsia="宋体" w:cs="Times New Roman"/>
          <w:sz w:val="21"/>
          <w:szCs w:val="21"/>
          <w:lang w:val="en-GB"/>
        </w:rPr>
        <w:t xml:space="preserve">5.3 </w:t>
      </w:r>
      <w:r>
        <w:rPr>
          <w:rFonts w:hint="default" w:ascii="Times New Roman" w:hAnsi="Times New Roman" w:eastAsia="宋体" w:cs="Times New Roman"/>
          <w:sz w:val="21"/>
          <w:szCs w:val="21"/>
        </w:rPr>
        <w:t>门窗类型参数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</w:rPr>
        <w:instrText xml:space="preserve"> PAGEREF _Toc4221 </w:instrTex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eastAsia="宋体" w:cs="Times New Roman"/>
          <w:sz w:val="21"/>
          <w:szCs w:val="21"/>
        </w:rPr>
        <w:t>7</w: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end"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end"/>
      </w:r>
    </w:p>
    <w:p>
      <w:pPr>
        <w:pStyle w:val="14"/>
        <w:tabs>
          <w:tab w:val="right" w:leader="dot" w:pos="9070"/>
          <w:tab w:val="clear" w:pos="900"/>
          <w:tab w:val="clear" w:pos="1260"/>
          <w:tab w:val="clear" w:pos="9360"/>
        </w:tabs>
        <w:spacing w:line="360" w:lineRule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</w:rPr>
        <w:instrText xml:space="preserve"> HYPERLINK \l _Toc14273 </w:instrTex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eastAsia="宋体" w:cs="Times New Roman"/>
          <w:sz w:val="21"/>
          <w:szCs w:val="21"/>
          <w:lang w:val="en-GB"/>
        </w:rPr>
        <w:t xml:space="preserve">5.3.1 </w:t>
      </w:r>
      <w:r>
        <w:rPr>
          <w:rFonts w:hint="default" w:ascii="Times New Roman" w:hAnsi="Times New Roman" w:eastAsia="宋体" w:cs="Times New Roman"/>
          <w:sz w:val="21"/>
          <w:szCs w:val="21"/>
        </w:rPr>
        <w:t>普通窗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</w:rPr>
        <w:instrText xml:space="preserve"> PAGEREF _Toc14273 </w:instrTex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eastAsia="宋体" w:cs="Times New Roman"/>
          <w:sz w:val="21"/>
          <w:szCs w:val="21"/>
        </w:rPr>
        <w:t>7</w: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end"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end"/>
      </w:r>
    </w:p>
    <w:p>
      <w:pPr>
        <w:pStyle w:val="17"/>
        <w:tabs>
          <w:tab w:val="right" w:leader="dot" w:pos="9070"/>
          <w:tab w:val="clear" w:pos="180"/>
          <w:tab w:val="clear" w:pos="420"/>
          <w:tab w:val="clear" w:pos="9360"/>
        </w:tabs>
        <w:spacing w:line="360" w:lineRule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</w:rPr>
        <w:instrText xml:space="preserve"> HYPERLINK \l _Toc22492 </w:instrTex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eastAsia="宋体" w:cs="Times New Roman"/>
          <w:sz w:val="21"/>
          <w:szCs w:val="21"/>
        </w:rPr>
        <w:t>6. 眩光分析结果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</w:rPr>
        <w:instrText xml:space="preserve"> PAGEREF _Toc22492 </w:instrTex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eastAsia="宋体" w:cs="Times New Roman"/>
          <w:sz w:val="21"/>
          <w:szCs w:val="21"/>
        </w:rPr>
        <w:t>8</w: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end"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end"/>
      </w:r>
    </w:p>
    <w:p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  <w:spacing w:line="360" w:lineRule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</w:rPr>
        <w:instrText xml:space="preserve"> HYPERLINK \l _Toc12555 </w:instrTex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eastAsia="宋体" w:cs="Times New Roman"/>
          <w:sz w:val="21"/>
          <w:szCs w:val="21"/>
          <w:lang w:val="en-GB"/>
        </w:rPr>
        <w:t xml:space="preserve">6.1 </w:t>
      </w:r>
      <w:r>
        <w:rPr>
          <w:rFonts w:hint="default" w:ascii="Times New Roman" w:hAnsi="Times New Roman" w:eastAsia="宋体" w:cs="Times New Roman"/>
          <w:sz w:val="21"/>
          <w:szCs w:val="21"/>
        </w:rPr>
        <w:t>眩光指数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</w:rPr>
        <w:instrText xml:space="preserve"> PAGEREF _Toc12555 </w:instrTex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eastAsia="宋体" w:cs="Times New Roman"/>
          <w:sz w:val="21"/>
          <w:szCs w:val="21"/>
        </w:rPr>
        <w:t>8</w: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end"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end"/>
      </w:r>
    </w:p>
    <w:p>
      <w:pPr>
        <w:pStyle w:val="18"/>
        <w:tabs>
          <w:tab w:val="right" w:leader="dot" w:pos="9070"/>
          <w:tab w:val="clear" w:pos="540"/>
          <w:tab w:val="clear" w:pos="840"/>
          <w:tab w:val="clear" w:pos="9360"/>
        </w:tabs>
        <w:spacing w:line="360" w:lineRule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</w:rPr>
        <w:instrText xml:space="preserve"> HYPERLINK \l _Toc18284 </w:instrTex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eastAsia="宋体" w:cs="Times New Roman"/>
          <w:sz w:val="21"/>
          <w:szCs w:val="21"/>
          <w:lang w:val="en-GB"/>
        </w:rPr>
        <w:t xml:space="preserve">6.2 </w:t>
      </w:r>
      <w:r>
        <w:rPr>
          <w:rFonts w:hint="default" w:ascii="Times New Roman" w:hAnsi="Times New Roman" w:eastAsia="宋体" w:cs="Times New Roman"/>
          <w:sz w:val="21"/>
          <w:szCs w:val="21"/>
        </w:rPr>
        <w:t>采光均匀度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</w:rPr>
        <w:instrText xml:space="preserve"> PAGEREF _Toc18284 </w:instrTex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eastAsia="宋体" w:cs="Times New Roman"/>
          <w:sz w:val="21"/>
          <w:szCs w:val="21"/>
        </w:rPr>
        <w:t>9</w: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end"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end"/>
      </w:r>
    </w:p>
    <w:p>
      <w:pPr>
        <w:pStyle w:val="17"/>
        <w:tabs>
          <w:tab w:val="right" w:leader="dot" w:pos="9070"/>
          <w:tab w:val="clear" w:pos="180"/>
          <w:tab w:val="clear" w:pos="420"/>
          <w:tab w:val="clear" w:pos="9360"/>
        </w:tabs>
        <w:spacing w:line="360" w:lineRule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</w:rPr>
        <w:instrText xml:space="preserve"> HYPERLINK \l _Toc29489 </w:instrTex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eastAsia="宋体" w:cs="Times New Roman"/>
          <w:sz w:val="21"/>
          <w:szCs w:val="21"/>
        </w:rPr>
        <w:t>7. 评价结论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</w:rPr>
        <w:instrText xml:space="preserve"> PAGEREF _Toc29489 </w:instrTex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eastAsia="宋体" w:cs="Times New Roman"/>
          <w:sz w:val="21"/>
          <w:szCs w:val="21"/>
        </w:rPr>
        <w:t>9</w: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end"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end"/>
      </w:r>
    </w:p>
    <w:p>
      <w:pPr>
        <w:pStyle w:val="17"/>
        <w:tabs>
          <w:tab w:val="right" w:leader="dot" w:pos="9070"/>
          <w:tab w:val="clear" w:pos="180"/>
          <w:tab w:val="clear" w:pos="420"/>
          <w:tab w:val="clear" w:pos="9360"/>
        </w:tabs>
        <w:spacing w:line="360" w:lineRule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</w:rPr>
        <w:instrText xml:space="preserve"> HYPERLINK \l _Toc25881 </w:instrTex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eastAsia="宋体" w:cs="Times New Roman"/>
          <w:sz w:val="21"/>
          <w:szCs w:val="21"/>
        </w:rPr>
        <w:t>8. 附：项目总平面图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begin"/>
      </w:r>
      <w:r>
        <w:rPr>
          <w:rFonts w:hint="default" w:ascii="Times New Roman" w:hAnsi="Times New Roman" w:eastAsia="宋体" w:cs="Times New Roman"/>
          <w:sz w:val="21"/>
          <w:szCs w:val="21"/>
        </w:rPr>
        <w:instrText xml:space="preserve"> PAGEREF _Toc25881 </w:instrTex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separate"/>
      </w:r>
      <w:r>
        <w:rPr>
          <w:rFonts w:hint="default" w:ascii="Times New Roman" w:hAnsi="Times New Roman" w:eastAsia="宋体" w:cs="Times New Roman"/>
          <w:sz w:val="21"/>
          <w:szCs w:val="21"/>
        </w:rPr>
        <w:t>10</w:t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end"/>
      </w:r>
      <w:r>
        <w:rPr>
          <w:rFonts w:hint="default" w:ascii="Times New Roman" w:hAnsi="Times New Roman" w:eastAsia="宋体" w:cs="Times New Roman"/>
          <w:sz w:val="21"/>
          <w:szCs w:val="21"/>
        </w:rPr>
        <w:fldChar w:fldCharType="end"/>
      </w:r>
    </w:p>
    <w:p>
      <w:pPr>
        <w:spacing w:line="360" w:lineRule="auto"/>
        <w:ind w:left="180" w:right="180" w:firstLine="560"/>
        <w:rPr>
          <w:sz w:val="28"/>
          <w:szCs w:val="28"/>
        </w:rPr>
        <w:sectPr>
          <w:pgSz w:w="11906" w:h="16838"/>
          <w:pgMar w:top="1440" w:right="1418" w:bottom="1440" w:left="1418" w:header="851" w:footer="992" w:gutter="0"/>
          <w:pgNumType w:fmt="decimal"/>
          <w:cols w:space="425" w:num="1"/>
          <w:titlePg/>
          <w:docGrid w:type="lines" w:linePitch="312" w:charSpace="0"/>
        </w:sectPr>
      </w:pPr>
      <w:r>
        <w:rPr>
          <w:rFonts w:hint="default" w:ascii="Times New Roman" w:hAnsi="Times New Roman" w:eastAsia="宋体" w:cs="Times New Roman"/>
          <w:sz w:val="21"/>
          <w:szCs w:val="21"/>
        </w:rPr>
        <w:fldChar w:fldCharType="end"/>
      </w:r>
      <w:bookmarkEnd w:id="1"/>
    </w:p>
    <w:p>
      <w:pPr>
        <w:pStyle w:val="2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hint="default" w:ascii="Times New Roman" w:hAnsi="Times New Roman" w:eastAsia="宋体" w:cs="Times New Roman"/>
          <w:sz w:val="28"/>
          <w:szCs w:val="28"/>
        </w:rPr>
      </w:pPr>
      <w:bookmarkStart w:id="2" w:name="_Toc30607"/>
      <w:r>
        <w:rPr>
          <w:rFonts w:hint="default" w:ascii="Times New Roman" w:hAnsi="Times New Roman" w:eastAsia="宋体" w:cs="Times New Roman"/>
          <w:sz w:val="28"/>
          <w:szCs w:val="28"/>
        </w:rPr>
        <w:t>建筑概况</w:t>
      </w:r>
      <w:bookmarkEnd w:id="2"/>
    </w:p>
    <w:tbl>
      <w:tblPr>
        <w:tblStyle w:val="19"/>
        <w:tblpPr w:leftFromText="180" w:rightFromText="180" w:vertAnchor="text" w:horzAnchor="page" w:tblpX="1843" w:tblpY="233"/>
        <w:tblW w:w="4885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2700"/>
        <w:gridCol w:w="1800"/>
        <w:gridCol w:w="212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E6E6E6"/>
          </w:tcPr>
          <w:p>
            <w:pPr>
              <w:pStyle w:val="32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  <w:t>光气候分区</w:t>
            </w:r>
          </w:p>
        </w:tc>
        <w:tc>
          <w:tcPr>
            <w:tcW w:w="2700" w:type="dxa"/>
          </w:tcPr>
          <w:p>
            <w:pPr>
              <w:pStyle w:val="32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</w:pPr>
            <w:bookmarkStart w:id="3" w:name="光气候分区"/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  <w:t>IV</w:t>
            </w:r>
            <w:bookmarkEnd w:id="3"/>
          </w:p>
        </w:tc>
        <w:tc>
          <w:tcPr>
            <w:tcW w:w="1800" w:type="dxa"/>
            <w:shd w:val="clear" w:color="auto" w:fill="E0E0E0"/>
          </w:tcPr>
          <w:p>
            <w:pPr>
              <w:pStyle w:val="32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  <w:t>光气候系数K</w:t>
            </w:r>
          </w:p>
        </w:tc>
        <w:tc>
          <w:tcPr>
            <w:tcW w:w="2124" w:type="dxa"/>
          </w:tcPr>
          <w:p>
            <w:pPr>
              <w:pStyle w:val="32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</w:pPr>
            <w:bookmarkStart w:id="4" w:name="光气候系数K"/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  <w:t>1.10</w:t>
            </w:r>
            <w:bookmarkEnd w:id="4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c>
          <w:tcPr>
            <w:tcW w:w="2448" w:type="dxa"/>
            <w:shd w:val="clear" w:color="auto" w:fill="E6E6E6"/>
          </w:tcPr>
          <w:p>
            <w:pPr>
              <w:pStyle w:val="32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  <w:t>建筑面积</w:t>
            </w:r>
          </w:p>
        </w:tc>
        <w:tc>
          <w:tcPr>
            <w:tcW w:w="6624" w:type="dxa"/>
            <w:gridSpan w:val="3"/>
          </w:tcPr>
          <w:p>
            <w:pPr>
              <w:pStyle w:val="32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  <w:t xml:space="preserve">地上 </w:t>
            </w:r>
            <w:bookmarkStart w:id="5" w:name="地上建筑面积"/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  <w:t>2500.87</w:t>
            </w:r>
            <w:bookmarkEnd w:id="5"/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m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superscript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  <w:t xml:space="preserve">   地下  </w:t>
            </w:r>
            <w:bookmarkStart w:id="6" w:name="地下建筑面积"/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  <w:t>0.00</w:t>
            </w:r>
            <w:bookmarkEnd w:id="6"/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 xml:space="preserve"> m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superscript"/>
              </w:rPr>
              <w:t>2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vertAlign w:val="superscript"/>
                <w:lang w:val="en-US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E6E6E6"/>
          </w:tcPr>
          <w:p>
            <w:pPr>
              <w:pStyle w:val="32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  <w:t>建筑层数</w:t>
            </w:r>
          </w:p>
        </w:tc>
        <w:tc>
          <w:tcPr>
            <w:tcW w:w="6624" w:type="dxa"/>
            <w:gridSpan w:val="3"/>
          </w:tcPr>
          <w:p>
            <w:pPr>
              <w:pStyle w:val="32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  <w:t xml:space="preserve">地上 </w:t>
            </w:r>
            <w:bookmarkStart w:id="7" w:name="地上建筑层数"/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  <w:t>3</w:t>
            </w:r>
            <w:bookmarkEnd w:id="7"/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  <w:t xml:space="preserve"> 层            地下  </w:t>
            </w:r>
            <w:bookmarkStart w:id="8" w:name="地下建筑层数"/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  <w:t>0</w:t>
            </w:r>
            <w:bookmarkEnd w:id="8"/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  <w:t xml:space="preserve"> 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c>
          <w:tcPr>
            <w:tcW w:w="2448" w:type="dxa"/>
            <w:shd w:val="clear" w:color="auto" w:fill="E6E6E6"/>
          </w:tcPr>
          <w:p>
            <w:pPr>
              <w:pStyle w:val="32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  <w:t>建筑高度</w:t>
            </w:r>
          </w:p>
        </w:tc>
        <w:tc>
          <w:tcPr>
            <w:tcW w:w="6624" w:type="dxa"/>
            <w:gridSpan w:val="3"/>
          </w:tcPr>
          <w:p>
            <w:pPr>
              <w:pStyle w:val="32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  <w:t xml:space="preserve">地上  </w:t>
            </w:r>
            <w:bookmarkStart w:id="9" w:name="地上建筑高度"/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  <w:t>12.90</w:t>
            </w:r>
            <w:bookmarkEnd w:id="9"/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  <w:t xml:space="preserve"> m       地下  </w:t>
            </w:r>
            <w:bookmarkStart w:id="10" w:name="地下建筑高度"/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  <w:t>0.00</w:t>
            </w:r>
            <w:bookmarkEnd w:id="10"/>
            <w:r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  <w:t xml:space="preserve"> m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48" w:type="dxa"/>
            <w:shd w:val="clear" w:color="auto" w:fill="E6E6E6"/>
          </w:tcPr>
          <w:p>
            <w:pPr>
              <w:pStyle w:val="32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备注</w:t>
            </w:r>
          </w:p>
        </w:tc>
        <w:tc>
          <w:tcPr>
            <w:tcW w:w="6624" w:type="dxa"/>
            <w:gridSpan w:val="3"/>
          </w:tcPr>
          <w:p>
            <w:pPr>
              <w:pStyle w:val="32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</w:pPr>
          </w:p>
        </w:tc>
      </w:tr>
    </w:tbl>
    <w:p>
      <w:pPr>
        <w:pStyle w:val="3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ind w:left="0" w:leftChars="0" w:firstLine="0" w:firstLineChars="0"/>
        <w:jc w:val="both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/>
        </w:rPr>
      </w:pPr>
    </w:p>
    <w:p>
      <w:pPr>
        <w:pStyle w:val="2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hint="default" w:ascii="Times New Roman" w:hAnsi="Times New Roman" w:eastAsia="宋体" w:cs="Times New Roman"/>
          <w:sz w:val="28"/>
          <w:szCs w:val="28"/>
        </w:rPr>
      </w:pPr>
      <w:bookmarkStart w:id="11" w:name="_Toc31593"/>
      <w:r>
        <w:rPr>
          <w:rFonts w:hint="default" w:ascii="Times New Roman" w:hAnsi="Times New Roman" w:eastAsia="宋体" w:cs="Times New Roman"/>
          <w:sz w:val="28"/>
          <w:szCs w:val="28"/>
        </w:rPr>
        <w:t>分析目的</w:t>
      </w:r>
      <w:bookmarkEnd w:id="11"/>
    </w:p>
    <w:p>
      <w:pPr>
        <w:pStyle w:val="32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ind w:firstLine="420" w:firstLineChars="20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天然光营造的光环境以经济、自然、宜人、不可替代等特性为人们所习惯和喜爱。各种光源的视觉试验结果表明，在同样照度条件下，天然光的辨认能力优于人工光。天然采光不仅有利于照明节能，而且有利于增加室内外的自然信息交流，改善空间卫生环境，调节空间使用者的心情。在建筑中充分利用天然光，对于创造良好光环境、节约能源、保护环境和构建绿色建筑具有重要意义。</w:t>
      </w:r>
    </w:p>
    <w:p>
      <w:pPr>
        <w:pStyle w:val="32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ind w:firstLine="420" w:firstLineChars="20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窗的不舒适眩光是评价采光质量的重要指标，绿色建筑评价中也要求对主要功能房间有合理的控制眩光的措施。本分析报告以相关标准为依据，采用DALI软件进行采光模拟，分析项目主要功能房间</w:t>
      </w:r>
      <w:r>
        <w:rPr>
          <w:rFonts w:hint="default" w:ascii="Times New Roman" w:hAnsi="Times New Roman" w:eastAsia="宋体" w:cs="Times New Roman"/>
          <w:b/>
          <w:sz w:val="21"/>
          <w:szCs w:val="21"/>
        </w:rPr>
        <w:t>眩光指数</w:t>
      </w:r>
      <w:r>
        <w:rPr>
          <w:rFonts w:hint="default" w:ascii="Times New Roman" w:hAnsi="Times New Roman" w:eastAsia="宋体" w:cs="Times New Roman"/>
          <w:sz w:val="21"/>
          <w:szCs w:val="21"/>
        </w:rPr>
        <w:t>、</w:t>
      </w:r>
      <w:r>
        <w:rPr>
          <w:rFonts w:hint="default" w:ascii="Times New Roman" w:hAnsi="Times New Roman" w:eastAsia="宋体" w:cs="Times New Roman"/>
          <w:b/>
          <w:sz w:val="21"/>
          <w:szCs w:val="21"/>
        </w:rPr>
        <w:t>采光均匀度</w:t>
      </w:r>
      <w:r>
        <w:rPr>
          <w:rFonts w:hint="default" w:ascii="Times New Roman" w:hAnsi="Times New Roman" w:eastAsia="宋体" w:cs="Times New Roman"/>
          <w:sz w:val="21"/>
          <w:szCs w:val="21"/>
        </w:rPr>
        <w:t>，并给出绿色建筑评估所需要的评价分值。</w:t>
      </w:r>
    </w:p>
    <w:p>
      <w:pPr>
        <w:pStyle w:val="2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hint="default" w:ascii="Times New Roman" w:hAnsi="Times New Roman" w:eastAsia="宋体" w:cs="Times New Roman"/>
          <w:sz w:val="28"/>
          <w:szCs w:val="28"/>
        </w:rPr>
      </w:pPr>
      <w:bookmarkStart w:id="12" w:name="_Toc6071"/>
      <w:r>
        <w:rPr>
          <w:rFonts w:hint="default" w:ascii="Times New Roman" w:hAnsi="Times New Roman" w:eastAsia="宋体" w:cs="Times New Roman"/>
          <w:sz w:val="28"/>
          <w:szCs w:val="28"/>
        </w:rPr>
        <w:t>分析依据</w:t>
      </w:r>
      <w:bookmarkEnd w:id="12"/>
    </w:p>
    <w:p>
      <w:pPr>
        <w:pStyle w:val="4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bookmarkStart w:id="13" w:name="_Toc12462"/>
      <w:r>
        <w:rPr>
          <w:rFonts w:hint="default" w:ascii="Times New Roman" w:hAnsi="Times New Roman" w:eastAsia="宋体" w:cs="Times New Roman"/>
          <w:sz w:val="21"/>
          <w:szCs w:val="21"/>
        </w:rPr>
        <w:t>标准依据</w:t>
      </w:r>
      <w:bookmarkEnd w:id="13"/>
    </w:p>
    <w:p>
      <w:pPr>
        <w:pStyle w:val="3"/>
        <w:keepLines w:val="0"/>
        <w:pageBreakBefore w:val="0"/>
        <w:numPr>
          <w:ilvl w:val="0"/>
          <w:numId w:val="2"/>
        </w:numPr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902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/>
        </w:rPr>
        <w:t>《绿色建筑评价标准》GB/T 50378-2019</w:t>
      </w:r>
    </w:p>
    <w:p>
      <w:pPr>
        <w:pStyle w:val="3"/>
        <w:keepLines w:val="0"/>
        <w:pageBreakBefore w:val="0"/>
        <w:numPr>
          <w:ilvl w:val="0"/>
          <w:numId w:val="2"/>
        </w:numPr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902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/>
        </w:rPr>
        <w:t>《建筑采光设计标准》</w:t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/>
        </w:rPr>
        <w:t>GB 50033-2013</w:t>
      </w:r>
    </w:p>
    <w:p>
      <w:pPr>
        <w:pStyle w:val="3"/>
        <w:keepLines w:val="0"/>
        <w:pageBreakBefore w:val="0"/>
        <w:numPr>
          <w:ilvl w:val="0"/>
          <w:numId w:val="2"/>
        </w:numPr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902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/>
        </w:rPr>
        <w:t>《绿色建筑评价标准技术细则2019》</w:t>
      </w:r>
    </w:p>
    <w:p>
      <w:pPr>
        <w:pStyle w:val="3"/>
        <w:keepLines w:val="0"/>
        <w:pageBreakBefore w:val="0"/>
        <w:numPr>
          <w:ilvl w:val="0"/>
          <w:numId w:val="2"/>
        </w:numPr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902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/>
        </w:rPr>
        <w:t>《采光测量方法》GB/T5699-2017</w:t>
      </w:r>
    </w:p>
    <w:p>
      <w:pPr>
        <w:pStyle w:val="3"/>
        <w:keepLines w:val="0"/>
        <w:pageBreakBefore w:val="0"/>
        <w:numPr>
          <w:ilvl w:val="0"/>
          <w:numId w:val="2"/>
        </w:numPr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902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/>
        </w:rPr>
        <w:t>委托方提供的项目总平面图、建筑设计图纸、设计效果图等图纸资料</w:t>
      </w:r>
    </w:p>
    <w:p>
      <w:pPr>
        <w:pStyle w:val="3"/>
        <w:keepLines w:val="0"/>
        <w:pageBreakBefore w:val="0"/>
        <w:numPr>
          <w:ilvl w:val="0"/>
          <w:numId w:val="2"/>
        </w:numPr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left="902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/>
        </w:rPr>
        <w:t xml:space="preserve">委托方提供的其它相关资料 </w:t>
      </w:r>
    </w:p>
    <w:p>
      <w:pPr>
        <w:pStyle w:val="4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bookmarkStart w:id="14" w:name="_Toc11224"/>
      <w:r>
        <w:rPr>
          <w:rFonts w:hint="default" w:ascii="Times New Roman" w:hAnsi="Times New Roman" w:eastAsia="宋体" w:cs="Times New Roman"/>
          <w:sz w:val="21"/>
          <w:szCs w:val="21"/>
        </w:rPr>
        <w:t>标准要求</w:t>
      </w:r>
      <w:bookmarkEnd w:id="14"/>
    </w:p>
    <w:p>
      <w:pPr>
        <w:pStyle w:val="32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ind w:firstLine="420" w:firstLineChars="20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/>
        </w:rPr>
        <w:t>本报告以《建筑采光设计标准》GB 50033-2013为计算依据，以《绿色建筑评价标准》GB/T 50378－2019为评价依据。</w:t>
      </w:r>
    </w:p>
    <w:p>
      <w:pPr>
        <w:pStyle w:val="13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ind w:left="180" w:right="180" w:firstLine="420"/>
        <w:textAlignment w:val="auto"/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kern w:val="0"/>
          <w:sz w:val="21"/>
          <w:szCs w:val="21"/>
        </w:rPr>
        <w:t>■ 《建筑采光设计标准》GB 50033-2013规定：</w:t>
      </w:r>
    </w:p>
    <w:p>
      <w:pPr>
        <w:pStyle w:val="32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ind w:firstLine="420" w:firstLineChars="20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窗的不舒适眩光指数不宜高于表5.0.3规定的数值。</w:t>
      </w:r>
    </w:p>
    <w:p>
      <w:pPr>
        <w:pStyle w:val="32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jc w:val="center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</w:p>
    <w:p>
      <w:pPr>
        <w:pStyle w:val="32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jc w:val="center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表5.0.3 窗的不舒适眩光指数（DGI）</w:t>
      </w:r>
    </w:p>
    <w:tbl>
      <w:tblPr>
        <w:tblStyle w:val="19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21"/>
        <w:gridCol w:w="440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4121" w:type="dxa"/>
            <w:vAlign w:val="center"/>
          </w:tcPr>
          <w:p>
            <w:pPr>
              <w:pStyle w:val="32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采光等级</w:t>
            </w:r>
          </w:p>
        </w:tc>
        <w:tc>
          <w:tcPr>
            <w:tcW w:w="4401" w:type="dxa"/>
            <w:vAlign w:val="center"/>
          </w:tcPr>
          <w:p>
            <w:pPr>
              <w:pStyle w:val="32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眩光指数值DGI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4121" w:type="dxa"/>
            <w:vAlign w:val="center"/>
          </w:tcPr>
          <w:p>
            <w:pPr>
              <w:pStyle w:val="32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Ⅰ</w:t>
            </w:r>
          </w:p>
        </w:tc>
        <w:tc>
          <w:tcPr>
            <w:tcW w:w="4401" w:type="dxa"/>
            <w:vAlign w:val="center"/>
          </w:tcPr>
          <w:p>
            <w:pPr>
              <w:pStyle w:val="32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4121" w:type="dxa"/>
            <w:vAlign w:val="center"/>
          </w:tcPr>
          <w:p>
            <w:pPr>
              <w:pStyle w:val="32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Ⅱ</w:t>
            </w:r>
          </w:p>
        </w:tc>
        <w:tc>
          <w:tcPr>
            <w:tcW w:w="4401" w:type="dxa"/>
            <w:vAlign w:val="center"/>
          </w:tcPr>
          <w:p>
            <w:pPr>
              <w:pStyle w:val="32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4121" w:type="dxa"/>
            <w:vAlign w:val="center"/>
          </w:tcPr>
          <w:p>
            <w:pPr>
              <w:pStyle w:val="32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Ⅲ</w:t>
            </w:r>
          </w:p>
        </w:tc>
        <w:tc>
          <w:tcPr>
            <w:tcW w:w="4401" w:type="dxa"/>
            <w:vAlign w:val="center"/>
          </w:tcPr>
          <w:p>
            <w:pPr>
              <w:pStyle w:val="32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4121" w:type="dxa"/>
            <w:vAlign w:val="center"/>
          </w:tcPr>
          <w:p>
            <w:pPr>
              <w:pStyle w:val="32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Ⅳ</w:t>
            </w:r>
          </w:p>
        </w:tc>
        <w:tc>
          <w:tcPr>
            <w:tcW w:w="4401" w:type="dxa"/>
            <w:vAlign w:val="center"/>
          </w:tcPr>
          <w:p>
            <w:pPr>
              <w:pStyle w:val="32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4121" w:type="dxa"/>
            <w:vAlign w:val="center"/>
          </w:tcPr>
          <w:p>
            <w:pPr>
              <w:pStyle w:val="32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Ⅴ</w:t>
            </w:r>
          </w:p>
        </w:tc>
        <w:tc>
          <w:tcPr>
            <w:tcW w:w="4401" w:type="dxa"/>
            <w:vAlign w:val="center"/>
          </w:tcPr>
          <w:p>
            <w:pPr>
              <w:pStyle w:val="32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28</w:t>
            </w:r>
          </w:p>
        </w:tc>
      </w:tr>
    </w:tbl>
    <w:p>
      <w:pPr>
        <w:pStyle w:val="13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ind w:left="180" w:right="180" w:firstLine="420"/>
        <w:textAlignment w:val="auto"/>
        <w:rPr>
          <w:rFonts w:hint="default" w:ascii="Times New Roman" w:hAnsi="Times New Roman" w:eastAsia="宋体" w:cs="Times New Roman"/>
          <w:kern w:val="0"/>
          <w:sz w:val="21"/>
          <w:szCs w:val="21"/>
        </w:rPr>
      </w:pPr>
    </w:p>
    <w:p>
      <w:pPr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ind w:left="180" w:right="180"/>
        <w:jc w:val="left"/>
        <w:textAlignment w:val="auto"/>
        <w:rPr>
          <w:rFonts w:hint="default" w:ascii="Times New Roman" w:hAnsi="Times New Roman" w:eastAsia="宋体" w:cs="Times New Roman"/>
          <w:b/>
          <w:sz w:val="21"/>
          <w:szCs w:val="21"/>
          <w:lang w:val="en-US"/>
        </w:rPr>
      </w:pPr>
      <w:r>
        <w:rPr>
          <w:rFonts w:hint="default" w:ascii="Times New Roman" w:hAnsi="Times New Roman" w:eastAsia="宋体" w:cs="Times New Roman"/>
          <w:b/>
          <w:sz w:val="21"/>
          <w:szCs w:val="21"/>
          <w:lang w:val="en-US"/>
        </w:rPr>
        <w:t>■ 《绿色建筑评价标准》GB/T 50378-2019规定：</w:t>
      </w:r>
    </w:p>
    <w:p>
      <w:pPr>
        <w:pStyle w:val="32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5. 2. 8 充分利用天然光，评价总分值为12 分，并按下列规则分别评分并累计：</w:t>
      </w:r>
    </w:p>
    <w:p>
      <w:pPr>
        <w:pStyle w:val="32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ind w:left="420" w:leftChars="20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1 住宅建筑室内主要功能空间至少60% 面积比例区域，其采光照度值不低千300lx 的小时数平均不少于8h/d, 得9 分。</w:t>
      </w:r>
    </w:p>
    <w:p>
      <w:pPr>
        <w:pStyle w:val="32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ind w:left="420" w:leftChars="20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2 公共建筑按下列规则分别评分并累计：</w:t>
      </w:r>
    </w:p>
    <w:p>
      <w:pPr>
        <w:pStyle w:val="32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ind w:left="630" w:leftChars="30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1) 内区采光系数满足采光要求的面积比例达到60%, 得3 分；</w:t>
      </w:r>
    </w:p>
    <w:p>
      <w:pPr>
        <w:pStyle w:val="32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ind w:left="630" w:leftChars="30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2) 地下空间平均采光系数不小于0. 5% 的面积与地下室首层面积的比例达到10% 以上，得3 分；</w:t>
      </w:r>
    </w:p>
    <w:p>
      <w:pPr>
        <w:pStyle w:val="32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ind w:left="630" w:leftChars="30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3) 室内主要功能空间至少60% 面积比例区域的采光照度值不低千采光要求的小时数平均不少于4h/d, 得3 分。</w:t>
      </w:r>
    </w:p>
    <w:p>
      <w:pPr>
        <w:pStyle w:val="32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ind w:left="420" w:leftChars="20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3 主要功能房间有眩光控制措施，得</w:t>
      </w:r>
      <w:bookmarkStart w:id="15" w:name="眩光评价分值"/>
      <w:r>
        <w:rPr>
          <w:rFonts w:hint="default" w:ascii="Times New Roman" w:hAnsi="Times New Roman" w:eastAsia="宋体" w:cs="Times New Roman"/>
          <w:sz w:val="21"/>
          <w:szCs w:val="21"/>
        </w:rPr>
        <w:t>3</w:t>
      </w:r>
      <w:bookmarkEnd w:id="15"/>
      <w:r>
        <w:rPr>
          <w:rFonts w:hint="default" w:ascii="Times New Roman" w:hAnsi="Times New Roman" w:eastAsia="宋体" w:cs="Times New Roman"/>
          <w:sz w:val="21"/>
          <w:szCs w:val="21"/>
        </w:rPr>
        <w:t xml:space="preserve"> 分。</w:t>
      </w:r>
    </w:p>
    <w:p>
      <w:pPr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ind w:left="630" w:leftChars="300" w:right="18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</w:p>
    <w:p>
      <w:pPr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ind w:left="180" w:right="180"/>
        <w:jc w:val="left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/>
        </w:rPr>
        <w:t>■</w:t>
      </w:r>
      <w:r>
        <w:rPr>
          <w:rFonts w:hint="default" w:ascii="Times New Roman" w:hAnsi="Times New Roman" w:eastAsia="宋体" w:cs="Times New Roman"/>
          <w:b/>
          <w:sz w:val="21"/>
          <w:szCs w:val="21"/>
          <w:lang w:val="en-US"/>
        </w:rPr>
        <w:t xml:space="preserve"> 《绿色建筑评价标准技术细则2019》指出：</w:t>
      </w:r>
    </w:p>
    <w:p>
      <w:pPr>
        <w:pStyle w:val="32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ind w:firstLine="420" w:firstLineChars="20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/>
        </w:rPr>
        <w:t>要求主要功能房间的最大采光系数和平均采光系数的比值小于</w:t>
      </w:r>
      <w:bookmarkStart w:id="16" w:name="最大光均匀度要求"/>
      <w:r>
        <w:rPr>
          <w:rFonts w:hint="default" w:ascii="Times New Roman" w:hAnsi="Times New Roman" w:eastAsia="宋体" w:cs="Times New Roman"/>
          <w:sz w:val="21"/>
          <w:szCs w:val="21"/>
          <w:lang w:val="en-US"/>
        </w:rPr>
        <w:t>6</w:t>
      </w:r>
      <w:bookmarkEnd w:id="16"/>
      <w:r>
        <w:rPr>
          <w:rFonts w:hint="default" w:ascii="Times New Roman" w:hAnsi="Times New Roman" w:eastAsia="宋体" w:cs="Times New Roman"/>
          <w:sz w:val="21"/>
          <w:szCs w:val="21"/>
          <w:lang w:val="en-US"/>
        </w:rPr>
        <w:t>，改善室内天然光均匀度。若无眩光控制措施或采光均匀度不达标，本款不得分。</w:t>
      </w:r>
    </w:p>
    <w:p>
      <w:pPr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ind w:left="630" w:leftChars="300" w:right="18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/>
        </w:rPr>
      </w:pPr>
    </w:p>
    <w:p>
      <w:pPr>
        <w:pStyle w:val="2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hint="default" w:ascii="Times New Roman" w:hAnsi="Times New Roman" w:eastAsia="宋体" w:cs="Times New Roman"/>
          <w:sz w:val="28"/>
          <w:szCs w:val="28"/>
        </w:rPr>
      </w:pPr>
      <w:bookmarkStart w:id="17" w:name="_Toc31002"/>
      <w:r>
        <w:rPr>
          <w:rFonts w:hint="default" w:ascii="Times New Roman" w:hAnsi="Times New Roman" w:eastAsia="宋体" w:cs="Times New Roman"/>
          <w:sz w:val="28"/>
          <w:szCs w:val="28"/>
        </w:rPr>
        <w:t>应用软件与计算方法</w:t>
      </w:r>
      <w:bookmarkEnd w:id="17"/>
    </w:p>
    <w:p>
      <w:pPr>
        <w:pStyle w:val="4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bookmarkStart w:id="18" w:name="_Toc25153"/>
      <w:r>
        <w:rPr>
          <w:rFonts w:hint="default" w:ascii="Times New Roman" w:hAnsi="Times New Roman" w:eastAsia="宋体" w:cs="Times New Roman"/>
          <w:sz w:val="21"/>
          <w:szCs w:val="21"/>
        </w:rPr>
        <w:t>软件选用</w:t>
      </w:r>
      <w:bookmarkEnd w:id="18"/>
    </w:p>
    <w:p>
      <w:pPr>
        <w:pStyle w:val="3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420" w:firstLineChars="20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本报告采用绿建斯维尔采光分析软件DALI建模。DALI是国内首款与国标《建筑采光设计标准》GB50033-2013配套的软件，支持《绿色建筑评价标准》GB/T50378-2019的采光指标要求。软件以Radiance为计算核心，将计算结果返回到DALI进行处理分析。DALI可对</w:t>
      </w:r>
      <w:r>
        <w:rPr>
          <w:rFonts w:hint="default" w:ascii="Times New Roman" w:hAnsi="Times New Roman" w:eastAsia="宋体" w:cs="Times New Roman"/>
          <w:b/>
          <w:sz w:val="21"/>
          <w:szCs w:val="21"/>
        </w:rPr>
        <w:t>眩光指数</w:t>
      </w:r>
      <w:r>
        <w:rPr>
          <w:rFonts w:hint="default" w:ascii="Times New Roman" w:hAnsi="Times New Roman" w:eastAsia="宋体" w:cs="Times New Roman"/>
          <w:sz w:val="21"/>
          <w:szCs w:val="21"/>
        </w:rPr>
        <w:t>、达标率、地下采光、内区采光、视野率等进行快速分析，并根据不同需求生成《不舒适眩光分析报告书》等系列采光分析报告书。</w:t>
      </w:r>
    </w:p>
    <w:p>
      <w:pPr>
        <w:pStyle w:val="3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420" w:firstLineChars="20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DALI已通过了《建筑采光设计标准》GB50033-2013标准编制组的鉴定，获得国家建筑工程质量监督检验中心鉴定报告，编号BETC-GMJC-2014-1。同时，DALI还通过了住房和城乡建设部科技发展促进中心专家组评审鉴定，获得《建设行业科技成果评估证书》，编号建科评[2014]069，评估委员会认定软件总体已达到国内领先水平。</w:t>
      </w:r>
    </w:p>
    <w:p>
      <w:pPr>
        <w:pStyle w:val="4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bookmarkStart w:id="19" w:name="_Toc19576"/>
      <w:r>
        <w:rPr>
          <w:rFonts w:hint="default" w:ascii="Times New Roman" w:hAnsi="Times New Roman" w:eastAsia="宋体" w:cs="Times New Roman"/>
          <w:sz w:val="21"/>
          <w:szCs w:val="21"/>
        </w:rPr>
        <w:t>计算原理</w:t>
      </w:r>
      <w:bookmarkEnd w:id="19"/>
    </w:p>
    <w:p>
      <w:pPr>
        <w:pStyle w:val="13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ind w:left="180" w:right="180" w:firstLine="420"/>
        <w:textAlignment w:val="auto"/>
        <w:rPr>
          <w:rFonts w:hint="default" w:ascii="Times New Roman" w:hAnsi="Times New Roman" w:eastAsia="宋体" w:cs="Times New Roman"/>
          <w:b/>
          <w:sz w:val="21"/>
          <w:szCs w:val="21"/>
        </w:rPr>
      </w:pPr>
      <w:r>
        <w:rPr>
          <w:rFonts w:hint="default" w:ascii="Times New Roman" w:hAnsi="Times New Roman" w:eastAsia="宋体" w:cs="Times New Roman"/>
          <w:b/>
          <w:sz w:val="21"/>
          <w:szCs w:val="21"/>
        </w:rPr>
        <w:t xml:space="preserve">■ 窗的不舒适眩光指数（DGI）可按下列公式计算： </w:t>
      </w:r>
    </w:p>
    <w:p>
      <w:pPr>
        <w:pStyle w:val="13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ind w:left="180" w:right="180" w:firstLine="42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object>
          <v:shape id="_x0000_i1025" o:spt="75" type="#_x0000_t75" style="height:20.15pt;width:89.8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10">
            <o:LockedField>false</o:LockedField>
          </o:OLEObject>
        </w:object>
      </w:r>
    </w:p>
    <w:p>
      <w:pPr>
        <w:pStyle w:val="13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ind w:left="180" w:right="180" w:firstLine="42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object>
          <v:shape id="_x0000_i1026" o:spt="75" type="#_x0000_t75" style="height:36.85pt;width:135.9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2">
            <o:LockedField>false</o:LockedField>
          </o:OLEObject>
        </w:object>
      </w:r>
    </w:p>
    <w:p>
      <w:pPr>
        <w:pStyle w:val="13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ind w:left="180" w:right="180" w:firstLine="42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object>
          <v:shape id="_x0000_i1027" o:spt="75" type="#_x0000_t75" style="height:32.85pt;width:49.5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4">
            <o:LockedField>false</o:LockedField>
          </o:OLEObject>
        </w:object>
      </w:r>
    </w:p>
    <w:p>
      <w:pPr>
        <w:pStyle w:val="13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ind w:left="180" w:right="180" w:firstLine="42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object>
          <v:shape id="_x0000_i1028" o:spt="75" type="#_x0000_t75" style="height:19pt;width:419.9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6">
            <o:LockedField>false</o:LockedField>
          </o:OLEObject>
        </w:object>
      </w:r>
    </w:p>
    <w:p>
      <w:pPr>
        <w:pStyle w:val="32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ind w:left="630" w:leftChars="30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式中：</w:t>
      </w:r>
    </w:p>
    <w:p>
      <w:pPr>
        <w:pStyle w:val="32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ind w:left="630" w:leftChars="30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Gn----眩光常数；</w:t>
      </w:r>
    </w:p>
    <w:p>
      <w:pPr>
        <w:pStyle w:val="32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ind w:left="630" w:leftChars="30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Ls----窗亮度，通过窗所看到的天空、遮挡物和地面的加权平均亮度（cd/m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）；</w:t>
      </w:r>
    </w:p>
    <w:p>
      <w:pPr>
        <w:pStyle w:val="32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ind w:left="630" w:leftChars="30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Lb----背景亮度，观察者视野内各表面的平均亮度（cd/m</w:t>
      </w:r>
      <w:r>
        <w:rPr>
          <w:rFonts w:hint="default" w:ascii="Times New Roman" w:hAnsi="Times New Roman" w:eastAsia="宋体" w:cs="Times New Roman"/>
          <w:sz w:val="21"/>
          <w:szCs w:val="21"/>
          <w:vertAlign w:val="superscript"/>
        </w:rPr>
        <w:t>2</w:t>
      </w:r>
      <w:r>
        <w:rPr>
          <w:rFonts w:hint="default" w:ascii="Times New Roman" w:hAnsi="Times New Roman" w:eastAsia="宋体" w:cs="Times New Roman"/>
          <w:sz w:val="21"/>
          <w:szCs w:val="21"/>
        </w:rPr>
        <w:t>）；</w:t>
      </w:r>
    </w:p>
    <w:p>
      <w:pPr>
        <w:pStyle w:val="32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ind w:left="630" w:leftChars="30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ω----窗对计算点形成的立体角（sr）；</w:t>
      </w:r>
    </w:p>
    <w:p>
      <w:pPr>
        <w:pStyle w:val="32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ind w:left="630" w:leftChars="30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Ω----考虑窗位置修正的立体角（sr）；</w:t>
      </w:r>
    </w:p>
    <w:p>
      <w:pPr>
        <w:pStyle w:val="32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ind w:left="630" w:leftChars="30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P ----古斯位置指数</w:t>
      </w:r>
    </w:p>
    <w:p>
      <w:pPr>
        <w:pStyle w:val="32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ind w:left="630" w:leftChars="30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α----窗对角线与窗垂直方向的夹角；</w:t>
      </w:r>
    </w:p>
    <w:p>
      <w:pPr>
        <w:pStyle w:val="32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ind w:left="630" w:leftChars="30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β----观察者眼睛与窗中心点的连线与视线方向的夹角。</w:t>
      </w:r>
    </w:p>
    <w:p>
      <w:pPr>
        <w:pStyle w:val="13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240" w:lineRule="auto"/>
        <w:ind w:right="180"/>
        <w:jc w:val="both"/>
        <w:textAlignment w:val="auto"/>
        <w:rPr>
          <w:rFonts w:hint="eastAsia"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drawing>
          <wp:inline distT="0" distB="0" distL="114300" distR="114300">
            <wp:extent cx="3191510" cy="2450465"/>
            <wp:effectExtent l="0" t="0" r="8890" b="6985"/>
            <wp:docPr id="8" name="图片 8" descr="160802137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608021370(1)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191510" cy="2450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ind w:left="0" w:leftChars="0" w:right="180" w:firstLine="0" w:firstLineChars="0"/>
        <w:jc w:val="both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</w:p>
    <w:p>
      <w:pPr>
        <w:pStyle w:val="13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ind w:left="180" w:right="180" w:firstLine="0"/>
        <w:jc w:val="center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窗的不舒适眩光计算各角度示意图</w:t>
      </w:r>
    </w:p>
    <w:p>
      <w:pPr>
        <w:pStyle w:val="2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hint="default" w:ascii="Times New Roman" w:hAnsi="Times New Roman" w:eastAsia="宋体" w:cs="Times New Roman"/>
          <w:sz w:val="28"/>
          <w:szCs w:val="28"/>
        </w:rPr>
      </w:pPr>
      <w:bookmarkStart w:id="20" w:name="_Toc4987"/>
      <w:r>
        <w:rPr>
          <w:rFonts w:hint="default" w:ascii="Times New Roman" w:hAnsi="Times New Roman" w:eastAsia="宋体" w:cs="Times New Roman"/>
          <w:sz w:val="28"/>
          <w:szCs w:val="28"/>
        </w:rPr>
        <w:t>计算参数选用</w:t>
      </w:r>
      <w:bookmarkEnd w:id="20"/>
    </w:p>
    <w:p>
      <w:pPr>
        <w:pStyle w:val="4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bookmarkStart w:id="21" w:name="_Toc2415"/>
      <w:r>
        <w:rPr>
          <w:rFonts w:hint="default" w:ascii="Times New Roman" w:hAnsi="Times New Roman" w:eastAsia="宋体" w:cs="Times New Roman"/>
          <w:sz w:val="21"/>
          <w:szCs w:val="21"/>
        </w:rPr>
        <w:t>模拟条件</w:t>
      </w:r>
      <w:bookmarkEnd w:id="21"/>
    </w:p>
    <w:p>
      <w:pPr>
        <w:pStyle w:val="32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ind w:left="420" w:leftChars="20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天空状态：</w:t>
      </w:r>
      <w:bookmarkStart w:id="22" w:name="天空模型"/>
      <w:r>
        <w:rPr>
          <w:rFonts w:hint="default" w:ascii="Times New Roman" w:hAnsi="Times New Roman" w:eastAsia="宋体" w:cs="Times New Roman"/>
          <w:sz w:val="21"/>
          <w:szCs w:val="21"/>
        </w:rPr>
        <w:t>晴天－CIE12（大气清晰）：1月20日 16:38 考虑太阳直射</w:t>
      </w:r>
      <w:bookmarkEnd w:id="22"/>
    </w:p>
    <w:p>
      <w:pPr>
        <w:pStyle w:val="32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ind w:left="420" w:leftChars="20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周边环境：考虑分析区内的建筑物之间遮挡</w:t>
      </w:r>
    </w:p>
    <w:p>
      <w:pPr>
        <w:pStyle w:val="32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ind w:left="420" w:leftChars="20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室内环境：忽略室内家具类设施的影响，只考虑永久固定的顶棚、地面和墙面。</w:t>
      </w:r>
    </w:p>
    <w:p>
      <w:pPr>
        <w:pStyle w:val="4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bookmarkStart w:id="23" w:name="_Toc29387"/>
      <w:r>
        <w:rPr>
          <w:rFonts w:hint="default" w:ascii="Times New Roman" w:hAnsi="Times New Roman" w:eastAsia="宋体" w:cs="Times New Roman"/>
          <w:sz w:val="21"/>
          <w:szCs w:val="21"/>
        </w:rPr>
        <w:t>建筑饰面材料参数</w:t>
      </w:r>
      <w:bookmarkEnd w:id="23"/>
    </w:p>
    <w:tbl>
      <w:tblPr>
        <w:tblStyle w:val="19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4"/>
        <w:gridCol w:w="3464"/>
        <w:gridCol w:w="353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9219" w:type="dxa"/>
            <w:gridSpan w:val="3"/>
            <w:tcBorders>
              <w:top w:val="single" w:color="auto" w:sz="12" w:space="0"/>
              <w:bottom w:val="single" w:color="auto" w:sz="4" w:space="0"/>
            </w:tcBorders>
            <w:shd w:val="clear" w:color="auto" w:fill="E6E6E6"/>
            <w:vAlign w:val="center"/>
          </w:tcPr>
          <w:p>
            <w:pPr>
              <w:pStyle w:val="32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建筑饰面材料选用与反射比取值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4" w:type="dxa"/>
            <w:tcBorders>
              <w:top w:val="single" w:color="auto" w:sz="4" w:space="0"/>
              <w:bottom w:val="single" w:color="auto" w:sz="4" w:space="0"/>
            </w:tcBorders>
            <w:shd w:val="clear" w:color="auto" w:fill="E6E6E6"/>
            <w:vAlign w:val="center"/>
          </w:tcPr>
          <w:p>
            <w:pPr>
              <w:pStyle w:val="32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部位</w:t>
            </w:r>
          </w:p>
        </w:tc>
        <w:tc>
          <w:tcPr>
            <w:tcW w:w="3464" w:type="dxa"/>
            <w:tcBorders>
              <w:top w:val="single" w:color="auto" w:sz="4" w:space="0"/>
              <w:bottom w:val="single" w:color="auto" w:sz="4" w:space="0"/>
            </w:tcBorders>
            <w:shd w:val="clear" w:color="auto" w:fill="E6E6E6"/>
            <w:vAlign w:val="center"/>
          </w:tcPr>
          <w:p>
            <w:pPr>
              <w:pStyle w:val="32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反射比材料设计取值</w:t>
            </w:r>
          </w:p>
        </w:tc>
        <w:tc>
          <w:tcPr>
            <w:tcW w:w="3531" w:type="dxa"/>
            <w:tcBorders>
              <w:top w:val="single" w:color="auto" w:sz="4" w:space="0"/>
              <w:bottom w:val="single" w:color="auto" w:sz="4" w:space="0"/>
            </w:tcBorders>
            <w:shd w:val="clear" w:color="auto" w:fill="E6E6E6"/>
            <w:vAlign w:val="center"/>
          </w:tcPr>
          <w:p>
            <w:pPr>
              <w:pStyle w:val="32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4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pStyle w:val="32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顶棚</w:t>
            </w:r>
          </w:p>
        </w:tc>
        <w:tc>
          <w:tcPr>
            <w:tcW w:w="3464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pStyle w:val="32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bookmarkStart w:id="24" w:name="顶棚反射比"/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0.75</w:t>
            </w:r>
            <w:bookmarkEnd w:id="24"/>
          </w:p>
        </w:tc>
        <w:tc>
          <w:tcPr>
            <w:tcW w:w="3531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pStyle w:val="32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4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pStyle w:val="32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地面</w:t>
            </w:r>
          </w:p>
        </w:tc>
        <w:tc>
          <w:tcPr>
            <w:tcW w:w="3464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pStyle w:val="32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bookmarkStart w:id="25" w:name="地面反射比"/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0.30</w:t>
            </w:r>
            <w:bookmarkEnd w:id="25"/>
          </w:p>
        </w:tc>
        <w:tc>
          <w:tcPr>
            <w:tcW w:w="3531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pStyle w:val="32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4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pStyle w:val="32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墙面</w:t>
            </w:r>
          </w:p>
        </w:tc>
        <w:tc>
          <w:tcPr>
            <w:tcW w:w="3464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pStyle w:val="32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bookmarkStart w:id="26" w:name="墙面反射比"/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0.60</w:t>
            </w:r>
            <w:bookmarkEnd w:id="26"/>
          </w:p>
        </w:tc>
        <w:tc>
          <w:tcPr>
            <w:tcW w:w="3531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pStyle w:val="32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24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pStyle w:val="32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外表面</w:t>
            </w:r>
          </w:p>
        </w:tc>
        <w:tc>
          <w:tcPr>
            <w:tcW w:w="3464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pStyle w:val="32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bookmarkStart w:id="27" w:name="外表面反射比"/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0.50</w:t>
            </w:r>
            <w:bookmarkEnd w:id="27"/>
          </w:p>
        </w:tc>
        <w:tc>
          <w:tcPr>
            <w:tcW w:w="3531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pStyle w:val="32"/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</w:tbl>
    <w:p>
      <w:pPr>
        <w:pStyle w:val="13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ind w:left="180" w:right="180" w:firstLine="36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注1：数据参考自：《建筑采光设计标准》GB50033-2013附录D 表D.0.5；</w:t>
      </w:r>
      <w:r>
        <w:rPr>
          <w:rFonts w:hint="default" w:ascii="Times New Roman" w:hAnsi="Times New Roman" w:eastAsia="宋体" w:cs="Times New Roman"/>
          <w:sz w:val="21"/>
          <w:szCs w:val="21"/>
        </w:rPr>
        <w:tab/>
      </w:r>
    </w:p>
    <w:p>
      <w:pPr>
        <w:pStyle w:val="4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bookmarkStart w:id="28" w:name="_Toc4221"/>
      <w:r>
        <w:rPr>
          <w:rFonts w:hint="default" w:ascii="Times New Roman" w:hAnsi="Times New Roman" w:eastAsia="宋体" w:cs="Times New Roman"/>
          <w:sz w:val="21"/>
          <w:szCs w:val="21"/>
        </w:rPr>
        <w:t>门窗类型参数</w:t>
      </w:r>
      <w:bookmarkEnd w:id="28"/>
    </w:p>
    <w:p>
      <w:pPr>
        <w:pStyle w:val="32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ind w:firstLine="420" w:firstLineChars="20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窗的不舒适眩光是评价采光质量的重要指标，在计算眩光指数时，窗以及透光门都会结果产生影响，本章对计算中必要的门窗参数进行统计。</w:t>
      </w:r>
    </w:p>
    <w:p>
      <w:pPr>
        <w:pStyle w:val="3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ind w:firstLine="0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/>
        </w:rPr>
      </w:pPr>
    </w:p>
    <w:p>
      <w:pPr>
        <w:pStyle w:val="5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bookmarkStart w:id="29" w:name="_Toc14273"/>
      <w:bookmarkStart w:id="30" w:name="窗"/>
      <w:r>
        <w:rPr>
          <w:rFonts w:hint="default" w:ascii="Times New Roman" w:hAnsi="Times New Roman" w:eastAsia="宋体" w:cs="Times New Roman"/>
          <w:sz w:val="21"/>
          <w:szCs w:val="21"/>
        </w:rPr>
        <w:t>普通窗</w:t>
      </w:r>
      <w:bookmarkEnd w:id="29"/>
    </w:p>
    <w:bookmarkEnd w:id="30"/>
    <w:tbl>
      <w:tblPr>
        <w:tblStyle w:val="19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8"/>
        <w:gridCol w:w="1245"/>
        <w:gridCol w:w="1245"/>
        <w:gridCol w:w="1301"/>
        <w:gridCol w:w="1301"/>
        <w:gridCol w:w="1516"/>
        <w:gridCol w:w="1358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门窗编号</w:t>
            </w:r>
          </w:p>
        </w:tc>
        <w:tc>
          <w:tcPr>
            <w:shd w:val="clear" w:color="auto" w:fill="E6E6E6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宽度(mm)</w:t>
            </w:r>
          </w:p>
        </w:tc>
        <w:tc>
          <w:tcPr>
            <w:shd w:val="clear" w:color="auto" w:fill="E6E6E6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高度(mm)</w:t>
            </w:r>
          </w:p>
        </w:tc>
        <w:tc>
          <w:tcPr>
            <w:shd w:val="clear" w:color="auto" w:fill="E6E6E6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窗框类型</w:t>
            </w:r>
          </w:p>
        </w:tc>
        <w:tc>
          <w:tcPr>
            <w:shd w:val="clear" w:color="auto" w:fill="E6E6E6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玻璃类型</w:t>
            </w:r>
          </w:p>
        </w:tc>
        <w:tc>
          <w:tcPr>
            <w:shd w:val="clear" w:color="auto" w:fill="E6E6E6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可见光透射比</w:t>
            </w:r>
          </w:p>
        </w:tc>
        <w:tc>
          <w:tcPr>
            <w:shd w:val="clear" w:color="auto" w:fill="E6E6E6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玻璃反射比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C0725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700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2500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单层钢窗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高透Low-E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0.76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0.08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C1006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1000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600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单层钢窗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高透Low-E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0.76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0.08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C1012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1000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1200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单层钢窗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高透Low-E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0.76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0.08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C1025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1000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2500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单层钢窗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高透Low-E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0.76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0.08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C1125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1100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2500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单层钢窗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高透Low-E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0.76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0.08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C1206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1200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600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单层钢窗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高透Low-E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0.76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0.08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C1222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1200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2200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单层钢窗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高透Low-E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0.76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0.08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C1225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1200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2500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单层钢窗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高透Low-E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0.76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0.08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C1522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1500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2200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单层钢窗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高透Low-E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0.76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0.08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C1525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1500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2500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单层钢窗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高透Low-E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0.76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0.08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C1530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1500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3000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单层钢窗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高透Low-E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0.76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0.08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C1822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1800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2200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单层钢窗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高透Low-E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0.76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0.08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C1825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1800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2500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单层钢窗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高透Low-E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0.76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0.08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C1828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1800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2800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单层钢窗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高透Low-E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0.76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0.08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C2022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2000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2200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单层钢窗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高透Low-E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0.76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0.08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C2025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2000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2500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单层钢窗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高透Low-E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0.76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0.08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C2033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2000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3300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单层钢窗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高透Low-E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0.76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0.08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C2425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2400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2500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单层钢窗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高透Low-E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0.76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0.08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C3006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3000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600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单层钢窗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高透Low-E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0.76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0.08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C4513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4500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1300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单层钢窗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高透Low-E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0.76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0.08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GC1006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1000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600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单层钢窗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高透Low-E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0.76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0.08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GC1206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1200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600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单层钢窗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高透Low-E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0.76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0.08</w:t>
            </w:r>
          </w:p>
        </w:tc>
      </w:tr>
    </w:tbl>
    <w:p>
      <w:pPr>
        <w:pStyle w:val="3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ind w:firstLine="0" w:firstLineChars="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/>
        </w:rPr>
        <w:t>注：计算考虑了外窗玻璃的污染折减系数影响，系数取值0.9。</w:t>
      </w:r>
    </w:p>
    <w:p>
      <w:pPr>
        <w:pStyle w:val="2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hint="default" w:ascii="Times New Roman" w:hAnsi="Times New Roman" w:eastAsia="宋体" w:cs="Times New Roman"/>
          <w:sz w:val="28"/>
          <w:szCs w:val="28"/>
        </w:rPr>
      </w:pPr>
      <w:bookmarkStart w:id="31" w:name="_Toc22492"/>
      <w:r>
        <w:rPr>
          <w:rFonts w:hint="default" w:ascii="Times New Roman" w:hAnsi="Times New Roman" w:eastAsia="宋体" w:cs="Times New Roman"/>
          <w:sz w:val="28"/>
          <w:szCs w:val="28"/>
        </w:rPr>
        <w:t>眩光分析结果</w:t>
      </w:r>
      <w:bookmarkEnd w:id="31"/>
    </w:p>
    <w:p>
      <w:pPr>
        <w:pStyle w:val="4"/>
        <w:keepLines w:val="0"/>
        <w:pageBreakBefore w:val="0"/>
        <w:numPr>
          <w:ilvl w:val="1"/>
          <w:numId w:val="3"/>
        </w:numPr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bookmarkStart w:id="32" w:name="_Toc12555"/>
      <w:r>
        <w:rPr>
          <w:rFonts w:hint="default" w:ascii="Times New Roman" w:hAnsi="Times New Roman" w:eastAsia="宋体" w:cs="Times New Roman"/>
          <w:sz w:val="21"/>
          <w:szCs w:val="21"/>
        </w:rPr>
        <w:t>眩光指数</w:t>
      </w:r>
      <w:bookmarkEnd w:id="32"/>
    </w:p>
    <w:p>
      <w:pPr>
        <w:pStyle w:val="32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ind w:firstLine="420" w:firstLineChars="20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/>
        </w:rPr>
        <w:t>计算参数选定后，利用门窗参数等进行不舒适眩光指数计算，结果如下表所示：</w:t>
      </w:r>
    </w:p>
    <w:tbl>
      <w:tblPr>
        <w:tblStyle w:val="19"/>
        <w:tblW w:w="9225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5"/>
        <w:gridCol w:w="1075"/>
        <w:gridCol w:w="1075"/>
        <w:gridCol w:w="707"/>
        <w:gridCol w:w="707"/>
        <w:gridCol w:w="1443"/>
        <w:gridCol w:w="1075"/>
        <w:gridCol w:w="1075"/>
        <w:gridCol w:w="99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楼层</w:t>
            </w:r>
          </w:p>
        </w:tc>
        <w:tc>
          <w:tcPr>
            <w:shd w:val="clear" w:color="auto" w:fill="E6E6E6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房间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编号</w:t>
            </w:r>
          </w:p>
        </w:tc>
        <w:tc>
          <w:tcPr>
            <w:shd w:val="clear" w:color="auto" w:fill="E6E6E6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房间类型</w:t>
            </w:r>
          </w:p>
        </w:tc>
        <w:tc>
          <w:tcPr>
            <w:shd w:val="clear" w:color="auto" w:fill="E6E6E6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采光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等级</w:t>
            </w:r>
          </w:p>
        </w:tc>
        <w:tc>
          <w:tcPr>
            <w:shd w:val="clear" w:color="auto" w:fill="E6E6E6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采光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类型</w:t>
            </w:r>
          </w:p>
        </w:tc>
        <w:tc>
          <w:tcPr>
            <w:shd w:val="clear" w:color="auto" w:fill="E6E6E6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房间面积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(m2)</w:t>
            </w:r>
          </w:p>
        </w:tc>
        <w:tc>
          <w:tcPr>
            <w:shd w:val="clear" w:color="auto" w:fill="E6E6E6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眩光指数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DGI</w:t>
            </w:r>
          </w:p>
        </w:tc>
        <w:tc>
          <w:tcPr>
            <w:shd w:val="clear" w:color="auto" w:fill="E6E6E6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DGI限值</w:t>
            </w:r>
          </w:p>
        </w:tc>
        <w:tc>
          <w:tcPr>
            <w:shd w:val="clear" w:color="auto" w:fill="E6E6E6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结论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1003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活动室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III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侧面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66.27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13.7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25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1002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活动室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III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侧面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66.27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14.0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25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1014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办公室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III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侧面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16.30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15.4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25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1016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办公室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III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侧面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14.72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15.4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25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1017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办公室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III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侧面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14.71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15.4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25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1021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办公室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III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侧面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11.91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15.0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25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1024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保健观察室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III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侧面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8.87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12.7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25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2002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活动室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III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侧面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68.55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15.7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25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2003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活动室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III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侧面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56.96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15.7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25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2001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活动室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III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侧面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56.96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15.6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25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3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3006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活动室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III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侧面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56.83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12.8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25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3007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活动室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III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侧面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56.83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13.2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25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3005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活动室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III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侧面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58.68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11.3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25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满足</w:t>
            </w:r>
          </w:p>
        </w:tc>
      </w:tr>
    </w:tbl>
    <w:p>
      <w:pPr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ind w:left="180" w:right="18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/>
        </w:rPr>
      </w:pPr>
      <w:bookmarkStart w:id="33" w:name="房间眩光表"/>
      <w:bookmarkEnd w:id="33"/>
    </w:p>
    <w:p>
      <w:pPr>
        <w:pStyle w:val="4"/>
        <w:keepLines w:val="0"/>
        <w:pageBreakBefore w:val="0"/>
        <w:numPr>
          <w:ilvl w:val="1"/>
          <w:numId w:val="3"/>
        </w:numPr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bookmarkStart w:id="34" w:name="_Toc18284"/>
      <w:r>
        <w:rPr>
          <w:rFonts w:hint="default" w:ascii="Times New Roman" w:hAnsi="Times New Roman" w:eastAsia="宋体" w:cs="Times New Roman"/>
          <w:sz w:val="21"/>
          <w:szCs w:val="21"/>
        </w:rPr>
        <w:t>采光均匀度</w:t>
      </w:r>
      <w:bookmarkEnd w:id="34"/>
    </w:p>
    <w:p>
      <w:pPr>
        <w:pStyle w:val="32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ind w:firstLine="420" w:firstLineChars="20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/>
        </w:rPr>
        <w:t>主要功能房间的最大采光系数和平均采光系数的比值小于6，才能满足眩光控制要求。</w:t>
      </w:r>
    </w:p>
    <w:tbl>
      <w:tblPr>
        <w:tblStyle w:val="19"/>
        <w:tblW w:w="9254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5"/>
        <w:gridCol w:w="1075"/>
        <w:gridCol w:w="1245"/>
        <w:gridCol w:w="792"/>
        <w:gridCol w:w="848"/>
        <w:gridCol w:w="1075"/>
        <w:gridCol w:w="1075"/>
        <w:gridCol w:w="1075"/>
        <w:gridCol w:w="99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楼层</w:t>
            </w:r>
          </w:p>
        </w:tc>
        <w:tc>
          <w:tcPr>
            <w:shd w:val="clear" w:color="auto" w:fill="E6E6E6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房间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编号</w:t>
            </w:r>
          </w:p>
        </w:tc>
        <w:tc>
          <w:tcPr>
            <w:shd w:val="clear" w:color="auto" w:fill="E6E6E6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房间类型</w:t>
            </w:r>
          </w:p>
        </w:tc>
        <w:tc>
          <w:tcPr>
            <w:shd w:val="clear" w:color="auto" w:fill="E6E6E6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采光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等级</w:t>
            </w:r>
          </w:p>
        </w:tc>
        <w:tc>
          <w:tcPr>
            <w:shd w:val="clear" w:color="auto" w:fill="E6E6E6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采光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类型</w:t>
            </w:r>
          </w:p>
        </w:tc>
        <w:tc>
          <w:tcPr>
            <w:shd w:val="clear" w:color="auto" w:fill="E6E6E6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最大值</w:t>
            </w:r>
          </w:p>
        </w:tc>
        <w:tc>
          <w:tcPr>
            <w:shd w:val="clear" w:color="auto" w:fill="E6E6E6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平均值</w:t>
            </w:r>
          </w:p>
        </w:tc>
        <w:tc>
          <w:tcPr>
            <w:shd w:val="clear" w:color="auto" w:fill="E6E6E6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采光</w:t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br w:type="textWrapping"/>
            </w: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均匀度</w:t>
            </w:r>
          </w:p>
        </w:tc>
        <w:tc>
          <w:tcPr>
            <w:shd w:val="clear" w:color="auto" w:fill="E6E6E6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结论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1002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活动室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III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侧面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19.62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5.39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3.64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1003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活动室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III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侧面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19.63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5.35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3.67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1014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办公室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III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侧面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15.11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3.48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4.34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1016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办公室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III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侧面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15.03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3.75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4.01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1017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办公室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III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侧面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14.87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3.76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3.96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1021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办公室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III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侧面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14.41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4.44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3.25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1024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保健观察室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III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侧面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16.05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3.57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4.50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2001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活动室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III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侧面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17.65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3.75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4.71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2002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活动室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III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侧面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17.80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3.90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4.56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2003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活动室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III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侧面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17.23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3.72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4.63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3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3005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活动室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III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侧面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29.39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17.35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1.69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3006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活动室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III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侧面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19.82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7.10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2.79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满足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3007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活动室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III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侧面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20.48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7.37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2.78</w:t>
            </w:r>
          </w:p>
        </w:tc>
        <w:tc>
          <w:tcPr>
            <w:vAlign w:val="center"/>
          </w:tcPr>
          <w:p>
            <w:pPr>
              <w:keepLines w:val="0"/>
              <w:pageBreakBefore w:val="0"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szCs w:val="21"/>
              </w:rPr>
              <w:t>满足</w:t>
            </w:r>
          </w:p>
        </w:tc>
      </w:tr>
    </w:tbl>
    <w:p>
      <w:pPr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ind w:left="180" w:right="180"/>
        <w:textAlignment w:val="auto"/>
        <w:rPr>
          <w:rFonts w:hint="default" w:ascii="Times New Roman" w:hAnsi="Times New Roman" w:eastAsia="宋体" w:cs="Times New Roman"/>
          <w:sz w:val="21"/>
          <w:szCs w:val="21"/>
          <w:lang w:val="en-US"/>
        </w:rPr>
      </w:pPr>
      <w:bookmarkStart w:id="35" w:name="光均匀度表"/>
      <w:bookmarkEnd w:id="35"/>
    </w:p>
    <w:p>
      <w:pPr>
        <w:pStyle w:val="2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textAlignment w:val="auto"/>
        <w:rPr>
          <w:rFonts w:hint="default" w:ascii="Times New Roman" w:hAnsi="Times New Roman" w:eastAsia="宋体" w:cs="Times New Roman"/>
          <w:sz w:val="28"/>
          <w:szCs w:val="28"/>
        </w:rPr>
      </w:pPr>
      <w:bookmarkStart w:id="36" w:name="_Toc29489"/>
      <w:r>
        <w:rPr>
          <w:rFonts w:hint="default" w:ascii="Times New Roman" w:hAnsi="Times New Roman" w:eastAsia="宋体" w:cs="Times New Roman"/>
          <w:sz w:val="28"/>
          <w:szCs w:val="28"/>
        </w:rPr>
        <w:t>评价结论</w:t>
      </w:r>
      <w:bookmarkEnd w:id="36"/>
    </w:p>
    <w:p>
      <w:pPr>
        <w:pStyle w:val="32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ind w:firstLine="420" w:firstLineChars="200"/>
        <w:textAlignment w:val="auto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通过计算分析，依据《建筑采光设计标准》GB 50033-2013对本项目的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 xml:space="preserve"> </w:t>
      </w:r>
      <w:bookmarkStart w:id="37" w:name="眩光评价房间数"/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>13</w:t>
      </w:r>
      <w:bookmarkEnd w:id="37"/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个主要功能房间进行眩光分析计算，其中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 xml:space="preserve"> </w:t>
      </w:r>
      <w:bookmarkStart w:id="38" w:name="眩光不达标房间数"/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>0</w:t>
      </w:r>
      <w:bookmarkEnd w:id="38"/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个房间不满足标准限值要求，其中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 xml:space="preserve"> </w:t>
      </w:r>
      <w:bookmarkStart w:id="39" w:name="光均匀度不达标房间数"/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>0</w:t>
      </w:r>
      <w:bookmarkEnd w:id="39"/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个房间不满足采光均匀度要求。</w:t>
      </w:r>
    </w:p>
    <w:p>
      <w:pPr>
        <w:pStyle w:val="32"/>
        <w:keepLines w:val="0"/>
        <w:pageBreakBefore w:val="0"/>
        <w:wordWrap/>
        <w:overflowPunct/>
        <w:topLinePunct w:val="0"/>
        <w:autoSpaceDE/>
        <w:autoSpaceDN/>
        <w:bidi w:val="0"/>
        <w:adjustRightInd/>
        <w:spacing w:line="400" w:lineRule="exact"/>
        <w:ind w:firstLine="420" w:firstLineChars="200"/>
        <w:textAlignment w:val="auto"/>
        <w:rPr>
          <w:rFonts w:hint="default" w:ascii="Times New Roman" w:hAnsi="Times New Roman" w:eastAsia="微软雅黑" w:cs="Times New Roman"/>
          <w:sz w:val="28"/>
          <w:szCs w:val="28"/>
          <w:lang w:val="en-US"/>
        </w:rPr>
      </w:pPr>
      <w:r>
        <w:rPr>
          <w:rFonts w:hint="default" w:ascii="Times New Roman" w:hAnsi="Times New Roman" w:eastAsia="宋体" w:cs="Times New Roman"/>
          <w:sz w:val="21"/>
          <w:szCs w:val="21"/>
        </w:rPr>
        <w:t>根据《绿色建筑评价标准》 GB/T 50378-2019的5.2.8条款要求，本项目合理控制眩光项得分为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 xml:space="preserve"> </w:t>
      </w:r>
      <w:bookmarkStart w:id="40" w:name="眩光评价得分"/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>3</w:t>
      </w:r>
      <w:bookmarkEnd w:id="40"/>
      <w:r>
        <w:rPr>
          <w:rFonts w:hint="default" w:ascii="Times New Roman" w:hAnsi="Times New Roman" w:eastAsia="宋体" w:cs="Times New Roman"/>
          <w:sz w:val="21"/>
          <w:szCs w:val="21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sz w:val="21"/>
          <w:szCs w:val="21"/>
        </w:rPr>
        <w:t>分。</w:t>
      </w:r>
      <w:bookmarkStart w:id="41" w:name="总平面图"/>
      <w:bookmarkEnd w:id="41"/>
    </w:p>
    <w:sectPr>
      <w:pgSz w:w="11906" w:h="16838"/>
      <w:pgMar w:top="1440" w:right="1418" w:bottom="1440" w:left="1418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tabs>
        <w:tab w:val="center" w:pos="4535"/>
        <w:tab w:val="right" w:pos="9070"/>
        <w:tab w:val="clear" w:pos="4153"/>
        <w:tab w:val="clear" w:pos="8306"/>
      </w:tabs>
      <w:ind w:left="180" w:right="180" w:firstLine="420"/>
    </w:pPr>
    <w:r>
      <w:rPr>
        <w:sz w:val="21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5"/>
                            <w:tabs>
                              <w:tab w:val="center" w:pos="4535"/>
                              <w:tab w:val="right" w:pos="9070"/>
                              <w:tab w:val="clear" w:pos="4153"/>
                              <w:tab w:val="clear" w:pos="8306"/>
                            </w:tabs>
                            <w:ind w:left="180" w:right="180" w:firstLine="420"/>
                          </w:pPr>
                          <w:r>
                            <w:tab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instrText xml:space="preserve"> PAGE  \* Arabic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t>8</w:t>
                          </w:r>
                          <w:r>
                            <w:rPr>
                              <w:rFonts w:hint="default" w:ascii="Times New Roman" w:hAnsi="Times New Roman" w:cs="Times New Roman"/>
                            </w:rPr>
                            <w:fldChar w:fldCharType="end"/>
                          </w:r>
                          <w:r>
                            <w:tab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5"/>
                      <w:tabs>
                        <w:tab w:val="center" w:pos="4535"/>
                        <w:tab w:val="right" w:pos="9070"/>
                        <w:tab w:val="clear" w:pos="4153"/>
                        <w:tab w:val="clear" w:pos="8306"/>
                      </w:tabs>
                      <w:ind w:left="180" w:right="180" w:firstLine="420"/>
                    </w:pPr>
                    <w:r>
                      <w:tab/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</w:rPr>
                      <w:instrText xml:space="preserve"> PAGE  \* Arabic  \* MERGEFORMAT </w:instrTex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</w:rPr>
                      <w:t>8</w:t>
                    </w:r>
                    <w:r>
                      <w:rPr>
                        <w:rFonts w:hint="default" w:ascii="Times New Roman" w:hAnsi="Times New Roman" w:cs="Times New Roman"/>
                      </w:rPr>
                      <w:fldChar w:fldCharType="end"/>
                    </w:r>
                    <w:r>
                      <w:tab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ind w:left="180" w:right="18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ind w:left="180" w:right="180"/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5"/>
                            <w:rPr>
                              <w:rFonts w:hint="eastAsia" w:eastAsia="微软雅黑"/>
                              <w:lang w:eastAsia="zh-CN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mor5U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pqK+V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5"/>
                      <w:rPr>
                        <w:rFonts w:hint="eastAsia" w:eastAsia="微软雅黑"/>
                        <w:lang w:eastAsia="zh-CN"/>
                      </w:rPr>
                    </w:pP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jc w:val="both"/>
      <w:rPr>
        <w:sz w:val="20"/>
      </w:rPr>
    </w:pPr>
    <w:r>
      <w:rPr>
        <w:rFonts w:hint="eastAsia"/>
      </w:rPr>
      <w:t xml:space="preserve"> </w:t>
    </w:r>
    <w:r>
      <w:rPr>
        <w:lang w:val="en-US"/>
      </w:rPr>
      <w:drawing>
        <wp:inline distT="0" distB="0" distL="0" distR="0">
          <wp:extent cx="854075" cy="163830"/>
          <wp:effectExtent l="0" t="0" r="3175" b="7620"/>
          <wp:docPr id="3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4075" cy="163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</w:t>
    </w:r>
    <w:r>
      <w:t xml:space="preserve">                                   </w:t>
    </w:r>
    <w:r>
      <w:rPr>
        <w:rFonts w:hint="eastAsia"/>
        <w:lang w:val="en-US" w:eastAsia="zh-CN"/>
      </w:rPr>
      <w:t xml:space="preserve">                 </w:t>
    </w:r>
    <w:r>
      <w:t xml:space="preserve">  </w:t>
    </w:r>
    <w:bookmarkStart w:id="42" w:name="_GoBack"/>
    <w:r>
      <w:rPr>
        <w:rFonts w:hint="eastAsia" w:ascii="宋体" w:hAnsi="宋体" w:cs="宋体"/>
        <w:sz w:val="18"/>
        <w:szCs w:val="18"/>
        <w:lang w:val="en-US" w:eastAsia="zh-CN"/>
      </w:rPr>
      <w:t xml:space="preserve"> 眩光分析</w:t>
    </w:r>
    <w:r>
      <w:rPr>
        <w:rFonts w:hint="eastAsia" w:ascii="宋体" w:hAnsi="宋体" w:eastAsia="宋体" w:cs="宋体"/>
        <w:sz w:val="18"/>
        <w:szCs w:val="18"/>
        <w:lang w:val="en-US" w:eastAsia="zh-CN"/>
      </w:rPr>
      <w:t>报告</w:t>
    </w:r>
    <w:r>
      <w:rPr>
        <w:rFonts w:hint="eastAsia" w:ascii="宋体" w:hAnsi="宋体" w:eastAsia="宋体" w:cs="宋体"/>
        <w:sz w:val="18"/>
        <w:szCs w:val="18"/>
        <w:lang w:val="en-US"/>
      </w:rPr>
      <w:t>书</w:t>
    </w:r>
  </w:p>
  <w:bookmarkEnd w:id="4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left="180" w:right="18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spacing w:line="240" w:lineRule="atLeast"/>
      <w:jc w:val="left"/>
    </w:pPr>
    <w:r>
      <w:rPr>
        <w:rFonts w:hint="eastAsia"/>
      </w:rPr>
      <w:t xml:space="preserve"> </w:t>
    </w:r>
    <w:r>
      <w:rPr>
        <w:lang w:val="en-US"/>
      </w:rPr>
      <w:drawing>
        <wp:inline distT="0" distB="0" distL="0" distR="0">
          <wp:extent cx="854075" cy="163830"/>
          <wp:effectExtent l="0" t="0" r="3175" b="7620"/>
          <wp:docPr id="5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54075" cy="163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 w:ascii="宋体" w:hAnsi="宋体" w:cs="宋体"/>
        <w:sz w:val="18"/>
        <w:szCs w:val="18"/>
        <w:lang w:val="en-US" w:eastAsia="zh-CN"/>
      </w:rPr>
      <w:t xml:space="preserve">                                                                      眩光分析</w:t>
    </w:r>
    <w:r>
      <w:rPr>
        <w:rFonts w:hint="eastAsia" w:ascii="宋体" w:hAnsi="宋体" w:eastAsia="宋体" w:cs="宋体"/>
        <w:sz w:val="18"/>
        <w:szCs w:val="18"/>
        <w:lang w:val="en-US" w:eastAsia="zh-CN"/>
      </w:rPr>
      <w:t>报告</w:t>
    </w:r>
    <w:r>
      <w:rPr>
        <w:rFonts w:hint="eastAsia" w:ascii="宋体" w:hAnsi="宋体" w:eastAsia="宋体" w:cs="宋体"/>
        <w:sz w:val="18"/>
        <w:szCs w:val="18"/>
        <w:lang w:val="en-US"/>
      </w:rPr>
      <w:t>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.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 w:ascii="微软雅黑" w:hAnsi="微软雅黑" w:eastAsia="微软雅黑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ascii="微软雅黑" w:hAnsi="微软雅黑" w:eastAsia="微软雅黑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1">
    <w:nsid w:val="0DE529C8"/>
    <w:multiLevelType w:val="multilevel"/>
    <w:tmpl w:val="0DE529C8"/>
    <w:lvl w:ilvl="0" w:tentative="0">
      <w:start w:val="1"/>
      <w:numFmt w:val="decimal"/>
      <w:lvlText w:val="%1."/>
      <w:lvlJc w:val="left"/>
      <w:pPr>
        <w:tabs>
          <w:tab w:val="left" w:pos="900"/>
        </w:tabs>
        <w:ind w:left="90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attachedTemplate r:id="rId1"/>
  <w:documentProtection w:enforcement="0"/>
  <w:defaultTabStop w:val="420"/>
  <w:drawingGridHorizontalSpacing w:val="9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884564"/>
    <w:rsid w:val="00022F54"/>
    <w:rsid w:val="00022FE4"/>
    <w:rsid w:val="0003015C"/>
    <w:rsid w:val="00037A4C"/>
    <w:rsid w:val="000431C3"/>
    <w:rsid w:val="00045796"/>
    <w:rsid w:val="00047BEF"/>
    <w:rsid w:val="00047D27"/>
    <w:rsid w:val="00060BD8"/>
    <w:rsid w:val="00062C97"/>
    <w:rsid w:val="000631B3"/>
    <w:rsid w:val="0006507C"/>
    <w:rsid w:val="00070454"/>
    <w:rsid w:val="000725A9"/>
    <w:rsid w:val="000739BB"/>
    <w:rsid w:val="00073D32"/>
    <w:rsid w:val="00073E94"/>
    <w:rsid w:val="00075C7F"/>
    <w:rsid w:val="0007642D"/>
    <w:rsid w:val="000805DC"/>
    <w:rsid w:val="00083664"/>
    <w:rsid w:val="00083FC5"/>
    <w:rsid w:val="000926EC"/>
    <w:rsid w:val="00094B16"/>
    <w:rsid w:val="0009672C"/>
    <w:rsid w:val="000A6EC1"/>
    <w:rsid w:val="000A7482"/>
    <w:rsid w:val="000B2B33"/>
    <w:rsid w:val="000B51D1"/>
    <w:rsid w:val="000B7505"/>
    <w:rsid w:val="000B762E"/>
    <w:rsid w:val="000C2578"/>
    <w:rsid w:val="000C731C"/>
    <w:rsid w:val="000C735A"/>
    <w:rsid w:val="000D17C2"/>
    <w:rsid w:val="000D1936"/>
    <w:rsid w:val="000D59D4"/>
    <w:rsid w:val="000E3005"/>
    <w:rsid w:val="000E74AB"/>
    <w:rsid w:val="000F1573"/>
    <w:rsid w:val="000F48FD"/>
    <w:rsid w:val="000F7EF2"/>
    <w:rsid w:val="000F7FEF"/>
    <w:rsid w:val="00101764"/>
    <w:rsid w:val="0010266A"/>
    <w:rsid w:val="001037D7"/>
    <w:rsid w:val="00104B99"/>
    <w:rsid w:val="00105DF2"/>
    <w:rsid w:val="001104AC"/>
    <w:rsid w:val="00110A51"/>
    <w:rsid w:val="00111340"/>
    <w:rsid w:val="00112680"/>
    <w:rsid w:val="001146C5"/>
    <w:rsid w:val="00117919"/>
    <w:rsid w:val="00122AE1"/>
    <w:rsid w:val="00130AED"/>
    <w:rsid w:val="00136510"/>
    <w:rsid w:val="00141170"/>
    <w:rsid w:val="00145FA8"/>
    <w:rsid w:val="001463F5"/>
    <w:rsid w:val="0014776A"/>
    <w:rsid w:val="00150077"/>
    <w:rsid w:val="001511F2"/>
    <w:rsid w:val="00152AD1"/>
    <w:rsid w:val="001549CD"/>
    <w:rsid w:val="00165728"/>
    <w:rsid w:val="00170E95"/>
    <w:rsid w:val="0017134B"/>
    <w:rsid w:val="00180509"/>
    <w:rsid w:val="00180537"/>
    <w:rsid w:val="001811B7"/>
    <w:rsid w:val="00191705"/>
    <w:rsid w:val="0019511C"/>
    <w:rsid w:val="00195963"/>
    <w:rsid w:val="00196F57"/>
    <w:rsid w:val="001A213A"/>
    <w:rsid w:val="001A3A15"/>
    <w:rsid w:val="001B14CC"/>
    <w:rsid w:val="001B6E89"/>
    <w:rsid w:val="001C20F5"/>
    <w:rsid w:val="001D7C6B"/>
    <w:rsid w:val="001E049F"/>
    <w:rsid w:val="001E157B"/>
    <w:rsid w:val="001E32B4"/>
    <w:rsid w:val="00201BD9"/>
    <w:rsid w:val="002038AE"/>
    <w:rsid w:val="00203A7D"/>
    <w:rsid w:val="00204D80"/>
    <w:rsid w:val="0022062D"/>
    <w:rsid w:val="002229C1"/>
    <w:rsid w:val="00224948"/>
    <w:rsid w:val="00241D4E"/>
    <w:rsid w:val="00244792"/>
    <w:rsid w:val="0025362B"/>
    <w:rsid w:val="002555B8"/>
    <w:rsid w:val="00261764"/>
    <w:rsid w:val="0027073D"/>
    <w:rsid w:val="00283BF0"/>
    <w:rsid w:val="002933AC"/>
    <w:rsid w:val="00294F67"/>
    <w:rsid w:val="00294F7E"/>
    <w:rsid w:val="002A2F2E"/>
    <w:rsid w:val="002A4519"/>
    <w:rsid w:val="002A7369"/>
    <w:rsid w:val="002A79FB"/>
    <w:rsid w:val="002B2590"/>
    <w:rsid w:val="002B7899"/>
    <w:rsid w:val="002C17A2"/>
    <w:rsid w:val="002C62E3"/>
    <w:rsid w:val="002D2BBC"/>
    <w:rsid w:val="002E5393"/>
    <w:rsid w:val="002E574B"/>
    <w:rsid w:val="002E7C19"/>
    <w:rsid w:val="00301B3E"/>
    <w:rsid w:val="0030437C"/>
    <w:rsid w:val="003113F4"/>
    <w:rsid w:val="003121F7"/>
    <w:rsid w:val="003123FB"/>
    <w:rsid w:val="00312B73"/>
    <w:rsid w:val="00314D29"/>
    <w:rsid w:val="00317C52"/>
    <w:rsid w:val="0032366D"/>
    <w:rsid w:val="00330BA7"/>
    <w:rsid w:val="0033176E"/>
    <w:rsid w:val="00332086"/>
    <w:rsid w:val="00343E85"/>
    <w:rsid w:val="0035421F"/>
    <w:rsid w:val="00355840"/>
    <w:rsid w:val="00356224"/>
    <w:rsid w:val="0036330B"/>
    <w:rsid w:val="003642AC"/>
    <w:rsid w:val="00370E69"/>
    <w:rsid w:val="0037556D"/>
    <w:rsid w:val="00380AAF"/>
    <w:rsid w:val="00390296"/>
    <w:rsid w:val="00391396"/>
    <w:rsid w:val="00391613"/>
    <w:rsid w:val="00393106"/>
    <w:rsid w:val="003964EA"/>
    <w:rsid w:val="003A2B52"/>
    <w:rsid w:val="003A2CE1"/>
    <w:rsid w:val="003A3E76"/>
    <w:rsid w:val="003A5353"/>
    <w:rsid w:val="003B1331"/>
    <w:rsid w:val="003B47BB"/>
    <w:rsid w:val="003C056D"/>
    <w:rsid w:val="003C5FD5"/>
    <w:rsid w:val="003C61FC"/>
    <w:rsid w:val="003D0076"/>
    <w:rsid w:val="003D11B4"/>
    <w:rsid w:val="003D1FC7"/>
    <w:rsid w:val="003D5C64"/>
    <w:rsid w:val="003E0DEF"/>
    <w:rsid w:val="003F27D2"/>
    <w:rsid w:val="003F60B9"/>
    <w:rsid w:val="003F66A9"/>
    <w:rsid w:val="00400053"/>
    <w:rsid w:val="00403635"/>
    <w:rsid w:val="0040698B"/>
    <w:rsid w:val="00406B01"/>
    <w:rsid w:val="00413082"/>
    <w:rsid w:val="004140D8"/>
    <w:rsid w:val="00420487"/>
    <w:rsid w:val="00420DBF"/>
    <w:rsid w:val="00423774"/>
    <w:rsid w:val="0042654D"/>
    <w:rsid w:val="00426C2B"/>
    <w:rsid w:val="00430DCC"/>
    <w:rsid w:val="004315D3"/>
    <w:rsid w:val="00431AD1"/>
    <w:rsid w:val="00432639"/>
    <w:rsid w:val="00433D62"/>
    <w:rsid w:val="00443779"/>
    <w:rsid w:val="00443A24"/>
    <w:rsid w:val="00444C49"/>
    <w:rsid w:val="00447FF7"/>
    <w:rsid w:val="004524AC"/>
    <w:rsid w:val="00455D17"/>
    <w:rsid w:val="004560AC"/>
    <w:rsid w:val="004732C6"/>
    <w:rsid w:val="0047512A"/>
    <w:rsid w:val="004839C8"/>
    <w:rsid w:val="00486B69"/>
    <w:rsid w:val="00486F6E"/>
    <w:rsid w:val="004871E7"/>
    <w:rsid w:val="0049058C"/>
    <w:rsid w:val="004A008B"/>
    <w:rsid w:val="004A5301"/>
    <w:rsid w:val="004D230F"/>
    <w:rsid w:val="004D239D"/>
    <w:rsid w:val="004D449D"/>
    <w:rsid w:val="004D4831"/>
    <w:rsid w:val="004E5DEA"/>
    <w:rsid w:val="004F181A"/>
    <w:rsid w:val="004F2B43"/>
    <w:rsid w:val="004F57F1"/>
    <w:rsid w:val="005044FC"/>
    <w:rsid w:val="00504F54"/>
    <w:rsid w:val="005051EB"/>
    <w:rsid w:val="00507065"/>
    <w:rsid w:val="00513B48"/>
    <w:rsid w:val="0051542F"/>
    <w:rsid w:val="0051646C"/>
    <w:rsid w:val="005215FB"/>
    <w:rsid w:val="00521623"/>
    <w:rsid w:val="00531BC0"/>
    <w:rsid w:val="00540B17"/>
    <w:rsid w:val="0054304B"/>
    <w:rsid w:val="005430C1"/>
    <w:rsid w:val="005449BD"/>
    <w:rsid w:val="00547052"/>
    <w:rsid w:val="0055044E"/>
    <w:rsid w:val="00553946"/>
    <w:rsid w:val="005544E9"/>
    <w:rsid w:val="00555634"/>
    <w:rsid w:val="00555EF2"/>
    <w:rsid w:val="00560CD5"/>
    <w:rsid w:val="005619D2"/>
    <w:rsid w:val="00562B4A"/>
    <w:rsid w:val="00563BAC"/>
    <w:rsid w:val="005675EF"/>
    <w:rsid w:val="00567DFC"/>
    <w:rsid w:val="00570A92"/>
    <w:rsid w:val="005755BA"/>
    <w:rsid w:val="00580CDE"/>
    <w:rsid w:val="00591D7B"/>
    <w:rsid w:val="005927FC"/>
    <w:rsid w:val="0059357E"/>
    <w:rsid w:val="00594914"/>
    <w:rsid w:val="00595841"/>
    <w:rsid w:val="00595E32"/>
    <w:rsid w:val="005A0064"/>
    <w:rsid w:val="005B0295"/>
    <w:rsid w:val="005B290E"/>
    <w:rsid w:val="005B370C"/>
    <w:rsid w:val="005C1293"/>
    <w:rsid w:val="005C5E53"/>
    <w:rsid w:val="005D14F5"/>
    <w:rsid w:val="005D6617"/>
    <w:rsid w:val="005E5442"/>
    <w:rsid w:val="005E5D67"/>
    <w:rsid w:val="005E6722"/>
    <w:rsid w:val="005E6DB2"/>
    <w:rsid w:val="005F5BA5"/>
    <w:rsid w:val="005F76EF"/>
    <w:rsid w:val="00603BD9"/>
    <w:rsid w:val="0061137B"/>
    <w:rsid w:val="00611A83"/>
    <w:rsid w:val="006142C8"/>
    <w:rsid w:val="00616D08"/>
    <w:rsid w:val="00617087"/>
    <w:rsid w:val="006170E1"/>
    <w:rsid w:val="0062034E"/>
    <w:rsid w:val="00621132"/>
    <w:rsid w:val="0062232E"/>
    <w:rsid w:val="00623194"/>
    <w:rsid w:val="006240DC"/>
    <w:rsid w:val="006250A7"/>
    <w:rsid w:val="006368A2"/>
    <w:rsid w:val="00645EC2"/>
    <w:rsid w:val="00652934"/>
    <w:rsid w:val="006544F4"/>
    <w:rsid w:val="006677F4"/>
    <w:rsid w:val="00670B60"/>
    <w:rsid w:val="00681C5E"/>
    <w:rsid w:val="0069112E"/>
    <w:rsid w:val="00691729"/>
    <w:rsid w:val="00694FCA"/>
    <w:rsid w:val="00696156"/>
    <w:rsid w:val="006A7804"/>
    <w:rsid w:val="006B628D"/>
    <w:rsid w:val="006C000D"/>
    <w:rsid w:val="006C2054"/>
    <w:rsid w:val="006C31C0"/>
    <w:rsid w:val="006D1684"/>
    <w:rsid w:val="006E2DB9"/>
    <w:rsid w:val="006F1E82"/>
    <w:rsid w:val="006F480A"/>
    <w:rsid w:val="006F6958"/>
    <w:rsid w:val="0070016E"/>
    <w:rsid w:val="00700961"/>
    <w:rsid w:val="00704059"/>
    <w:rsid w:val="00720044"/>
    <w:rsid w:val="00720CD9"/>
    <w:rsid w:val="00722CF6"/>
    <w:rsid w:val="007250A6"/>
    <w:rsid w:val="00725EDE"/>
    <w:rsid w:val="0073394A"/>
    <w:rsid w:val="00741564"/>
    <w:rsid w:val="0074389B"/>
    <w:rsid w:val="00755503"/>
    <w:rsid w:val="00760461"/>
    <w:rsid w:val="0076205C"/>
    <w:rsid w:val="0078389D"/>
    <w:rsid w:val="00784B44"/>
    <w:rsid w:val="007859D0"/>
    <w:rsid w:val="007A2481"/>
    <w:rsid w:val="007A2817"/>
    <w:rsid w:val="007A7DF0"/>
    <w:rsid w:val="007B7859"/>
    <w:rsid w:val="007C190A"/>
    <w:rsid w:val="007C324F"/>
    <w:rsid w:val="007D2688"/>
    <w:rsid w:val="007E0DA0"/>
    <w:rsid w:val="007E39A8"/>
    <w:rsid w:val="007E3D1F"/>
    <w:rsid w:val="007F09EA"/>
    <w:rsid w:val="00800F96"/>
    <w:rsid w:val="00801632"/>
    <w:rsid w:val="00804362"/>
    <w:rsid w:val="008060C3"/>
    <w:rsid w:val="00806523"/>
    <w:rsid w:val="0080779D"/>
    <w:rsid w:val="00810B33"/>
    <w:rsid w:val="008138E5"/>
    <w:rsid w:val="00815480"/>
    <w:rsid w:val="00817D75"/>
    <w:rsid w:val="0083639A"/>
    <w:rsid w:val="00837670"/>
    <w:rsid w:val="00840D90"/>
    <w:rsid w:val="008439F8"/>
    <w:rsid w:val="008471C2"/>
    <w:rsid w:val="00850136"/>
    <w:rsid w:val="008704AB"/>
    <w:rsid w:val="00871FC0"/>
    <w:rsid w:val="0087441B"/>
    <w:rsid w:val="00883D6C"/>
    <w:rsid w:val="00892594"/>
    <w:rsid w:val="008A1241"/>
    <w:rsid w:val="008A54A0"/>
    <w:rsid w:val="008A6504"/>
    <w:rsid w:val="008B0CA0"/>
    <w:rsid w:val="008C1297"/>
    <w:rsid w:val="008C66D5"/>
    <w:rsid w:val="008D31F9"/>
    <w:rsid w:val="008D35DA"/>
    <w:rsid w:val="008D4BEC"/>
    <w:rsid w:val="008D7168"/>
    <w:rsid w:val="008F0010"/>
    <w:rsid w:val="008F5BF5"/>
    <w:rsid w:val="0090340B"/>
    <w:rsid w:val="00905F94"/>
    <w:rsid w:val="00916196"/>
    <w:rsid w:val="00925F4C"/>
    <w:rsid w:val="00925FCF"/>
    <w:rsid w:val="009363FF"/>
    <w:rsid w:val="0094018F"/>
    <w:rsid w:val="0095123C"/>
    <w:rsid w:val="0096074B"/>
    <w:rsid w:val="00965A34"/>
    <w:rsid w:val="00973452"/>
    <w:rsid w:val="00975F79"/>
    <w:rsid w:val="0098285F"/>
    <w:rsid w:val="00990766"/>
    <w:rsid w:val="00990F63"/>
    <w:rsid w:val="00991801"/>
    <w:rsid w:val="00993CF2"/>
    <w:rsid w:val="009A15B5"/>
    <w:rsid w:val="009A6B0F"/>
    <w:rsid w:val="009B0C40"/>
    <w:rsid w:val="009C4AE6"/>
    <w:rsid w:val="009D4733"/>
    <w:rsid w:val="009D5AAC"/>
    <w:rsid w:val="009E6B81"/>
    <w:rsid w:val="009E6EA9"/>
    <w:rsid w:val="009F5016"/>
    <w:rsid w:val="009F5A35"/>
    <w:rsid w:val="009F7C95"/>
    <w:rsid w:val="00A0525F"/>
    <w:rsid w:val="00A12783"/>
    <w:rsid w:val="00A1367E"/>
    <w:rsid w:val="00A13D95"/>
    <w:rsid w:val="00A14ECB"/>
    <w:rsid w:val="00A177A6"/>
    <w:rsid w:val="00A32590"/>
    <w:rsid w:val="00A355BD"/>
    <w:rsid w:val="00A357F7"/>
    <w:rsid w:val="00A3741E"/>
    <w:rsid w:val="00A47443"/>
    <w:rsid w:val="00A47585"/>
    <w:rsid w:val="00A57E38"/>
    <w:rsid w:val="00A60B63"/>
    <w:rsid w:val="00A6610F"/>
    <w:rsid w:val="00A73DF3"/>
    <w:rsid w:val="00A86476"/>
    <w:rsid w:val="00A90BB1"/>
    <w:rsid w:val="00A920E8"/>
    <w:rsid w:val="00A92636"/>
    <w:rsid w:val="00A95E06"/>
    <w:rsid w:val="00A972F1"/>
    <w:rsid w:val="00AA47FE"/>
    <w:rsid w:val="00AA7D07"/>
    <w:rsid w:val="00AB1AE2"/>
    <w:rsid w:val="00AB5182"/>
    <w:rsid w:val="00AB5572"/>
    <w:rsid w:val="00AC2DC3"/>
    <w:rsid w:val="00AC4125"/>
    <w:rsid w:val="00AD0888"/>
    <w:rsid w:val="00AE206F"/>
    <w:rsid w:val="00AF050E"/>
    <w:rsid w:val="00AF0542"/>
    <w:rsid w:val="00AF06AD"/>
    <w:rsid w:val="00B00FFB"/>
    <w:rsid w:val="00B11FD8"/>
    <w:rsid w:val="00B3131F"/>
    <w:rsid w:val="00B364B6"/>
    <w:rsid w:val="00B41640"/>
    <w:rsid w:val="00B44F88"/>
    <w:rsid w:val="00B55B22"/>
    <w:rsid w:val="00B60841"/>
    <w:rsid w:val="00B70998"/>
    <w:rsid w:val="00B71138"/>
    <w:rsid w:val="00B774E4"/>
    <w:rsid w:val="00B86B1C"/>
    <w:rsid w:val="00B950DF"/>
    <w:rsid w:val="00BA0863"/>
    <w:rsid w:val="00BA4C10"/>
    <w:rsid w:val="00BB3B23"/>
    <w:rsid w:val="00BB64F7"/>
    <w:rsid w:val="00BC17B9"/>
    <w:rsid w:val="00BD06BB"/>
    <w:rsid w:val="00BD47A9"/>
    <w:rsid w:val="00BD7DD2"/>
    <w:rsid w:val="00BE118E"/>
    <w:rsid w:val="00BE18AD"/>
    <w:rsid w:val="00BE4583"/>
    <w:rsid w:val="00BF5975"/>
    <w:rsid w:val="00C02ABE"/>
    <w:rsid w:val="00C127CA"/>
    <w:rsid w:val="00C15DF5"/>
    <w:rsid w:val="00C257AB"/>
    <w:rsid w:val="00C3168B"/>
    <w:rsid w:val="00C31D17"/>
    <w:rsid w:val="00C33D67"/>
    <w:rsid w:val="00C369F5"/>
    <w:rsid w:val="00C37F41"/>
    <w:rsid w:val="00C44808"/>
    <w:rsid w:val="00C45C1D"/>
    <w:rsid w:val="00C52CCB"/>
    <w:rsid w:val="00C56EF0"/>
    <w:rsid w:val="00C60B76"/>
    <w:rsid w:val="00C63237"/>
    <w:rsid w:val="00C662A4"/>
    <w:rsid w:val="00C67778"/>
    <w:rsid w:val="00C677CE"/>
    <w:rsid w:val="00C72CFF"/>
    <w:rsid w:val="00C751F9"/>
    <w:rsid w:val="00C8032E"/>
    <w:rsid w:val="00C832CC"/>
    <w:rsid w:val="00C851CF"/>
    <w:rsid w:val="00C85350"/>
    <w:rsid w:val="00C855E5"/>
    <w:rsid w:val="00C8629E"/>
    <w:rsid w:val="00C865E9"/>
    <w:rsid w:val="00C95C03"/>
    <w:rsid w:val="00C9765F"/>
    <w:rsid w:val="00C97E25"/>
    <w:rsid w:val="00CA7AE3"/>
    <w:rsid w:val="00CB296C"/>
    <w:rsid w:val="00CB6248"/>
    <w:rsid w:val="00CC196B"/>
    <w:rsid w:val="00CC6133"/>
    <w:rsid w:val="00CC74BC"/>
    <w:rsid w:val="00CD01C9"/>
    <w:rsid w:val="00CD4869"/>
    <w:rsid w:val="00CE1377"/>
    <w:rsid w:val="00CE28AA"/>
    <w:rsid w:val="00CF1874"/>
    <w:rsid w:val="00CF6917"/>
    <w:rsid w:val="00D02D59"/>
    <w:rsid w:val="00D02FD6"/>
    <w:rsid w:val="00D05B0B"/>
    <w:rsid w:val="00D062D7"/>
    <w:rsid w:val="00D06954"/>
    <w:rsid w:val="00D11DAD"/>
    <w:rsid w:val="00D13684"/>
    <w:rsid w:val="00D264C0"/>
    <w:rsid w:val="00D31E80"/>
    <w:rsid w:val="00D36619"/>
    <w:rsid w:val="00D40158"/>
    <w:rsid w:val="00D42291"/>
    <w:rsid w:val="00D43C46"/>
    <w:rsid w:val="00D60976"/>
    <w:rsid w:val="00D60E7E"/>
    <w:rsid w:val="00D62634"/>
    <w:rsid w:val="00D62A9A"/>
    <w:rsid w:val="00D63FD0"/>
    <w:rsid w:val="00D65949"/>
    <w:rsid w:val="00D708E3"/>
    <w:rsid w:val="00D73139"/>
    <w:rsid w:val="00D74281"/>
    <w:rsid w:val="00D80C28"/>
    <w:rsid w:val="00D85296"/>
    <w:rsid w:val="00D85A78"/>
    <w:rsid w:val="00DA28E0"/>
    <w:rsid w:val="00DA543D"/>
    <w:rsid w:val="00DB1F7E"/>
    <w:rsid w:val="00DB29C3"/>
    <w:rsid w:val="00DC08B7"/>
    <w:rsid w:val="00DC73AD"/>
    <w:rsid w:val="00DD2507"/>
    <w:rsid w:val="00DD33B1"/>
    <w:rsid w:val="00DD3C92"/>
    <w:rsid w:val="00DD56FC"/>
    <w:rsid w:val="00DE15EB"/>
    <w:rsid w:val="00DE39CD"/>
    <w:rsid w:val="00DE5AEF"/>
    <w:rsid w:val="00DE7EA5"/>
    <w:rsid w:val="00DF470C"/>
    <w:rsid w:val="00DF6333"/>
    <w:rsid w:val="00DF7D67"/>
    <w:rsid w:val="00E01D75"/>
    <w:rsid w:val="00E04BB6"/>
    <w:rsid w:val="00E12326"/>
    <w:rsid w:val="00E125AE"/>
    <w:rsid w:val="00E12AD1"/>
    <w:rsid w:val="00E17240"/>
    <w:rsid w:val="00E17F17"/>
    <w:rsid w:val="00E200C4"/>
    <w:rsid w:val="00E22381"/>
    <w:rsid w:val="00E23D22"/>
    <w:rsid w:val="00E278C1"/>
    <w:rsid w:val="00E341D6"/>
    <w:rsid w:val="00E34789"/>
    <w:rsid w:val="00E3796F"/>
    <w:rsid w:val="00E50FE4"/>
    <w:rsid w:val="00E55FF6"/>
    <w:rsid w:val="00E612BA"/>
    <w:rsid w:val="00E67432"/>
    <w:rsid w:val="00E75360"/>
    <w:rsid w:val="00E81ACD"/>
    <w:rsid w:val="00E93153"/>
    <w:rsid w:val="00E950A3"/>
    <w:rsid w:val="00EA30AE"/>
    <w:rsid w:val="00EA3CC2"/>
    <w:rsid w:val="00EB160E"/>
    <w:rsid w:val="00EB2565"/>
    <w:rsid w:val="00EB27DC"/>
    <w:rsid w:val="00EB450B"/>
    <w:rsid w:val="00EB65C7"/>
    <w:rsid w:val="00EC21CC"/>
    <w:rsid w:val="00ED5D36"/>
    <w:rsid w:val="00ED5F10"/>
    <w:rsid w:val="00ED5F4E"/>
    <w:rsid w:val="00EE0F57"/>
    <w:rsid w:val="00EE4ECD"/>
    <w:rsid w:val="00EE6FF7"/>
    <w:rsid w:val="00EF1307"/>
    <w:rsid w:val="00EF469A"/>
    <w:rsid w:val="00EF4F61"/>
    <w:rsid w:val="00EF5D54"/>
    <w:rsid w:val="00F0686F"/>
    <w:rsid w:val="00F10667"/>
    <w:rsid w:val="00F11B75"/>
    <w:rsid w:val="00F14F02"/>
    <w:rsid w:val="00F15E1F"/>
    <w:rsid w:val="00F20C9F"/>
    <w:rsid w:val="00F20DE5"/>
    <w:rsid w:val="00F26211"/>
    <w:rsid w:val="00F27AD2"/>
    <w:rsid w:val="00F32066"/>
    <w:rsid w:val="00F4109F"/>
    <w:rsid w:val="00F41E78"/>
    <w:rsid w:val="00F42DDB"/>
    <w:rsid w:val="00F51600"/>
    <w:rsid w:val="00F54AF7"/>
    <w:rsid w:val="00F6461B"/>
    <w:rsid w:val="00F64719"/>
    <w:rsid w:val="00F6582C"/>
    <w:rsid w:val="00F66DC8"/>
    <w:rsid w:val="00F75DD1"/>
    <w:rsid w:val="00F82D7F"/>
    <w:rsid w:val="00F9138A"/>
    <w:rsid w:val="00F92266"/>
    <w:rsid w:val="00F959AF"/>
    <w:rsid w:val="00F972A6"/>
    <w:rsid w:val="00FA05EE"/>
    <w:rsid w:val="00FA4B87"/>
    <w:rsid w:val="00FB0817"/>
    <w:rsid w:val="00FB084F"/>
    <w:rsid w:val="00FB1375"/>
    <w:rsid w:val="00FB3EEF"/>
    <w:rsid w:val="00FB688E"/>
    <w:rsid w:val="00FC5270"/>
    <w:rsid w:val="00FC7BC5"/>
    <w:rsid w:val="00FD0EF2"/>
    <w:rsid w:val="00FD44EE"/>
    <w:rsid w:val="00FE749C"/>
    <w:rsid w:val="00FF14DB"/>
    <w:rsid w:val="00FF2243"/>
    <w:rsid w:val="04F5654B"/>
    <w:rsid w:val="1A404B8E"/>
    <w:rsid w:val="22363234"/>
    <w:rsid w:val="241825DC"/>
    <w:rsid w:val="2A65484C"/>
    <w:rsid w:val="2B884564"/>
    <w:rsid w:val="4D285387"/>
    <w:rsid w:val="6050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napToGrid w:val="0"/>
      <w:jc w:val="center"/>
    </w:pPr>
    <w:rPr>
      <w:rFonts w:ascii="微软雅黑" w:hAnsi="微软雅黑" w:eastAsia="微软雅黑" w:cs="Times New Roman"/>
      <w:sz w:val="21"/>
      <w:lang w:val="en-GB" w:eastAsia="zh-CN" w:bidi="ar-SA"/>
    </w:rPr>
  </w:style>
  <w:style w:type="paragraph" w:styleId="2">
    <w:name w:val="heading 1"/>
    <w:next w:val="3"/>
    <w:qFormat/>
    <w:uiPriority w:val="0"/>
    <w:pPr>
      <w:keepNext/>
      <w:numPr>
        <w:ilvl w:val="0"/>
        <w:numId w:val="1"/>
      </w:numPr>
      <w:kinsoku w:val="0"/>
      <w:spacing w:before="240" w:after="60"/>
      <w:ind w:left="0" w:firstLine="0"/>
      <w:outlineLvl w:val="0"/>
    </w:pPr>
    <w:rPr>
      <w:rFonts w:ascii="Times New Roman" w:hAnsi="Times New Roman" w:eastAsia="微软雅黑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link w:val="34"/>
    <w:qFormat/>
    <w:uiPriority w:val="0"/>
    <w:pPr>
      <w:keepNext/>
      <w:numPr>
        <w:ilvl w:val="1"/>
        <w:numId w:val="1"/>
      </w:numPr>
      <w:kinsoku w:val="0"/>
      <w:spacing w:before="240" w:after="240"/>
      <w:ind w:left="0" w:right="181" w:firstLine="0"/>
      <w:jc w:val="both"/>
      <w:outlineLvl w:val="1"/>
    </w:pPr>
    <w:rPr>
      <w:rFonts w:ascii="宋体" w:hAnsi="Times New Roman" w:eastAsia="微软雅黑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微软雅黑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1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qFormat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qFormat/>
    <w:uiPriority w:val="0"/>
    <w:pPr>
      <w:shd w:val="clear" w:color="auto" w:fill="000080"/>
    </w:pPr>
  </w:style>
  <w:style w:type="paragraph" w:styleId="13">
    <w:name w:val="Body Text Indent"/>
    <w:basedOn w:val="1"/>
    <w:link w:val="25"/>
    <w:qFormat/>
    <w:uiPriority w:val="0"/>
    <w:pPr>
      <w:widowControl w:val="0"/>
      <w:spacing w:line="400" w:lineRule="exact"/>
      <w:ind w:firstLine="480"/>
      <w:jc w:val="both"/>
    </w:pPr>
    <w:rPr>
      <w:rFonts w:ascii="宋体" w:hAnsi="宋体"/>
      <w:kern w:val="2"/>
      <w:sz w:val="24"/>
      <w:szCs w:val="24"/>
      <w:lang w:val="en-US"/>
    </w:rPr>
  </w:style>
  <w:style w:type="paragraph" w:styleId="14">
    <w:name w:val="toc 3"/>
    <w:basedOn w:val="1"/>
    <w:next w:val="1"/>
    <w:qFormat/>
    <w:uiPriority w:val="39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5">
    <w:name w:val="footer"/>
    <w:basedOn w:val="1"/>
    <w:link w:val="29"/>
    <w:qFormat/>
    <w:uiPriority w:val="0"/>
    <w:pPr>
      <w:tabs>
        <w:tab w:val="center" w:pos="4153"/>
        <w:tab w:val="right" w:pos="8306"/>
      </w:tabs>
    </w:pPr>
    <w:rPr>
      <w:szCs w:val="18"/>
    </w:rPr>
  </w:style>
  <w:style w:type="paragraph" w:styleId="16">
    <w:name w:val="header"/>
    <w:basedOn w:val="1"/>
    <w:link w:val="3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</w:pPr>
    <w:rPr>
      <w:szCs w:val="18"/>
    </w:rPr>
  </w:style>
  <w:style w:type="paragraph" w:styleId="17">
    <w:name w:val="toc 1"/>
    <w:basedOn w:val="1"/>
    <w:next w:val="1"/>
    <w:qFormat/>
    <w:uiPriority w:val="39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8">
    <w:name w:val="toc 2"/>
    <w:basedOn w:val="1"/>
    <w:next w:val="1"/>
    <w:qFormat/>
    <w:uiPriority w:val="39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20">
    <w:name w:val="Table Grid"/>
    <w:basedOn w:val="19"/>
    <w:qFormat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2">
    <w:name w:val="page number"/>
    <w:basedOn w:val="21"/>
    <w:qFormat/>
    <w:uiPriority w:val="0"/>
  </w:style>
  <w:style w:type="character" w:styleId="23">
    <w:name w:val="FollowedHyperlink"/>
    <w:qFormat/>
    <w:uiPriority w:val="0"/>
    <w:rPr>
      <w:color w:val="800080"/>
      <w:u w:val="single"/>
    </w:rPr>
  </w:style>
  <w:style w:type="character" w:styleId="24">
    <w:name w:val="Hyperlink"/>
    <w:qFormat/>
    <w:uiPriority w:val="99"/>
    <w:rPr>
      <w:color w:val="0000FF"/>
      <w:u w:val="single"/>
    </w:rPr>
  </w:style>
  <w:style w:type="character" w:customStyle="1" w:styleId="25">
    <w:name w:val="正文文本缩进 Char"/>
    <w:link w:val="13"/>
    <w:qFormat/>
    <w:uiPriority w:val="0"/>
    <w:rPr>
      <w:rFonts w:ascii="宋体" w:hAnsi="宋体" w:eastAsia="宋体"/>
      <w:kern w:val="2"/>
      <w:sz w:val="24"/>
      <w:szCs w:val="24"/>
      <w:lang w:val="en-US" w:eastAsia="zh-CN" w:bidi="ar-SA"/>
    </w:rPr>
  </w:style>
  <w:style w:type="paragraph" w:customStyle="1" w:styleId="26">
    <w:name w:val="标题二"/>
    <w:basedOn w:val="4"/>
    <w:qFormat/>
    <w:uiPriority w:val="0"/>
    <w:pPr>
      <w:keepLines/>
      <w:widowControl w:val="0"/>
      <w:numPr>
        <w:numId w:val="0"/>
      </w:numPr>
      <w:kinsoku/>
      <w:autoSpaceDE w:val="0"/>
      <w:autoSpaceDN w:val="0"/>
      <w:adjustRightInd w:val="0"/>
      <w:spacing w:before="140" w:after="140" w:line="415" w:lineRule="auto"/>
      <w:ind w:right="240"/>
      <w:jc w:val="left"/>
    </w:pPr>
    <w:rPr>
      <w:rFonts w:ascii="仿宋_GB2312" w:eastAsia="黑体" w:cs="Times New Roman"/>
      <w:iCs w:val="0"/>
      <w:color w:val="auto"/>
      <w:sz w:val="28"/>
      <w:szCs w:val="32"/>
    </w:rPr>
  </w:style>
  <w:style w:type="character" w:customStyle="1" w:styleId="27">
    <w:name w:val="Char Char2"/>
    <w:qFormat/>
    <w:locked/>
    <w:uiPriority w:val="0"/>
    <w:rPr>
      <w:rFonts w:ascii="宋体" w:hAnsi="宋体" w:eastAsia="宋体"/>
      <w:kern w:val="2"/>
      <w:sz w:val="24"/>
      <w:szCs w:val="24"/>
      <w:lang w:val="en-US" w:eastAsia="zh-CN" w:bidi="ar-SA"/>
    </w:rPr>
  </w:style>
  <w:style w:type="character" w:customStyle="1" w:styleId="28">
    <w:name w:val="Char Char21"/>
    <w:qFormat/>
    <w:uiPriority w:val="0"/>
    <w:rPr>
      <w:rFonts w:ascii="宋体" w:hAnsi="宋体" w:eastAsia="宋体" w:cs="Times New Roman"/>
      <w:sz w:val="24"/>
      <w:szCs w:val="24"/>
    </w:rPr>
  </w:style>
  <w:style w:type="character" w:customStyle="1" w:styleId="29">
    <w:name w:val="页脚 Char"/>
    <w:link w:val="15"/>
    <w:qFormat/>
    <w:uiPriority w:val="0"/>
    <w:rPr>
      <w:rFonts w:eastAsia="宋体"/>
      <w:sz w:val="18"/>
      <w:szCs w:val="18"/>
      <w:lang w:val="en-GB" w:eastAsia="zh-CN" w:bidi="ar-SA"/>
    </w:rPr>
  </w:style>
  <w:style w:type="character" w:customStyle="1" w:styleId="30">
    <w:name w:val="Char Char1"/>
    <w:qFormat/>
    <w:uiPriority w:val="0"/>
    <w:rPr>
      <w:rFonts w:ascii="宋体" w:hAnsi="宋体" w:eastAsia="宋体"/>
      <w:kern w:val="2"/>
      <w:sz w:val="24"/>
      <w:szCs w:val="24"/>
      <w:lang w:val="en-US" w:eastAsia="zh-CN" w:bidi="ar-SA"/>
    </w:rPr>
  </w:style>
  <w:style w:type="character" w:customStyle="1" w:styleId="31">
    <w:name w:val="Char Char"/>
    <w:qFormat/>
    <w:locked/>
    <w:uiPriority w:val="0"/>
    <w:rPr>
      <w:rFonts w:ascii="宋体" w:hAnsi="宋体" w:eastAsia="宋体"/>
      <w:kern w:val="2"/>
      <w:sz w:val="24"/>
      <w:szCs w:val="24"/>
      <w:lang w:val="en-US" w:eastAsia="zh-CN" w:bidi="ar-SA"/>
    </w:rPr>
  </w:style>
  <w:style w:type="paragraph" w:styleId="32">
    <w:name w:val="List Paragraph"/>
    <w:basedOn w:val="1"/>
    <w:qFormat/>
    <w:uiPriority w:val="34"/>
    <w:pPr>
      <w:jc w:val="left"/>
    </w:pPr>
    <w:rPr>
      <w:rFonts w:cs="微软雅黑"/>
      <w:szCs w:val="21"/>
    </w:rPr>
  </w:style>
  <w:style w:type="character" w:customStyle="1" w:styleId="33">
    <w:name w:val="Subtle Emphasis"/>
    <w:qFormat/>
    <w:uiPriority w:val="19"/>
    <w:rPr>
      <w:i/>
      <w:iCs/>
      <w:color w:val="404040"/>
    </w:rPr>
  </w:style>
  <w:style w:type="character" w:customStyle="1" w:styleId="34">
    <w:name w:val="标题 2 Char"/>
    <w:link w:val="4"/>
    <w:qFormat/>
    <w:uiPriority w:val="0"/>
    <w:rPr>
      <w:rFonts w:ascii="宋体" w:eastAsia="微软雅黑" w:cs="Arial"/>
      <w:b/>
      <w:bCs/>
      <w:iCs/>
      <w:color w:val="000000"/>
      <w:sz w:val="24"/>
      <w:szCs w:val="24"/>
    </w:rPr>
  </w:style>
  <w:style w:type="character" w:customStyle="1" w:styleId="35">
    <w:name w:val="页眉 Char"/>
    <w:link w:val="16"/>
    <w:qFormat/>
    <w:uiPriority w:val="99"/>
    <w:rPr>
      <w:rFonts w:eastAsia="微软雅黑"/>
      <w:sz w:val="18"/>
      <w:szCs w:val="18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6.png"/><Relationship Id="rId17" Type="http://schemas.openxmlformats.org/officeDocument/2006/relationships/image" Target="media/image5.wmf"/><Relationship Id="rId16" Type="http://schemas.openxmlformats.org/officeDocument/2006/relationships/oleObject" Target="embeddings/oleObject4.bin"/><Relationship Id="rId15" Type="http://schemas.openxmlformats.org/officeDocument/2006/relationships/image" Target="media/image4.wmf"/><Relationship Id="rId14" Type="http://schemas.openxmlformats.org/officeDocument/2006/relationships/oleObject" Target="embeddings/oleObject3.bin"/><Relationship Id="rId13" Type="http://schemas.openxmlformats.org/officeDocument/2006/relationships/image" Target="media/image3.wmf"/><Relationship Id="rId12" Type="http://schemas.openxmlformats.org/officeDocument/2006/relationships/oleObject" Target="embeddings/oleObject2.bin"/><Relationship Id="rId11" Type="http://schemas.openxmlformats.org/officeDocument/2006/relationships/image" Target="media/image2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~1\AppData\Local\Temp\tmp5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AADCB4-1DCB-4BE6-A6ED-915A4DD719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tmp5.dotx</Template>
  <Pages>10</Pages>
  <Words>2730</Words>
  <Characters>3973</Characters>
  <Lines>28</Lines>
  <Paragraphs>7</Paragraphs>
  <TotalTime>12</TotalTime>
  <ScaleCrop>false</ScaleCrop>
  <LinksUpToDate>false</LinksUpToDate>
  <CharactersWithSpaces>4109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2020-12-10T07:50:00Z</dcterms:created>
  <dc:creator>必易</dc:creator>
  <cp:lastModifiedBy>必易</cp:lastModifiedBy>
  <dcterms:modified xsi:type="dcterms:W3CDTF">2020-12-16T06:37:33Z</dcterms:modified>
  <dc:title>眩光分析报告书</dc:title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