
<file path=[Content_Types].xml><?xml version="1.0" encoding="utf-8"?>
<Types xmlns="http://schemas.openxmlformats.org/package/2006/content-types">
  <Default Extension="xml" ContentType="application/xml"/>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ascii="黑体" w:hAnsi="宋体" w:eastAsia="黑体"/>
          <w:b/>
          <w:bCs/>
          <w:sz w:val="52"/>
          <w:szCs w:val="52"/>
        </w:rPr>
      </w:pPr>
      <w:r>
        <w:rPr>
          <w:rFonts w:hint="eastAsia" w:ascii="黑体" w:hAnsi="宋体" w:eastAsia="黑体"/>
          <w:b/>
          <w:bCs/>
          <w:sz w:val="52"/>
          <w:szCs w:val="52"/>
          <w:lang w:val="en-US" w:eastAsia="zh-CN"/>
        </w:rPr>
        <w:t>采光和日照</w:t>
      </w:r>
      <w:r>
        <w:rPr>
          <w:rFonts w:hint="eastAsia" w:ascii="黑体" w:hAnsi="宋体" w:eastAsia="黑体"/>
          <w:b/>
          <w:bCs/>
          <w:sz w:val="52"/>
          <w:szCs w:val="52"/>
        </w:rPr>
        <w:t>报告书</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p>
      <w:pPr>
        <w:rPr>
          <w:rFonts w:ascii="宋体" w:hAnsi="宋体"/>
          <w:lang w:val="en-US"/>
        </w:rPr>
      </w:pPr>
    </w:p>
    <w:p>
      <w:pPr>
        <w:jc w:val="center"/>
        <w:rPr>
          <w:rFonts w:ascii="宋体" w:hAnsi="宋体"/>
          <w:lang w:val="en-US"/>
        </w:rPr>
      </w:pPr>
      <w:bookmarkStart w:id="0" w:name="二维码"/>
      <w:bookmarkEnd w:id="0"/>
    </w:p>
    <w:p>
      <w:pPr>
        <w:rPr>
          <w:rFonts w:ascii="宋体" w:hAnsi="宋体"/>
          <w:lang w:val="en-US"/>
        </w:rPr>
      </w:pPr>
    </w:p>
    <w:p>
      <w:pPr>
        <w:jc w:val="center"/>
        <w:rPr>
          <w:rFonts w:ascii="宋体" w:hAnsi="宋体"/>
          <w:b/>
          <w:bCs/>
          <w:sz w:val="30"/>
          <w:szCs w:val="32"/>
        </w:rPr>
      </w:pPr>
    </w:p>
    <w:p>
      <w:pPr>
        <w:jc w:val="center"/>
        <w:rPr>
          <w:rFonts w:ascii="宋体" w:hAnsi="宋体"/>
          <w:b/>
          <w:bCs/>
          <w:sz w:val="30"/>
          <w:szCs w:val="32"/>
        </w:rPr>
      </w:pPr>
    </w:p>
    <w:p>
      <w:pPr>
        <w:jc w:val="center"/>
        <w:rPr>
          <w:rFonts w:ascii="宋体" w:hAnsi="宋体"/>
          <w:b/>
          <w:bCs/>
          <w:sz w:val="30"/>
          <w:szCs w:val="32"/>
        </w:rPr>
      </w:pPr>
    </w:p>
    <w:p>
      <w:pPr>
        <w:spacing w:line="1000" w:lineRule="exact"/>
        <w:ind w:left="0" w:leftChars="0" w:right="1735" w:rightChars="964" w:firstLine="2561" w:firstLineChars="800"/>
        <w:jc w:val="both"/>
        <w:rPr>
          <w:rFonts w:hint="default" w:ascii="宋体" w:hAnsi="宋体"/>
          <w:b/>
          <w:bCs/>
          <w:sz w:val="32"/>
          <w:szCs w:val="32"/>
          <w:lang w:val="en-US" w:eastAsia="zh-CN"/>
        </w:rPr>
      </w:pPr>
      <w:r>
        <w:rPr>
          <w:rFonts w:hint="eastAsia" w:ascii="宋体" w:hAnsi="宋体"/>
          <w:b/>
          <w:bCs/>
          <w:sz w:val="32"/>
          <w:szCs w:val="32"/>
          <w:lang w:val="en-US" w:eastAsia="zh-CN"/>
        </w:rPr>
        <w:t>项目名称：幼儿园改造后</w:t>
      </w:r>
    </w:p>
    <w:p>
      <w:pPr>
        <w:spacing w:line="1000" w:lineRule="exact"/>
        <w:ind w:left="0" w:leftChars="0" w:right="1388" w:rightChars="771" w:firstLine="2100" w:firstLineChars="656"/>
        <w:jc w:val="center"/>
        <w:rPr>
          <w:rFonts w:hint="default" w:ascii="宋体" w:hAnsi="宋体"/>
          <w:b/>
          <w:bCs/>
          <w:sz w:val="32"/>
          <w:szCs w:val="32"/>
          <w:lang w:val="en-US" w:eastAsia="zh-CN"/>
        </w:rPr>
      </w:pPr>
      <w:r>
        <w:rPr>
          <w:rFonts w:hint="eastAsia" w:ascii="宋体" w:hAnsi="宋体"/>
          <w:b/>
          <w:bCs/>
          <w:sz w:val="32"/>
          <w:szCs w:val="32"/>
          <w:lang w:val="en-US" w:eastAsia="zh-CN"/>
        </w:rPr>
        <w:t xml:space="preserve"> 学 校：黑龙江建筑职业技术学院</w:t>
      </w:r>
    </w:p>
    <w:p>
      <w:pPr>
        <w:spacing w:line="1000" w:lineRule="exact"/>
        <w:jc w:val="center"/>
        <w:rPr>
          <w:rFonts w:hint="eastAsia" w:ascii="宋体" w:hAnsi="宋体"/>
          <w:b/>
          <w:bCs/>
          <w:sz w:val="32"/>
          <w:szCs w:val="32"/>
          <w:lang w:val="en-US" w:eastAsia="zh-CN"/>
        </w:rPr>
      </w:pPr>
    </w:p>
    <w:p>
      <w:pPr>
        <w:spacing w:line="1000" w:lineRule="exact"/>
        <w:jc w:val="center"/>
        <w:rPr>
          <w:rFonts w:hint="eastAsia" w:ascii="宋体" w:hAnsi="宋体"/>
          <w:b/>
          <w:bCs/>
          <w:sz w:val="32"/>
          <w:szCs w:val="32"/>
          <w:lang w:val="en-US" w:eastAsia="zh-CN"/>
        </w:rPr>
      </w:pPr>
    </w:p>
    <w:p>
      <w:pPr>
        <w:spacing w:line="1000" w:lineRule="exact"/>
        <w:jc w:val="center"/>
        <w:rPr>
          <w:rFonts w:hint="eastAsia" w:ascii="宋体" w:hAnsi="宋体"/>
          <w:b/>
          <w:bCs/>
          <w:sz w:val="32"/>
          <w:szCs w:val="32"/>
          <w:lang w:val="en-US" w:eastAsia="zh-CN"/>
        </w:rPr>
      </w:pPr>
    </w:p>
    <w:p>
      <w:pPr>
        <w:spacing w:line="240" w:lineRule="auto"/>
        <w:rPr>
          <w:sz w:val="21"/>
          <w:szCs w:val="21"/>
          <w:lang w:val="en-US"/>
        </w:rPr>
      </w:pPr>
      <w:r>
        <w:rPr>
          <w:rFonts w:hint="eastAsia" w:ascii="宋体" w:hAnsi="宋体"/>
          <w:b/>
          <w:bCs/>
          <w:sz w:val="32"/>
          <w:szCs w:val="32"/>
          <w:lang w:val="en-US" w:eastAsia="zh-CN"/>
        </w:rPr>
        <w:t>2020年12月</w:t>
      </w:r>
      <w:r>
        <w:rPr>
          <w:sz w:val="21"/>
          <w:szCs w:val="21"/>
          <w:lang w:val="en-US"/>
        </w:rPr>
        <w:br w:type="page"/>
      </w:r>
    </w:p>
    <w:p>
      <w:pPr>
        <w:spacing w:line="240" w:lineRule="auto"/>
        <w:rPr>
          <w:lang w:val="en-US"/>
        </w:rPr>
      </w:pPr>
    </w:p>
    <w:p>
      <w:pPr>
        <w:spacing w:line="240" w:lineRule="auto"/>
        <w:rPr>
          <w:lang w:val="en-US"/>
        </w:rPr>
      </w:pPr>
      <w:bookmarkStart w:id="1" w:name="目录"/>
    </w:p>
    <w:sdt>
      <w:sdtPr>
        <w:rPr>
          <w:rFonts w:hint="eastAsia" w:ascii="宋体" w:hAnsi="宋体" w:eastAsia="宋体" w:cs="宋体"/>
          <w:color w:val="auto"/>
          <w:sz w:val="21"/>
          <w:szCs w:val="21"/>
          <w:lang w:val="en-GB"/>
        </w:rPr>
        <w:id w:val="780454735"/>
        <w:docPartObj>
          <w:docPartGallery w:val="Table of Contents"/>
          <w:docPartUnique/>
        </w:docPartObj>
      </w:sdtPr>
      <w:sdtEndPr>
        <w:rPr>
          <w:rFonts w:hint="default" w:ascii="Times New Roman" w:hAnsi="Times New Roman" w:eastAsia="宋体" w:cs="Times New Roman"/>
          <w:b/>
          <w:bCs/>
          <w:color w:val="auto"/>
          <w:sz w:val="21"/>
          <w:szCs w:val="21"/>
          <w:lang w:val="zh-CN"/>
        </w:rPr>
      </w:sdtEndPr>
      <w:sdtContent>
        <w:p>
          <w:pPr>
            <w:pStyle w:val="28"/>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目录</w:t>
          </w:r>
        </w:p>
        <w:p>
          <w:pPr>
            <w:pStyle w:val="17"/>
            <w:tabs>
              <w:tab w:val="right" w:leader="dot" w:pos="9070"/>
              <w:tab w:val="clear" w:pos="180"/>
              <w:tab w:val="clear" w:pos="42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 w:val="0"/>
              <w:bCs w:val="0"/>
              <w:sz w:val="21"/>
              <w:szCs w:val="21"/>
            </w:rPr>
            <w:fldChar w:fldCharType="begin"/>
          </w:r>
          <w:r>
            <w:rPr>
              <w:rFonts w:hint="default" w:ascii="Times New Roman" w:hAnsi="Times New Roman" w:eastAsia="宋体" w:cs="Times New Roman"/>
              <w:b w:val="0"/>
              <w:bCs w:val="0"/>
              <w:sz w:val="21"/>
              <w:szCs w:val="21"/>
            </w:rPr>
            <w:instrText xml:space="preserve"> TOC \o "1-3" \h \z \u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Cs w:val="0"/>
              <w:sz w:val="21"/>
              <w:szCs w:val="21"/>
            </w:rPr>
            <w:fldChar w:fldCharType="begin"/>
          </w:r>
          <w:r>
            <w:rPr>
              <w:rFonts w:hint="default" w:ascii="Times New Roman" w:hAnsi="Times New Roman" w:eastAsia="宋体" w:cs="Times New Roman"/>
              <w:bCs w:val="0"/>
              <w:sz w:val="21"/>
              <w:szCs w:val="21"/>
            </w:rPr>
            <w:instrText xml:space="preserve"> HYPERLINK \l _Toc6662 </w:instrText>
          </w:r>
          <w:r>
            <w:rPr>
              <w:rFonts w:hint="default" w:ascii="Times New Roman" w:hAnsi="Times New Roman" w:eastAsia="宋体" w:cs="Times New Roman"/>
              <w:bCs w:val="0"/>
              <w:sz w:val="21"/>
              <w:szCs w:val="21"/>
            </w:rPr>
            <w:fldChar w:fldCharType="separate"/>
          </w:r>
          <w:r>
            <w:rPr>
              <w:rFonts w:hint="default" w:ascii="Times New Roman" w:hAnsi="Times New Roman" w:eastAsia="宋体" w:cs="Times New Roman"/>
              <w:sz w:val="21"/>
              <w:szCs w:val="21"/>
            </w:rPr>
            <w:t>1. 建筑概况</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_Toc6662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val="0"/>
              <w:sz w:val="21"/>
              <w:szCs w:val="21"/>
            </w:rPr>
            <w:fldChar w:fldCharType="end"/>
          </w:r>
        </w:p>
        <w:p>
          <w:pPr>
            <w:pStyle w:val="17"/>
            <w:tabs>
              <w:tab w:val="right" w:leader="dot" w:pos="9070"/>
              <w:tab w:val="clear" w:pos="180"/>
              <w:tab w:val="clear" w:pos="42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_Toc14657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rPr>
            <w:t>2. 设计依据</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_Toc14657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7"/>
            <w:tabs>
              <w:tab w:val="right" w:leader="dot" w:pos="9070"/>
              <w:tab w:val="clear" w:pos="180"/>
              <w:tab w:val="clear" w:pos="42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_Toc15510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rPr>
            <w:t>3. 计算目的</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_Toc15510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7"/>
            <w:tabs>
              <w:tab w:val="right" w:leader="dot" w:pos="9070"/>
              <w:tab w:val="clear" w:pos="180"/>
              <w:tab w:val="clear" w:pos="42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_Toc15476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rPr>
            <w:t>4. 标准要求</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_Toc15476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7"/>
            <w:tabs>
              <w:tab w:val="right" w:leader="dot" w:pos="9070"/>
              <w:tab w:val="clear" w:pos="180"/>
              <w:tab w:val="clear" w:pos="42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_Toc22645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rPr>
            <w:t>5. 采光分析概述</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_Toc22645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8"/>
            <w:tabs>
              <w:tab w:val="right" w:leader="dot" w:pos="9070"/>
              <w:tab w:val="clear" w:pos="540"/>
              <w:tab w:val="clear" w:pos="84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_Toc17941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lang w:val="en-GB"/>
            </w:rPr>
            <w:t xml:space="preserve">5.1 </w:t>
          </w:r>
          <w:r>
            <w:rPr>
              <w:rFonts w:hint="default" w:ascii="Times New Roman" w:hAnsi="Times New Roman" w:eastAsia="宋体" w:cs="Times New Roman"/>
              <w:sz w:val="21"/>
              <w:szCs w:val="21"/>
            </w:rPr>
            <w:t>基本原理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_Toc17941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8"/>
            <w:tabs>
              <w:tab w:val="right" w:leader="dot" w:pos="9070"/>
              <w:tab w:val="clear" w:pos="540"/>
              <w:tab w:val="clear" w:pos="84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_Toc15105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lang w:val="en-GB"/>
            </w:rPr>
            <w:t xml:space="preserve">5.2 </w:t>
          </w:r>
          <w:r>
            <w:rPr>
              <w:rFonts w:hint="default" w:ascii="Times New Roman" w:hAnsi="Times New Roman" w:eastAsia="宋体" w:cs="Times New Roman"/>
              <w:sz w:val="21"/>
              <w:szCs w:val="21"/>
            </w:rPr>
            <w:t>分析软件</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_Toc15105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8"/>
            <w:tabs>
              <w:tab w:val="right" w:leader="dot" w:pos="9070"/>
              <w:tab w:val="clear" w:pos="540"/>
              <w:tab w:val="clear" w:pos="84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_Toc23236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lang w:val="en-GB"/>
            </w:rPr>
            <w:t xml:space="preserve">5.3 </w:t>
          </w:r>
          <w:r>
            <w:rPr>
              <w:rFonts w:hint="default" w:ascii="Times New Roman" w:hAnsi="Times New Roman" w:eastAsia="宋体" w:cs="Times New Roman"/>
              <w:sz w:val="21"/>
              <w:szCs w:val="21"/>
            </w:rPr>
            <w:t>计算方法</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_Toc23236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7"/>
            <w:tabs>
              <w:tab w:val="right" w:leader="dot" w:pos="9070"/>
              <w:tab w:val="clear" w:pos="180"/>
              <w:tab w:val="clear" w:pos="42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_Toc6163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rPr>
            <w:t>6. 采光计算参数取值</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_Toc6163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8"/>
            <w:tabs>
              <w:tab w:val="right" w:leader="dot" w:pos="9070"/>
              <w:tab w:val="clear" w:pos="540"/>
              <w:tab w:val="clear" w:pos="84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_Toc464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lang w:val="en-GB"/>
            </w:rPr>
            <w:t xml:space="preserve">6.1 </w:t>
          </w:r>
          <w:r>
            <w:rPr>
              <w:rFonts w:hint="default" w:ascii="Times New Roman" w:hAnsi="Times New Roman" w:eastAsia="宋体" w:cs="Times New Roman"/>
              <w:sz w:val="21"/>
              <w:szCs w:val="21"/>
            </w:rPr>
            <w:t>模拟分析条件说明</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_Toc464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8"/>
            <w:tabs>
              <w:tab w:val="right" w:leader="dot" w:pos="9070"/>
              <w:tab w:val="clear" w:pos="540"/>
              <w:tab w:val="clear" w:pos="84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_Toc14665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lang w:val="en-GB"/>
            </w:rPr>
            <w:t xml:space="preserve">6.2 </w:t>
          </w:r>
          <w:r>
            <w:rPr>
              <w:rFonts w:hint="default" w:ascii="Times New Roman" w:hAnsi="Times New Roman" w:eastAsia="宋体" w:cs="Times New Roman"/>
              <w:sz w:val="21"/>
              <w:szCs w:val="21"/>
            </w:rPr>
            <w:t>建筑饰面材料参数</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_Toc14665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8"/>
            <w:tabs>
              <w:tab w:val="right" w:leader="dot" w:pos="9070"/>
              <w:tab w:val="clear" w:pos="540"/>
              <w:tab w:val="clear" w:pos="84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_Toc26559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lang w:val="en-GB"/>
            </w:rPr>
            <w:t xml:space="preserve">6.3 </w:t>
          </w:r>
          <w:r>
            <w:rPr>
              <w:rFonts w:hint="default" w:ascii="Times New Roman" w:hAnsi="Times New Roman" w:eastAsia="宋体" w:cs="Times New Roman"/>
              <w:sz w:val="21"/>
              <w:szCs w:val="21"/>
            </w:rPr>
            <w:t>门窗类型参数</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_Toc26559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7</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4"/>
            <w:tabs>
              <w:tab w:val="right" w:leader="dot" w:pos="9070"/>
              <w:tab w:val="clear" w:pos="900"/>
              <w:tab w:val="clear" w:pos="126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_Toc1261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lang w:val="en-GB"/>
            </w:rPr>
            <w:t xml:space="preserve">6.3.1 </w:t>
          </w:r>
          <w:r>
            <w:rPr>
              <w:rFonts w:hint="default" w:ascii="Times New Roman" w:hAnsi="Times New Roman" w:eastAsia="宋体" w:cs="Times New Roman"/>
              <w:sz w:val="21"/>
              <w:szCs w:val="21"/>
            </w:rPr>
            <w:t>普通窗</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_Toc1261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7</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7"/>
            <w:tabs>
              <w:tab w:val="right" w:leader="dot" w:pos="9070"/>
              <w:tab w:val="clear" w:pos="180"/>
              <w:tab w:val="clear" w:pos="42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_Toc32290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rPr>
            <w:t>7. 房间模拟结果</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_Toc32290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8</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8"/>
            <w:tabs>
              <w:tab w:val="right" w:leader="dot" w:pos="9070"/>
              <w:tab w:val="clear" w:pos="540"/>
              <w:tab w:val="clear" w:pos="84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_Toc242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lang w:val="en-GB"/>
            </w:rPr>
            <w:t xml:space="preserve">7.1 </w:t>
          </w:r>
          <w:r>
            <w:rPr>
              <w:rFonts w:hint="default" w:ascii="Times New Roman" w:hAnsi="Times New Roman" w:eastAsia="宋体" w:cs="Times New Roman"/>
              <w:sz w:val="21"/>
              <w:szCs w:val="21"/>
            </w:rPr>
            <w:t>采光系数结果</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_Toc242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8</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8"/>
            <w:tabs>
              <w:tab w:val="right" w:leader="dot" w:pos="9070"/>
              <w:tab w:val="clear" w:pos="540"/>
              <w:tab w:val="clear" w:pos="84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_Toc19238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lang w:val="en-GB"/>
            </w:rPr>
            <w:t xml:space="preserve">7.2 </w:t>
          </w:r>
          <w:r>
            <w:rPr>
              <w:rFonts w:hint="default" w:ascii="Times New Roman" w:hAnsi="Times New Roman" w:eastAsia="宋体" w:cs="Times New Roman"/>
              <w:sz w:val="21"/>
              <w:szCs w:val="21"/>
            </w:rPr>
            <w:t>采光达标面积比例</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_Toc19238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9</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7"/>
            <w:tabs>
              <w:tab w:val="right" w:leader="dot" w:pos="9070"/>
              <w:tab w:val="clear" w:pos="180"/>
              <w:tab w:val="clear" w:pos="42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_Toc23246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rPr>
            <w:t>8. 采光效果分析彩图</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_Toc23246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pPr>
            <w:pStyle w:val="17"/>
            <w:tabs>
              <w:tab w:val="right" w:leader="dot" w:pos="9070"/>
              <w:tab w:val="clear" w:pos="180"/>
              <w:tab w:val="clear" w:pos="420"/>
              <w:tab w:val="clear" w:pos="9360"/>
            </w:tabs>
            <w:rPr>
              <w:rFonts w:hint="default" w:ascii="Times New Roman" w:hAnsi="Times New Roman" w:eastAsia="宋体" w:cs="Times New Roman"/>
              <w:sz w:val="21"/>
              <w:szCs w:val="21"/>
            </w:rPr>
          </w:pPr>
          <w:r>
            <w:rPr>
              <w:rFonts w:hint="default" w:ascii="Times New Roman" w:hAnsi="Times New Roman" w:eastAsia="宋体" w:cs="Times New Roman"/>
              <w:bCs/>
              <w:kern w:val="2"/>
              <w:sz w:val="21"/>
              <w:szCs w:val="21"/>
              <w:lang w:val="en-US"/>
            </w:rPr>
            <w:fldChar w:fldCharType="begin"/>
          </w:r>
          <w:r>
            <w:rPr>
              <w:rFonts w:hint="default" w:ascii="Times New Roman" w:hAnsi="Times New Roman" w:eastAsia="宋体" w:cs="Times New Roman"/>
              <w:bCs/>
              <w:kern w:val="2"/>
              <w:sz w:val="21"/>
              <w:szCs w:val="21"/>
              <w:lang w:val="en-US"/>
            </w:rPr>
            <w:instrText xml:space="preserve"> HYPERLINK \l _Toc28280 </w:instrText>
          </w:r>
          <w:r>
            <w:rPr>
              <w:rFonts w:hint="default" w:ascii="Times New Roman" w:hAnsi="Times New Roman" w:eastAsia="宋体" w:cs="Times New Roman"/>
              <w:bCs/>
              <w:kern w:val="2"/>
              <w:sz w:val="21"/>
              <w:szCs w:val="21"/>
              <w:lang w:val="en-US"/>
            </w:rPr>
            <w:fldChar w:fldCharType="separate"/>
          </w:r>
          <w:r>
            <w:rPr>
              <w:rFonts w:hint="default" w:ascii="Times New Roman" w:hAnsi="Times New Roman" w:eastAsia="宋体" w:cs="Times New Roman"/>
              <w:sz w:val="21"/>
              <w:szCs w:val="21"/>
            </w:rPr>
            <w:t>9. 结论</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_Toc28280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bCs/>
              <w:kern w:val="2"/>
              <w:sz w:val="21"/>
              <w:szCs w:val="21"/>
              <w:lang w:val="en-US"/>
            </w:rPr>
            <w:fldChar w:fldCharType="end"/>
          </w:r>
        </w:p>
        <w:p>
          <w:r>
            <w:rPr>
              <w:rFonts w:hint="default" w:ascii="Times New Roman" w:hAnsi="Times New Roman" w:eastAsia="宋体" w:cs="Times New Roman"/>
              <w:bCs/>
              <w:kern w:val="2"/>
              <w:sz w:val="21"/>
              <w:szCs w:val="21"/>
              <w:lang w:val="en-US"/>
            </w:rPr>
            <w:fldChar w:fldCharType="end"/>
          </w:r>
        </w:p>
      </w:sdtContent>
    </w:sdt>
    <w:p>
      <w:pPr>
        <w:spacing w:line="240" w:lineRule="auto"/>
        <w:rPr>
          <w:lang w:val="en-US"/>
        </w:rPr>
      </w:pPr>
    </w:p>
    <w:bookmarkEnd w:id="1"/>
    <w:p>
      <w:pPr>
        <w:rPr>
          <w:lang w:val="en-US"/>
        </w:rPr>
      </w:pPr>
    </w:p>
    <w:p>
      <w:pPr>
        <w:tabs>
          <w:tab w:val="center" w:pos="4535"/>
        </w:tabs>
        <w:rPr>
          <w:lang w:val="en-US"/>
        </w:rPr>
        <w:sectPr>
          <w:headerReference r:id="rId4" w:type="first"/>
          <w:footerReference r:id="rId6" w:type="first"/>
          <w:headerReference r:id="rId3" w:type="default"/>
          <w:footerReference r:id="rId5" w:type="default"/>
          <w:pgSz w:w="11906" w:h="16838"/>
          <w:pgMar w:top="1440" w:right="1418" w:bottom="1440" w:left="1418" w:header="851" w:footer="992" w:gutter="0"/>
          <w:pgNumType w:fmt="decimal"/>
          <w:cols w:space="425" w:num="1"/>
          <w:titlePg/>
          <w:docGrid w:type="lines" w:linePitch="312" w:charSpace="0"/>
        </w:sectPr>
      </w:pPr>
      <w:r>
        <w:rPr>
          <w:lang w:val="en-US"/>
        </w:rPr>
        <w:tab/>
      </w:r>
    </w:p>
    <w:p>
      <w:pPr>
        <w:pStyle w:val="2"/>
        <w:rPr>
          <w:rFonts w:hint="default" w:ascii="Times New Roman" w:hAnsi="Times New Roman" w:eastAsia="宋体" w:cs="Times New Roman"/>
          <w:sz w:val="28"/>
          <w:szCs w:val="28"/>
        </w:rPr>
      </w:pPr>
      <w:bookmarkStart w:id="2" w:name="_Toc6662"/>
      <w:r>
        <w:rPr>
          <w:rFonts w:hint="default" w:ascii="Times New Roman" w:hAnsi="Times New Roman" w:eastAsia="宋体" w:cs="Times New Roman"/>
          <w:sz w:val="28"/>
          <w:szCs w:val="28"/>
        </w:rPr>
        <w:t>建筑概况</w:t>
      </w:r>
      <w:bookmarkEnd w:id="2"/>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项目所在地</w:t>
            </w:r>
          </w:p>
        </w:tc>
        <w:tc>
          <w:tcPr>
            <w:tcW w:w="6447" w:type="dxa"/>
            <w:gridSpan w:val="3"/>
            <w:vAlign w:val="center"/>
          </w:tcPr>
          <w:p>
            <w:pPr>
              <w:rPr>
                <w:rFonts w:hint="default" w:ascii="Times New Roman" w:hAnsi="Times New Roman" w:eastAsia="宋体" w:cs="Times New Roman"/>
                <w:sz w:val="21"/>
                <w:szCs w:val="21"/>
                <w:lang w:val="en-US"/>
              </w:rPr>
            </w:pPr>
            <w:bookmarkStart w:id="3" w:name="项目地点"/>
            <w:r>
              <w:rPr>
                <w:rFonts w:hint="default" w:ascii="Times New Roman" w:hAnsi="Times New Roman" w:eastAsia="宋体" w:cs="Times New Roman"/>
                <w:sz w:val="21"/>
                <w:szCs w:val="21"/>
              </w:rPr>
              <w:t>哈尔滨</w:t>
            </w:r>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光气候分区</w:t>
            </w:r>
          </w:p>
        </w:tc>
        <w:tc>
          <w:tcPr>
            <w:tcW w:w="2624" w:type="dxa"/>
            <w:vAlign w:val="center"/>
          </w:tcPr>
          <w:p>
            <w:pPr>
              <w:rPr>
                <w:rFonts w:hint="default" w:ascii="Times New Roman" w:hAnsi="Times New Roman" w:eastAsia="宋体" w:cs="Times New Roman"/>
                <w:sz w:val="21"/>
                <w:szCs w:val="21"/>
                <w:lang w:val="en-US"/>
              </w:rPr>
            </w:pPr>
            <w:bookmarkStart w:id="4" w:name="光气候分区"/>
            <w:r>
              <w:rPr>
                <w:rFonts w:hint="default" w:ascii="Times New Roman" w:hAnsi="Times New Roman" w:eastAsia="宋体" w:cs="Times New Roman"/>
                <w:sz w:val="21"/>
                <w:szCs w:val="21"/>
              </w:rPr>
              <w:t>IV</w:t>
            </w:r>
            <w:bookmarkEnd w:id="4"/>
          </w:p>
        </w:tc>
        <w:tc>
          <w:tcPr>
            <w:tcW w:w="1757" w:type="dxa"/>
            <w:shd w:val="clear" w:color="auto" w:fill="E0E0E0"/>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光气候系数K</w:t>
            </w:r>
          </w:p>
        </w:tc>
        <w:tc>
          <w:tcPr>
            <w:tcW w:w="2066" w:type="dxa"/>
            <w:vAlign w:val="center"/>
          </w:tcPr>
          <w:p>
            <w:pPr>
              <w:rPr>
                <w:rFonts w:hint="default" w:ascii="Times New Roman" w:hAnsi="Times New Roman" w:eastAsia="宋体" w:cs="Times New Roman"/>
                <w:sz w:val="21"/>
                <w:szCs w:val="21"/>
                <w:lang w:val="en-US"/>
              </w:rPr>
            </w:pPr>
            <w:bookmarkStart w:id="5" w:name="光气候系数K"/>
            <w:r>
              <w:rPr>
                <w:rFonts w:hint="default" w:ascii="Times New Roman" w:hAnsi="Times New Roman" w:eastAsia="宋体" w:cs="Times New Roman"/>
                <w:sz w:val="21"/>
                <w:szCs w:val="21"/>
              </w:rPr>
              <w:t>1.10</w:t>
            </w:r>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建筑面积</w:t>
            </w:r>
          </w:p>
        </w:tc>
        <w:tc>
          <w:tcPr>
            <w:tcW w:w="6447" w:type="dxa"/>
            <w:gridSpan w:val="3"/>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 xml:space="preserve">地上  </w:t>
            </w:r>
            <w:bookmarkStart w:id="6" w:name="地上建筑面积"/>
            <w:r>
              <w:rPr>
                <w:rFonts w:hint="default" w:ascii="Times New Roman" w:hAnsi="Times New Roman" w:eastAsia="宋体" w:cs="Times New Roman"/>
                <w:sz w:val="21"/>
                <w:szCs w:val="21"/>
              </w:rPr>
              <w:t>2500.87</w:t>
            </w:r>
            <w:bookmarkEnd w:id="6"/>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rPr>
              <w:t xml:space="preserve">    地下  </w:t>
            </w:r>
            <w:bookmarkStart w:id="7" w:name="地下建筑面积"/>
            <w:r>
              <w:rPr>
                <w:rFonts w:hint="default" w:ascii="Times New Roman" w:hAnsi="Times New Roman" w:eastAsia="宋体" w:cs="Times New Roman"/>
                <w:sz w:val="21"/>
                <w:szCs w:val="21"/>
              </w:rPr>
              <w:t>0.00</w:t>
            </w:r>
            <w:bookmarkEnd w:id="7"/>
            <w:r>
              <w:rPr>
                <w:rFonts w:hint="default" w:ascii="Times New Roman" w:hAnsi="Times New Roman" w:eastAsia="宋体" w:cs="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建筑层数</w:t>
            </w:r>
          </w:p>
        </w:tc>
        <w:tc>
          <w:tcPr>
            <w:tcW w:w="6447" w:type="dxa"/>
            <w:gridSpan w:val="3"/>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 xml:space="preserve">地上  </w:t>
            </w:r>
            <w:bookmarkStart w:id="8" w:name="地上建筑层数"/>
            <w:r>
              <w:rPr>
                <w:rFonts w:hint="default" w:ascii="Times New Roman" w:hAnsi="Times New Roman" w:eastAsia="宋体" w:cs="Times New Roman"/>
                <w:sz w:val="21"/>
                <w:szCs w:val="21"/>
              </w:rPr>
              <w:t>3</w:t>
            </w:r>
            <w:bookmarkEnd w:id="8"/>
            <w:r>
              <w:rPr>
                <w:rFonts w:hint="default" w:ascii="Times New Roman" w:hAnsi="Times New Roman" w:eastAsia="宋体" w:cs="Times New Roman"/>
                <w:sz w:val="21"/>
                <w:szCs w:val="21"/>
                <w:lang w:val="en-US"/>
              </w:rPr>
              <w:t xml:space="preserve">          地下 </w:t>
            </w:r>
            <w:bookmarkStart w:id="9" w:name="地下建筑层数"/>
            <w:r>
              <w:rPr>
                <w:rFonts w:hint="default" w:ascii="Times New Roman" w:hAnsi="Times New Roman" w:eastAsia="宋体" w:cs="Times New Roman"/>
                <w:sz w:val="21"/>
                <w:szCs w:val="21"/>
              </w:rPr>
              <w:t>0</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建筑高度</w:t>
            </w:r>
          </w:p>
        </w:tc>
        <w:tc>
          <w:tcPr>
            <w:tcW w:w="6447" w:type="dxa"/>
            <w:gridSpan w:val="3"/>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 xml:space="preserve">地上 </w:t>
            </w:r>
            <w:bookmarkStart w:id="10" w:name="地上建筑高度"/>
            <w:r>
              <w:rPr>
                <w:rFonts w:hint="default" w:ascii="Times New Roman" w:hAnsi="Times New Roman" w:eastAsia="宋体" w:cs="Times New Roman"/>
                <w:sz w:val="21"/>
                <w:szCs w:val="21"/>
              </w:rPr>
              <w:t>12.90</w:t>
            </w:r>
            <w:bookmarkEnd w:id="10"/>
            <w:r>
              <w:rPr>
                <w:rFonts w:hint="default" w:ascii="Times New Roman" w:hAnsi="Times New Roman" w:eastAsia="宋体" w:cs="Times New Roman"/>
                <w:sz w:val="21"/>
                <w:szCs w:val="21"/>
                <w:lang w:val="en-US"/>
              </w:rPr>
              <w:t xml:space="preserve"> m     地下  </w:t>
            </w:r>
            <w:bookmarkStart w:id="11" w:name="地下建筑高度"/>
            <w:r>
              <w:rPr>
                <w:rFonts w:hint="default" w:ascii="Times New Roman" w:hAnsi="Times New Roman" w:eastAsia="宋体" w:cs="Times New Roman"/>
                <w:sz w:val="21"/>
                <w:szCs w:val="21"/>
              </w:rPr>
              <w:t>0.00</w:t>
            </w:r>
            <w:bookmarkEnd w:id="11"/>
            <w:r>
              <w:rPr>
                <w:rFonts w:hint="default" w:ascii="Times New Roman" w:hAnsi="Times New Roman" w:eastAsia="宋体" w:cs="Times New Roman"/>
                <w:sz w:val="21"/>
                <w:szCs w:val="21"/>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备注</w:t>
            </w:r>
          </w:p>
        </w:tc>
        <w:tc>
          <w:tcPr>
            <w:tcW w:w="6447" w:type="dxa"/>
            <w:gridSpan w:val="3"/>
            <w:vAlign w:val="center"/>
          </w:tcPr>
          <w:p>
            <w:pPr>
              <w:rPr>
                <w:rFonts w:hint="default" w:ascii="Times New Roman" w:hAnsi="Times New Roman" w:eastAsia="宋体" w:cs="Times New Roman"/>
                <w:sz w:val="21"/>
                <w:szCs w:val="21"/>
                <w:lang w:val="en-US"/>
              </w:rPr>
            </w:pPr>
            <w:bookmarkStart w:id="12" w:name="备注"/>
            <w:bookmarkEnd w:id="12"/>
          </w:p>
        </w:tc>
      </w:tr>
    </w:tbl>
    <w:p>
      <w:pPr>
        <w:pStyle w:val="3"/>
        <w:jc w:val="both"/>
        <w:rPr>
          <w:rFonts w:hint="default" w:ascii="Times New Roman" w:hAnsi="Times New Roman" w:eastAsia="宋体" w:cs="Times New Roman"/>
          <w:sz w:val="21"/>
          <w:szCs w:val="21"/>
          <w:lang w:val="en-US"/>
        </w:rPr>
      </w:pPr>
    </w:p>
    <w:p>
      <w:pPr>
        <w:pStyle w:val="2"/>
        <w:rPr>
          <w:rFonts w:hint="default" w:ascii="Times New Roman" w:hAnsi="Times New Roman" w:eastAsia="宋体" w:cs="Times New Roman"/>
          <w:sz w:val="28"/>
          <w:szCs w:val="28"/>
        </w:rPr>
      </w:pPr>
      <w:bookmarkStart w:id="13" w:name="_Toc14657"/>
      <w:r>
        <w:rPr>
          <w:rFonts w:hint="default" w:ascii="Times New Roman" w:hAnsi="Times New Roman" w:eastAsia="宋体" w:cs="Times New Roman"/>
          <w:sz w:val="28"/>
          <w:szCs w:val="28"/>
        </w:rPr>
        <w:t>设计依据</w:t>
      </w:r>
      <w:bookmarkEnd w:id="13"/>
    </w:p>
    <w:p>
      <w:pPr>
        <w:pStyle w:val="3"/>
        <w:numPr>
          <w:ilvl w:val="0"/>
          <w:numId w:val="2"/>
        </w:num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《建筑采光设计标准》  </w:t>
      </w:r>
      <w:bookmarkStart w:id="14" w:name="采光标准"/>
      <w:r>
        <w:rPr>
          <w:rFonts w:hint="default" w:ascii="Times New Roman" w:hAnsi="Times New Roman" w:eastAsia="宋体" w:cs="Times New Roman"/>
          <w:sz w:val="21"/>
          <w:szCs w:val="21"/>
        </w:rPr>
        <w:t>GB50033-2013</w:t>
      </w:r>
      <w:bookmarkEnd w:id="14"/>
    </w:p>
    <w:p>
      <w:pPr>
        <w:pStyle w:val="3"/>
        <w:numPr>
          <w:ilvl w:val="0"/>
          <w:numId w:val="2"/>
        </w:num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《托儿所、幼儿园建筑设计规范》JGJ 39-2016（2019年版）</w:t>
      </w:r>
    </w:p>
    <w:p>
      <w:pPr>
        <w:pStyle w:val="3"/>
        <w:numPr>
          <w:ilvl w:val="0"/>
          <w:numId w:val="2"/>
        </w:num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《民用建筑设计统一标准》 GB 50352-2019</w:t>
      </w:r>
    </w:p>
    <w:p>
      <w:pPr>
        <w:pStyle w:val="3"/>
        <w:numPr>
          <w:ilvl w:val="0"/>
          <w:numId w:val="2"/>
        </w:num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《采光测量方法》GB/T 5699-2017</w:t>
      </w:r>
    </w:p>
    <w:p>
      <w:pPr>
        <w:pStyle w:val="2"/>
        <w:rPr>
          <w:rFonts w:hint="default" w:ascii="Times New Roman" w:hAnsi="Times New Roman" w:eastAsia="宋体" w:cs="Times New Roman"/>
          <w:sz w:val="28"/>
          <w:szCs w:val="28"/>
        </w:rPr>
      </w:pPr>
      <w:bookmarkStart w:id="15" w:name="_Toc15510"/>
      <w:r>
        <w:rPr>
          <w:rFonts w:hint="default" w:ascii="Times New Roman" w:hAnsi="Times New Roman" w:eastAsia="宋体" w:cs="Times New Roman"/>
          <w:sz w:val="28"/>
          <w:szCs w:val="28"/>
        </w:rPr>
        <w:t>计算目的</w:t>
      </w:r>
      <w:bookmarkEnd w:id="15"/>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报告旨在通过采光软件对目标建筑进行采光分析计算，求得建筑内房间的平均采光系数和达标面积比例，从而评价本建筑的采光设计是否符合《建筑采光设计标准》、《托儿所、幼儿园建筑设计规范》和《民用建筑设计统一标准》的要求。</w:t>
      </w:r>
    </w:p>
    <w:p>
      <w:pPr>
        <w:pStyle w:val="2"/>
        <w:rPr>
          <w:rFonts w:hint="default" w:ascii="Times New Roman" w:hAnsi="Times New Roman" w:eastAsia="宋体" w:cs="Times New Roman"/>
          <w:sz w:val="28"/>
          <w:szCs w:val="28"/>
        </w:rPr>
      </w:pPr>
      <w:bookmarkStart w:id="16" w:name="_Toc15476"/>
      <w:r>
        <w:rPr>
          <w:rFonts w:hint="default" w:ascii="Times New Roman" w:hAnsi="Times New Roman" w:eastAsia="宋体" w:cs="Times New Roman"/>
          <w:sz w:val="28"/>
          <w:szCs w:val="28"/>
        </w:rPr>
        <w:t>标准要求</w:t>
      </w:r>
      <w:bookmarkEnd w:id="16"/>
    </w:p>
    <w:p>
      <w:pPr>
        <w:pStyle w:val="3"/>
        <w:spacing w:line="360" w:lineRule="exact"/>
        <w:ind w:firstLine="420"/>
        <w:rPr>
          <w:rFonts w:hint="default" w:ascii="Times New Roman" w:hAnsi="Times New Roman" w:eastAsia="宋体" w:cs="Times New Roman"/>
          <w:kern w:val="2"/>
          <w:sz w:val="21"/>
          <w:szCs w:val="21"/>
          <w:lang w:val="en-US"/>
        </w:rPr>
      </w:pPr>
      <w:r>
        <w:rPr>
          <w:rFonts w:hint="default" w:ascii="Times New Roman" w:hAnsi="Times New Roman" w:eastAsia="宋体" w:cs="Times New Roman"/>
          <w:sz w:val="21"/>
          <w:szCs w:val="21"/>
          <w:lang w:val="en-US"/>
        </w:rPr>
        <w:t>本项目为幼儿园建筑</w:t>
      </w:r>
      <w:r>
        <w:rPr>
          <w:rFonts w:hint="default" w:ascii="Times New Roman" w:hAnsi="Times New Roman" w:eastAsia="宋体" w:cs="Times New Roman"/>
          <w:kern w:val="2"/>
          <w:sz w:val="21"/>
          <w:szCs w:val="21"/>
          <w:lang w:val="en-US"/>
        </w:rPr>
        <w:t>，主要功能房间为活动室、寝室、多功能活动室、办公室、保健观察室和睡眠区、活动区等。</w:t>
      </w:r>
      <w:r>
        <w:rPr>
          <w:rFonts w:hint="default" w:ascii="Times New Roman" w:hAnsi="Times New Roman" w:eastAsia="宋体" w:cs="Times New Roman"/>
          <w:sz w:val="21"/>
          <w:szCs w:val="21"/>
          <w:lang w:val="en-US"/>
        </w:rPr>
        <w:t>《建筑采光设计标准》GB 50033对采光计算方法、采光等级和采光标准值，以及不同光气候分区下的光气候系数K值、室外天然光设计照度值Es值等做了相应规定，《托儿所、幼儿园建筑设计规范》JGJ39对幼儿园主要功能房间的采光系数标准值提出要求，</w:t>
      </w:r>
      <w:r>
        <w:rPr>
          <w:rFonts w:hint="default" w:ascii="Times New Roman" w:hAnsi="Times New Roman" w:eastAsia="宋体" w:cs="Times New Roman"/>
          <w:sz w:val="21"/>
          <w:szCs w:val="21"/>
        </w:rPr>
        <w:t>《民用建筑设计统一标准》GB 50352对幼儿园建筑的采光达标要求做了补充</w:t>
      </w:r>
      <w:r>
        <w:rPr>
          <w:rFonts w:hint="default" w:ascii="Times New Roman" w:hAnsi="Times New Roman" w:eastAsia="宋体" w:cs="Times New Roman"/>
          <w:sz w:val="21"/>
          <w:szCs w:val="21"/>
          <w:lang w:val="en-US"/>
        </w:rPr>
        <w:t>。</w:t>
      </w:r>
    </w:p>
    <w:p>
      <w:pPr>
        <w:pStyle w:val="13"/>
        <w:numPr>
          <w:ilvl w:val="0"/>
          <w:numId w:val="3"/>
        </w:numPr>
        <w:spacing w:line="420" w:lineRule="auto"/>
        <w:ind w:firstLineChars="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《建筑采光设计标准》GB50033-2013关键条文</w:t>
      </w:r>
    </w:p>
    <w:p>
      <w:pPr>
        <w:pStyle w:val="13"/>
        <w:spacing w:before="156" w:beforeLines="50" w:line="360" w:lineRule="exact"/>
        <w:ind w:left="482" w:firstLine="0" w:firstLineChars="0"/>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3.0.4</w:t>
      </w:r>
      <w:r>
        <w:rPr>
          <w:rFonts w:hint="default" w:ascii="Times New Roman" w:hAnsi="Times New Roman" w:eastAsia="宋体" w:cs="Times New Roman"/>
          <w:sz w:val="21"/>
          <w:szCs w:val="21"/>
        </w:rPr>
        <w:t xml:space="preserve">  光气候分区应按本标准附录A确定。各光气候区的室外天然光设计照度值应按表3.0.4采用。所在地区的采光系数标准值应乘以相应地区的光气候系数K。</w:t>
      </w:r>
    </w:p>
    <w:p>
      <w:pPr>
        <w:spacing w:line="360" w:lineRule="auto"/>
        <w:rPr>
          <w:rFonts w:hint="default" w:ascii="Times New Roman" w:hAnsi="Times New Roman" w:eastAsia="宋体" w:cs="Times New Roman"/>
          <w:kern w:val="2"/>
          <w:sz w:val="21"/>
          <w:szCs w:val="21"/>
          <w:lang w:val="en-US"/>
        </w:rPr>
      </w:pPr>
      <w:r>
        <w:rPr>
          <w:rFonts w:hint="default" w:ascii="Times New Roman" w:hAnsi="Times New Roman" w:eastAsia="宋体" w:cs="Times New Roman"/>
          <w:kern w:val="2"/>
          <w:sz w:val="21"/>
          <w:szCs w:val="21"/>
          <w:lang w:val="en-US"/>
        </w:rPr>
        <w:t>表3.0.4  光气候系数K值</w:t>
      </w:r>
    </w:p>
    <w:tbl>
      <w:tblPr>
        <w:tblStyle w:val="19"/>
        <w:tblW w:w="900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42"/>
        <w:gridCol w:w="1213"/>
        <w:gridCol w:w="1213"/>
        <w:gridCol w:w="1213"/>
        <w:gridCol w:w="1213"/>
        <w:gridCol w:w="12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942"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光气候区</w:t>
            </w:r>
          </w:p>
        </w:tc>
        <w:tc>
          <w:tcPr>
            <w:tcW w:w="1213"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Ⅰ</w:t>
            </w:r>
          </w:p>
        </w:tc>
        <w:tc>
          <w:tcPr>
            <w:tcW w:w="1213"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Ⅱ</w:t>
            </w:r>
          </w:p>
        </w:tc>
        <w:tc>
          <w:tcPr>
            <w:tcW w:w="1213"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Ⅲ</w:t>
            </w:r>
          </w:p>
        </w:tc>
        <w:tc>
          <w:tcPr>
            <w:tcW w:w="1213"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Ⅳ</w:t>
            </w:r>
          </w:p>
        </w:tc>
        <w:tc>
          <w:tcPr>
            <w:tcW w:w="1214"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942"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K值</w:t>
            </w:r>
          </w:p>
        </w:tc>
        <w:tc>
          <w:tcPr>
            <w:tcW w:w="1213"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0.85</w:t>
            </w:r>
          </w:p>
        </w:tc>
        <w:tc>
          <w:tcPr>
            <w:tcW w:w="1213"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0.90</w:t>
            </w:r>
          </w:p>
        </w:tc>
        <w:tc>
          <w:tcPr>
            <w:tcW w:w="1213"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1.00</w:t>
            </w:r>
          </w:p>
        </w:tc>
        <w:tc>
          <w:tcPr>
            <w:tcW w:w="1213"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1.10</w:t>
            </w:r>
          </w:p>
        </w:tc>
        <w:tc>
          <w:tcPr>
            <w:tcW w:w="1214"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942" w:type="dxa"/>
            <w:vAlign w:val="center"/>
          </w:tcPr>
          <w:p>
            <w:pPr>
              <w:widowControl w:val="0"/>
              <w:spacing w:line="276" w:lineRule="auto"/>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室外天然光设计照度值E</w:t>
            </w:r>
            <w:r>
              <w:rPr>
                <w:rFonts w:hint="default" w:ascii="Times New Roman" w:hAnsi="Times New Roman" w:eastAsia="宋体" w:cs="Times New Roman"/>
                <w:sz w:val="21"/>
                <w:szCs w:val="21"/>
                <w:vertAlign w:val="subscript"/>
              </w:rPr>
              <w:t xml:space="preserve">s </w:t>
            </w:r>
            <w:r>
              <w:rPr>
                <w:rFonts w:hint="default" w:ascii="Times New Roman" w:hAnsi="Times New Roman" w:eastAsia="宋体" w:cs="Times New Roman"/>
                <w:sz w:val="21"/>
                <w:szCs w:val="21"/>
              </w:rPr>
              <w:t>（lx）</w:t>
            </w:r>
          </w:p>
        </w:tc>
        <w:tc>
          <w:tcPr>
            <w:tcW w:w="1213" w:type="dxa"/>
            <w:vAlign w:val="center"/>
          </w:tcPr>
          <w:p>
            <w:pPr>
              <w:widowControl w:val="0"/>
              <w:spacing w:line="276" w:lineRule="auto"/>
              <w:ind w:firstLine="105" w:firstLineChars="50"/>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18000</w:t>
            </w:r>
          </w:p>
        </w:tc>
        <w:tc>
          <w:tcPr>
            <w:tcW w:w="1213" w:type="dxa"/>
            <w:vAlign w:val="center"/>
          </w:tcPr>
          <w:p>
            <w:pPr>
              <w:widowControl w:val="0"/>
              <w:spacing w:line="276" w:lineRule="auto"/>
              <w:ind w:firstLine="105" w:firstLineChars="50"/>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16500</w:t>
            </w:r>
          </w:p>
        </w:tc>
        <w:tc>
          <w:tcPr>
            <w:tcW w:w="1213" w:type="dxa"/>
            <w:vAlign w:val="center"/>
          </w:tcPr>
          <w:p>
            <w:pPr>
              <w:widowControl w:val="0"/>
              <w:spacing w:line="276" w:lineRule="auto"/>
              <w:ind w:firstLine="105" w:firstLineChars="50"/>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15000</w:t>
            </w:r>
          </w:p>
        </w:tc>
        <w:tc>
          <w:tcPr>
            <w:tcW w:w="1213" w:type="dxa"/>
            <w:vAlign w:val="center"/>
          </w:tcPr>
          <w:p>
            <w:pPr>
              <w:widowControl w:val="0"/>
              <w:spacing w:line="276" w:lineRule="auto"/>
              <w:ind w:firstLine="105" w:firstLineChars="50"/>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13500</w:t>
            </w:r>
          </w:p>
        </w:tc>
        <w:tc>
          <w:tcPr>
            <w:tcW w:w="1214" w:type="dxa"/>
            <w:vAlign w:val="center"/>
          </w:tcPr>
          <w:p>
            <w:pPr>
              <w:widowControl w:val="0"/>
              <w:spacing w:line="276" w:lineRule="auto"/>
              <w:ind w:firstLine="105" w:firstLineChars="50"/>
              <w:rPr>
                <w:rFonts w:hint="default" w:ascii="Times New Roman" w:hAnsi="Times New Roman" w:eastAsia="宋体" w:cs="Times New Roman"/>
                <w:kern w:val="2"/>
                <w:sz w:val="21"/>
                <w:szCs w:val="21"/>
              </w:rPr>
            </w:pPr>
            <w:r>
              <w:rPr>
                <w:rFonts w:hint="default" w:ascii="Times New Roman" w:hAnsi="Times New Roman" w:eastAsia="宋体" w:cs="Times New Roman"/>
                <w:sz w:val="21"/>
                <w:szCs w:val="21"/>
              </w:rPr>
              <w:t>12000</w:t>
            </w:r>
          </w:p>
        </w:tc>
      </w:tr>
    </w:tbl>
    <w:p>
      <w:pPr>
        <w:pStyle w:val="13"/>
        <w:numPr>
          <w:ilvl w:val="0"/>
          <w:numId w:val="3"/>
        </w:numPr>
        <w:spacing w:before="156" w:beforeLines="50" w:line="420" w:lineRule="auto"/>
        <w:ind w:firstLineChars="0"/>
        <w:rPr>
          <w:rFonts w:hint="default" w:ascii="Times New Roman" w:hAnsi="Times New Roman" w:eastAsia="宋体" w:cs="Times New Roman"/>
          <w:b/>
          <w:sz w:val="21"/>
          <w:szCs w:val="21"/>
        </w:rPr>
      </w:pPr>
      <w:bookmarkStart w:id="17" w:name="_Toc275165382"/>
      <w:bookmarkStart w:id="18" w:name="_Toc264043625"/>
      <w:bookmarkStart w:id="19" w:name="_Toc264569232"/>
      <w:bookmarkStart w:id="20" w:name="_Toc312399791"/>
      <w:bookmarkStart w:id="21" w:name="_Toc290209312"/>
      <w:bookmarkStart w:id="22" w:name="_Toc290149054"/>
      <w:bookmarkStart w:id="23" w:name="_Toc290209336"/>
      <w:r>
        <w:rPr>
          <w:rFonts w:hint="default" w:ascii="Times New Roman" w:hAnsi="Times New Roman" w:eastAsia="宋体" w:cs="Times New Roman"/>
          <w:b/>
          <w:sz w:val="21"/>
          <w:szCs w:val="21"/>
        </w:rPr>
        <w:t>《托儿所、幼儿园建筑设计规范》JGJ39-2016（2019年版）相关条文</w:t>
      </w:r>
    </w:p>
    <w:p>
      <w:pPr>
        <w:pStyle w:val="13"/>
        <w:spacing w:line="360" w:lineRule="exact"/>
        <w:ind w:left="482" w:firstLine="0" w:firstLineChars="0"/>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5.1.1</w:t>
      </w:r>
      <w:r>
        <w:rPr>
          <w:rFonts w:hint="default" w:ascii="Times New Roman" w:hAnsi="Times New Roman" w:eastAsia="宋体" w:cs="Times New Roman"/>
          <w:sz w:val="21"/>
          <w:szCs w:val="21"/>
        </w:rPr>
        <w:t xml:space="preserve">  托儿所、幼儿园的生活用房、服务管理用房和供应用房中的厨房等均应有直接天然采光，其采光系数标准值和窗地面积比应符合表 5.1.1 的规定。</w:t>
      </w:r>
    </w:p>
    <w:p>
      <w:pPr>
        <w:spacing w:line="42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表5.1.1  采光系数准值与窗地面积比</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01"/>
        <w:gridCol w:w="2235"/>
        <w:gridCol w:w="2568"/>
        <w:gridCol w:w="28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201"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采光等级</w:t>
            </w:r>
          </w:p>
        </w:tc>
        <w:tc>
          <w:tcPr>
            <w:tcW w:w="2235"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场所名称</w:t>
            </w:r>
          </w:p>
        </w:tc>
        <w:tc>
          <w:tcPr>
            <w:tcW w:w="2568"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采光系数最低值（%）</w:t>
            </w:r>
          </w:p>
        </w:tc>
        <w:tc>
          <w:tcPr>
            <w:tcW w:w="2884"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窗地面积比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1201" w:type="dxa"/>
            <w:vMerge w:val="restart"/>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Ⅲ</w:t>
            </w:r>
          </w:p>
        </w:tc>
        <w:tc>
          <w:tcPr>
            <w:tcW w:w="2235" w:type="dxa"/>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活动室、寝室</w:t>
            </w:r>
          </w:p>
        </w:tc>
        <w:tc>
          <w:tcPr>
            <w:tcW w:w="2568"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w:t>
            </w:r>
          </w:p>
        </w:tc>
        <w:tc>
          <w:tcPr>
            <w:tcW w:w="2884"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1201" w:type="dxa"/>
            <w:vMerge w:val="continue"/>
            <w:vAlign w:val="center"/>
          </w:tcPr>
          <w:p>
            <w:pPr>
              <w:spacing w:line="276" w:lineRule="auto"/>
              <w:rPr>
                <w:rFonts w:hint="default" w:ascii="Times New Roman" w:hAnsi="Times New Roman" w:eastAsia="宋体" w:cs="Times New Roman"/>
                <w:sz w:val="21"/>
                <w:szCs w:val="21"/>
              </w:rPr>
            </w:pPr>
          </w:p>
        </w:tc>
        <w:tc>
          <w:tcPr>
            <w:tcW w:w="2235" w:type="dxa"/>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多功能活动室</w:t>
            </w:r>
          </w:p>
        </w:tc>
        <w:tc>
          <w:tcPr>
            <w:tcW w:w="2568"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w:t>
            </w:r>
          </w:p>
        </w:tc>
        <w:tc>
          <w:tcPr>
            <w:tcW w:w="2884"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1201" w:type="dxa"/>
            <w:vMerge w:val="continue"/>
            <w:vAlign w:val="center"/>
          </w:tcPr>
          <w:p>
            <w:pPr>
              <w:spacing w:line="276" w:lineRule="auto"/>
              <w:rPr>
                <w:rFonts w:hint="default" w:ascii="Times New Roman" w:hAnsi="Times New Roman" w:eastAsia="宋体" w:cs="Times New Roman"/>
                <w:sz w:val="21"/>
                <w:szCs w:val="21"/>
              </w:rPr>
            </w:pPr>
          </w:p>
        </w:tc>
        <w:tc>
          <w:tcPr>
            <w:tcW w:w="2235" w:type="dxa"/>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办公室、保健观察室</w:t>
            </w:r>
          </w:p>
        </w:tc>
        <w:tc>
          <w:tcPr>
            <w:tcW w:w="2568"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w:t>
            </w:r>
          </w:p>
        </w:tc>
        <w:tc>
          <w:tcPr>
            <w:tcW w:w="2884"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1201" w:type="dxa"/>
            <w:vMerge w:val="continue"/>
            <w:vAlign w:val="center"/>
          </w:tcPr>
          <w:p>
            <w:pPr>
              <w:spacing w:line="276" w:lineRule="auto"/>
              <w:rPr>
                <w:rFonts w:hint="default" w:ascii="Times New Roman" w:hAnsi="Times New Roman" w:eastAsia="宋体" w:cs="Times New Roman"/>
                <w:sz w:val="21"/>
                <w:szCs w:val="21"/>
              </w:rPr>
            </w:pPr>
          </w:p>
        </w:tc>
        <w:tc>
          <w:tcPr>
            <w:tcW w:w="2235" w:type="dxa"/>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睡眠区、活动区</w:t>
            </w:r>
          </w:p>
        </w:tc>
        <w:tc>
          <w:tcPr>
            <w:tcW w:w="2568"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w:t>
            </w:r>
          </w:p>
        </w:tc>
        <w:tc>
          <w:tcPr>
            <w:tcW w:w="2884"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1201" w:type="dxa"/>
            <w:vMerge w:val="restart"/>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Ⅴ</w:t>
            </w:r>
          </w:p>
        </w:tc>
        <w:tc>
          <w:tcPr>
            <w:tcW w:w="2235" w:type="dxa"/>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tcW w:w="2568"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c>
          <w:tcPr>
            <w:tcW w:w="2884"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exact"/>
          <w:jc w:val="center"/>
        </w:trPr>
        <w:tc>
          <w:tcPr>
            <w:tcW w:w="1201" w:type="dxa"/>
            <w:vMerge w:val="continue"/>
            <w:vAlign w:val="center"/>
          </w:tcPr>
          <w:p>
            <w:pPr>
              <w:spacing w:line="276" w:lineRule="auto"/>
              <w:rPr>
                <w:rFonts w:hint="default" w:ascii="Times New Roman" w:hAnsi="Times New Roman" w:eastAsia="宋体" w:cs="Times New Roman"/>
                <w:sz w:val="21"/>
                <w:szCs w:val="21"/>
              </w:rPr>
            </w:pPr>
          </w:p>
        </w:tc>
        <w:tc>
          <w:tcPr>
            <w:tcW w:w="2235" w:type="dxa"/>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楼梯间、走廊</w:t>
            </w:r>
          </w:p>
        </w:tc>
        <w:tc>
          <w:tcPr>
            <w:tcW w:w="2568"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p>
            <w:pPr>
              <w:spacing w:line="276" w:lineRule="auto"/>
              <w:rPr>
                <w:rFonts w:hint="default" w:ascii="Times New Roman" w:hAnsi="Times New Roman" w:eastAsia="宋体" w:cs="Times New Roman"/>
                <w:sz w:val="21"/>
                <w:szCs w:val="21"/>
              </w:rPr>
            </w:pPr>
          </w:p>
          <w:p>
            <w:pPr>
              <w:spacing w:line="276" w:lineRule="auto"/>
              <w:rPr>
                <w:rFonts w:hint="default" w:ascii="Times New Roman" w:hAnsi="Times New Roman" w:eastAsia="宋体" w:cs="Times New Roman"/>
                <w:sz w:val="21"/>
                <w:szCs w:val="21"/>
              </w:rPr>
            </w:pPr>
          </w:p>
          <w:p>
            <w:pPr>
              <w:spacing w:line="276" w:lineRule="auto"/>
              <w:rPr>
                <w:rFonts w:hint="default" w:ascii="Times New Roman" w:hAnsi="Times New Roman" w:eastAsia="宋体" w:cs="Times New Roman"/>
                <w:sz w:val="21"/>
                <w:szCs w:val="21"/>
              </w:rPr>
            </w:pPr>
          </w:p>
          <w:p>
            <w:pPr>
              <w:spacing w:line="276" w:lineRule="auto"/>
              <w:rPr>
                <w:rFonts w:hint="default" w:ascii="Times New Roman" w:hAnsi="Times New Roman" w:eastAsia="宋体" w:cs="Times New Roman"/>
                <w:sz w:val="21"/>
                <w:szCs w:val="21"/>
              </w:rPr>
            </w:pPr>
          </w:p>
        </w:tc>
        <w:tc>
          <w:tcPr>
            <w:tcW w:w="2884" w:type="dxa"/>
            <w:vAlign w:val="center"/>
          </w:tcPr>
          <w:p>
            <w:pPr>
              <w:widowControl w:val="0"/>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r>
    </w:tbl>
    <w:p>
      <w:pPr>
        <w:pStyle w:val="13"/>
        <w:numPr>
          <w:ilvl w:val="0"/>
          <w:numId w:val="3"/>
        </w:numPr>
        <w:spacing w:before="156" w:beforeLines="50" w:line="420" w:lineRule="auto"/>
        <w:ind w:firstLineChars="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《民用建筑设计统一标准》GB50352-2019相关条文</w:t>
      </w:r>
    </w:p>
    <w:p>
      <w:pPr>
        <w:widowControl w:val="0"/>
        <w:autoSpaceDE w:val="0"/>
        <w:autoSpaceDN w:val="0"/>
        <w:adjustRightInd w:val="0"/>
        <w:spacing w:line="400" w:lineRule="exact"/>
        <w:ind w:left="482"/>
        <w:jc w:val="both"/>
        <w:rPr>
          <w:rFonts w:hint="default" w:ascii="Times New Roman" w:hAnsi="Times New Roman" w:eastAsia="宋体" w:cs="Times New Roman"/>
          <w:kern w:val="2"/>
          <w:sz w:val="21"/>
          <w:szCs w:val="21"/>
          <w:lang w:val="en-US"/>
        </w:rPr>
      </w:pPr>
      <w:r>
        <w:rPr>
          <w:rFonts w:hint="default" w:ascii="Times New Roman" w:hAnsi="Times New Roman" w:eastAsia="宋体" w:cs="Times New Roman"/>
          <w:b/>
          <w:bCs/>
          <w:kern w:val="2"/>
          <w:sz w:val="21"/>
          <w:szCs w:val="21"/>
          <w:lang w:val="en-US"/>
        </w:rPr>
        <w:t>7.1.2</w:t>
      </w:r>
      <w:r>
        <w:rPr>
          <w:rFonts w:hint="default" w:ascii="Times New Roman" w:hAnsi="Times New Roman" w:eastAsia="宋体" w:cs="Times New Roman"/>
          <w:kern w:val="2"/>
          <w:sz w:val="21"/>
          <w:szCs w:val="21"/>
          <w:lang w:val="en-US"/>
        </w:rPr>
        <w:t xml:space="preserve"> ……幼儿园的主要功能房间应有不小于</w:t>
      </w:r>
      <w:bookmarkStart w:id="24" w:name="达标率要求"/>
      <w:r>
        <w:rPr>
          <w:rFonts w:hint="default" w:ascii="Times New Roman" w:hAnsi="Times New Roman" w:eastAsia="宋体" w:cs="Times New Roman"/>
          <w:kern w:val="2"/>
          <w:sz w:val="21"/>
          <w:szCs w:val="21"/>
          <w:lang w:val="en-US"/>
        </w:rPr>
        <w:t>75%</w:t>
      </w:r>
      <w:bookmarkEnd w:id="24"/>
      <w:r>
        <w:rPr>
          <w:rFonts w:hint="default" w:ascii="Times New Roman" w:hAnsi="Times New Roman" w:eastAsia="宋体" w:cs="Times New Roman"/>
          <w:kern w:val="2"/>
          <w:sz w:val="21"/>
          <w:szCs w:val="21"/>
          <w:lang w:val="en-US"/>
        </w:rPr>
        <w:t>的面积满足采光系数标准要求。</w:t>
      </w:r>
    </w:p>
    <w:p>
      <w:pPr>
        <w:pStyle w:val="2"/>
        <w:rPr>
          <w:rFonts w:hint="default" w:ascii="Times New Roman" w:hAnsi="Times New Roman" w:eastAsia="宋体" w:cs="Times New Roman"/>
          <w:sz w:val="28"/>
          <w:szCs w:val="28"/>
        </w:rPr>
      </w:pPr>
      <w:bookmarkStart w:id="25" w:name="_Toc22645"/>
      <w:r>
        <w:rPr>
          <w:rFonts w:hint="default" w:ascii="Times New Roman" w:hAnsi="Times New Roman" w:eastAsia="宋体" w:cs="Times New Roman"/>
          <w:sz w:val="28"/>
          <w:szCs w:val="28"/>
        </w:rPr>
        <w:t>采光分析概述</w:t>
      </w:r>
      <w:bookmarkEnd w:id="17"/>
      <w:bookmarkEnd w:id="18"/>
      <w:bookmarkEnd w:id="19"/>
      <w:bookmarkEnd w:id="20"/>
      <w:bookmarkEnd w:id="21"/>
      <w:bookmarkEnd w:id="22"/>
      <w:bookmarkEnd w:id="23"/>
      <w:bookmarkEnd w:id="25"/>
    </w:p>
    <w:p>
      <w:pPr>
        <w:pStyle w:val="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4"/>
        <w:spacing w:after="120"/>
        <w:rPr>
          <w:rFonts w:hint="default" w:ascii="Times New Roman" w:hAnsi="Times New Roman" w:eastAsia="宋体" w:cs="Times New Roman"/>
          <w:sz w:val="21"/>
          <w:szCs w:val="21"/>
        </w:rPr>
      </w:pPr>
      <w:bookmarkStart w:id="26" w:name="_Toc17941"/>
      <w:r>
        <w:rPr>
          <w:rFonts w:hint="default" w:ascii="Times New Roman" w:hAnsi="Times New Roman" w:eastAsia="宋体" w:cs="Times New Roman"/>
          <w:sz w:val="21"/>
          <w:szCs w:val="21"/>
        </w:rPr>
        <w:t>基本原理</w:t>
      </w:r>
      <w:bookmarkEnd w:id="26"/>
    </w:p>
    <w:p>
      <w:pPr>
        <w:pStyle w:val="13"/>
        <w:spacing w:line="360" w:lineRule="auto"/>
        <w:ind w:firstLine="42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《建筑采光设计标准》GB 50033-2013以采光系数平均值作为采光设计的关键性评价指标。</w:t>
      </w:r>
    </w:p>
    <w:p>
      <w:pPr>
        <w:pStyle w:val="13"/>
        <w:spacing w:before="156" w:beforeLines="50" w:after="156" w:afterLines="50" w:line="360" w:lineRule="exact"/>
        <w:ind w:left="448" w:firstLine="0" w:firstLineChars="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 采光系数</w:t>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在室内参考平上的一点，由直接或间接地接收来自假定和已知天空亮度分布的天空漫射光而产生的照度与同一时刻该天空半球在室外无遮挡水平面上产生的天空漫射光照度之比。</w:t>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室内某一点的采光系数C，计算公式为：</w:t>
      </w:r>
    </w:p>
    <w:p>
      <w:pPr>
        <w:pStyle w:val="13"/>
        <w:spacing w:line="360" w:lineRule="auto"/>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式中:  En—室内照度，lx；</w:t>
      </w:r>
    </w:p>
    <w:p>
      <w:pPr>
        <w:pStyle w:val="13"/>
        <w:spacing w:line="360" w:lineRule="exact"/>
        <w:ind w:firstLine="1155" w:firstLineChars="5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Ew—室外照度，lx。</w:t>
      </w:r>
    </w:p>
    <w:p>
      <w:pPr>
        <w:pStyle w:val="13"/>
        <w:spacing w:before="156" w:beforeLines="50" w:after="156" w:afterLines="50" w:line="360" w:lineRule="exact"/>
        <w:ind w:firstLine="426" w:firstLineChars="0"/>
        <w:rPr>
          <w:rFonts w:hint="default" w:ascii="Times New Roman" w:hAnsi="Times New Roman" w:eastAsia="宋体" w:cs="Times New Roman"/>
          <w:b/>
          <w:sz w:val="21"/>
          <w:szCs w:val="21"/>
        </w:rPr>
      </w:pPr>
      <w:bookmarkStart w:id="27" w:name="_Toc264043630"/>
      <w:bookmarkStart w:id="28" w:name="_Toc290209317"/>
      <w:bookmarkStart w:id="29" w:name="_Toc290209341"/>
      <w:bookmarkStart w:id="30" w:name="_Toc275165387"/>
      <w:bookmarkStart w:id="31" w:name="_Toc312399796"/>
      <w:bookmarkStart w:id="32" w:name="_Toc264569237"/>
      <w:bookmarkStart w:id="33" w:name="_Toc290149059"/>
      <w:r>
        <w:rPr>
          <w:rFonts w:hint="default" w:ascii="Times New Roman" w:hAnsi="Times New Roman" w:eastAsia="宋体" w:cs="Times New Roman"/>
          <w:b/>
          <w:sz w:val="21"/>
          <w:szCs w:val="21"/>
        </w:rPr>
        <w:t>2. 平均采光系数</w:t>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通常按单个房间计算平均采光系数，即房间内划分网格上各个交点上的采光系数算术平均值。</w:t>
      </w:r>
    </w:p>
    <w:p>
      <w:pPr>
        <w:pStyle w:val="13"/>
        <w:spacing w:line="360" w:lineRule="auto"/>
        <w:ind w:firstLine="42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3. 采光系数标准值</w:t>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pPr>
        <w:pStyle w:val="4"/>
        <w:rPr>
          <w:rFonts w:hint="default" w:ascii="Times New Roman" w:hAnsi="Times New Roman" w:eastAsia="宋体" w:cs="Times New Roman"/>
          <w:sz w:val="21"/>
          <w:szCs w:val="21"/>
        </w:rPr>
      </w:pPr>
      <w:bookmarkStart w:id="34" w:name="_Toc15105"/>
      <w:r>
        <w:rPr>
          <w:rFonts w:hint="default" w:ascii="Times New Roman" w:hAnsi="Times New Roman" w:eastAsia="宋体" w:cs="Times New Roman"/>
          <w:sz w:val="21"/>
          <w:szCs w:val="21"/>
        </w:rPr>
        <w:t>分析软件</w:t>
      </w:r>
      <w:bookmarkEnd w:id="27"/>
      <w:bookmarkEnd w:id="28"/>
      <w:bookmarkEnd w:id="29"/>
      <w:bookmarkEnd w:id="30"/>
      <w:bookmarkEnd w:id="31"/>
      <w:bookmarkEnd w:id="32"/>
      <w:bookmarkEnd w:id="33"/>
      <w:bookmarkEnd w:id="34"/>
    </w:p>
    <w:p>
      <w:pPr>
        <w:pStyle w:val="13"/>
        <w:spacing w:line="360" w:lineRule="exact"/>
        <w:ind w:firstLine="420"/>
        <w:rPr>
          <w:rFonts w:hint="default" w:ascii="Times New Roman" w:hAnsi="Times New Roman" w:eastAsia="宋体" w:cs="Times New Roman"/>
          <w:sz w:val="21"/>
          <w:szCs w:val="21"/>
        </w:rPr>
      </w:pPr>
      <w:bookmarkStart w:id="35" w:name="_Toc470102443"/>
      <w:r>
        <w:rPr>
          <w:rFonts w:hint="default" w:ascii="Times New Roman" w:hAnsi="Times New Roman" w:eastAsia="宋体" w:cs="Times New Roman"/>
          <w:sz w:val="21"/>
          <w:szCs w:val="21"/>
        </w:rPr>
        <w:t>本报告采用绿建斯维尔采光分析软件Dali进行模拟分析。Dali是国内首款与国标《建筑采光设计标准》GB 50033-2013配套的软件，同时也支持《绿色建筑评价标准》的采光指标要求，可对达标率、地下采光、内区采光、视野率、眩光指数等进行快速分析，并根据不同需求生成分析报告书。软件以国际上广泛认可的Radiance为计算核心。</w:t>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p>
    <w:p>
      <w:pPr>
        <w:pStyle w:val="4"/>
        <w:rPr>
          <w:rFonts w:hint="default" w:ascii="Times New Roman" w:hAnsi="Times New Roman" w:eastAsia="宋体" w:cs="Times New Roman"/>
          <w:sz w:val="21"/>
          <w:szCs w:val="21"/>
        </w:rPr>
      </w:pPr>
      <w:bookmarkStart w:id="36" w:name="_Toc23236"/>
      <w:r>
        <w:rPr>
          <w:rFonts w:hint="default" w:ascii="Times New Roman" w:hAnsi="Times New Roman" w:eastAsia="宋体" w:cs="Times New Roman"/>
          <w:sz w:val="21"/>
          <w:szCs w:val="21"/>
        </w:rPr>
        <w:t>计算方法</w:t>
      </w:r>
      <w:bookmarkEnd w:id="35"/>
      <w:bookmarkEnd w:id="36"/>
    </w:p>
    <w:p>
      <w:pPr>
        <w:pStyle w:val="3"/>
        <w:spacing w:line="360" w:lineRule="exact"/>
        <w:ind w:firstLine="420"/>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《建筑采光设计标准》GB50033-2013第6.0.3条明确指出，对于采光形式复杂的建筑，应利用计算机模拟软件或缩尺模型进行采光计算分析。本项目采用</w:t>
      </w:r>
      <w:r>
        <w:rPr>
          <w:rFonts w:hint="default" w:ascii="Times New Roman" w:hAnsi="Times New Roman" w:eastAsia="宋体" w:cs="Times New Roman"/>
          <w:b/>
          <w:sz w:val="21"/>
          <w:szCs w:val="21"/>
        </w:rPr>
        <w:t>模拟法</w:t>
      </w:r>
      <w:r>
        <w:rPr>
          <w:rFonts w:hint="default" w:ascii="Times New Roman" w:hAnsi="Times New Roman" w:eastAsia="宋体" w:cs="Times New Roman"/>
          <w:sz w:val="21"/>
          <w:szCs w:val="21"/>
        </w:rPr>
        <w:t>计算采光系数，用以分析各功能房间（场所）的采光品质和状况。</w:t>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Dali中，模拟法就是调用计算工具Radiance进行采光模拟计算，最后将计算结果返回到Dali进行处理分析，这是最真实、最常用的方法。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pPr>
        <w:pStyle w:val="13"/>
        <w:spacing w:line="36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pPr>
        <w:pStyle w:val="3"/>
        <w:ind w:firstLine="42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图5.3 模拟值与理论计算的关系</w:t>
      </w:r>
    </w:p>
    <w:p>
      <w:pPr>
        <w:pStyle w:val="13"/>
        <w:spacing w:line="360" w:lineRule="exact"/>
        <w:ind w:firstLine="42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过大量的计算和软件模拟对比，Radiance软件模拟出的数值与理论计算的结果均离散在归纳函数附近，说明Radiance软件可以提供高精确度的结果。国际上采光标准制定与论文基本上都采用Radiance进行模拟，国际上大部分商用采光分析软件也都基于Radiance程序内核开发，该程序的分析计算结果受到广泛认可。</w:t>
      </w:r>
    </w:p>
    <w:p>
      <w:pPr>
        <w:pStyle w:val="2"/>
        <w:rPr>
          <w:rFonts w:hint="default" w:ascii="Times New Roman" w:hAnsi="Times New Roman" w:eastAsia="宋体" w:cs="Times New Roman"/>
          <w:sz w:val="28"/>
          <w:szCs w:val="28"/>
        </w:rPr>
      </w:pPr>
      <w:bookmarkStart w:id="37" w:name="_Toc6163"/>
      <w:r>
        <w:rPr>
          <w:rFonts w:hint="default" w:ascii="Times New Roman" w:hAnsi="Times New Roman" w:eastAsia="宋体" w:cs="Times New Roman"/>
          <w:sz w:val="28"/>
          <w:szCs w:val="28"/>
        </w:rPr>
        <w:t>采光计算参数取值</w:t>
      </w:r>
      <w:bookmarkEnd w:id="37"/>
    </w:p>
    <w:p>
      <w:pPr>
        <w:pStyle w:val="4"/>
        <w:rPr>
          <w:rFonts w:hint="default" w:ascii="Times New Roman" w:hAnsi="Times New Roman" w:eastAsia="宋体" w:cs="Times New Roman"/>
          <w:sz w:val="21"/>
          <w:szCs w:val="21"/>
        </w:rPr>
      </w:pPr>
      <w:bookmarkStart w:id="38" w:name="_Toc312399795"/>
      <w:bookmarkStart w:id="39" w:name="_Toc290209340"/>
      <w:bookmarkStart w:id="40" w:name="_Toc275165386"/>
      <w:bookmarkStart w:id="41" w:name="_Toc290149058"/>
      <w:bookmarkStart w:id="42" w:name="_Toc264043629"/>
      <w:bookmarkStart w:id="43" w:name="_Toc264569236"/>
      <w:bookmarkStart w:id="44" w:name="_Toc290209316"/>
      <w:bookmarkStart w:id="45" w:name="_Toc464"/>
      <w:r>
        <w:rPr>
          <w:rFonts w:hint="default" w:ascii="Times New Roman" w:hAnsi="Times New Roman" w:eastAsia="宋体" w:cs="Times New Roman"/>
          <w:sz w:val="21"/>
          <w:szCs w:val="21"/>
        </w:rPr>
        <w:t>模拟</w:t>
      </w:r>
      <w:bookmarkEnd w:id="38"/>
      <w:bookmarkEnd w:id="39"/>
      <w:bookmarkEnd w:id="40"/>
      <w:bookmarkEnd w:id="41"/>
      <w:bookmarkEnd w:id="42"/>
      <w:bookmarkEnd w:id="43"/>
      <w:bookmarkEnd w:id="44"/>
      <w:r>
        <w:rPr>
          <w:rFonts w:hint="default" w:ascii="Times New Roman" w:hAnsi="Times New Roman" w:eastAsia="宋体" w:cs="Times New Roman"/>
          <w:sz w:val="21"/>
          <w:szCs w:val="21"/>
        </w:rPr>
        <w:t>分析条件说明</w:t>
      </w:r>
      <w:bookmarkEnd w:id="45"/>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天空模型</w:t>
      </w:r>
      <w:r>
        <w:rPr>
          <w:rFonts w:hint="default" w:ascii="Times New Roman" w:hAnsi="Times New Roman" w:eastAsia="宋体" w:cs="Times New Roman"/>
          <w:sz w:val="21"/>
          <w:szCs w:val="21"/>
        </w:rPr>
        <w:t>：CIE全阴天天空；</w:t>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计算光线反射次数</w:t>
      </w:r>
      <w:r>
        <w:rPr>
          <w:rFonts w:hint="default" w:ascii="Times New Roman" w:hAnsi="Times New Roman" w:eastAsia="宋体" w:cs="Times New Roman"/>
          <w:sz w:val="21"/>
          <w:szCs w:val="21"/>
        </w:rPr>
        <w:t>：</w:t>
      </w:r>
      <w:bookmarkStart w:id="46" w:name="光线反射次数"/>
      <w:r>
        <w:rPr>
          <w:rFonts w:hint="default" w:ascii="Times New Roman" w:hAnsi="Times New Roman" w:eastAsia="宋体" w:cs="Times New Roman"/>
          <w:sz w:val="21"/>
          <w:szCs w:val="21"/>
        </w:rPr>
        <w:t>3</w:t>
      </w:r>
      <w:bookmarkEnd w:id="46"/>
      <w:r>
        <w:rPr>
          <w:rFonts w:hint="default" w:ascii="Times New Roman" w:hAnsi="Times New Roman" w:eastAsia="宋体" w:cs="Times New Roman"/>
          <w:sz w:val="21"/>
          <w:szCs w:val="21"/>
        </w:rPr>
        <w:t>次；</w:t>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分析参考平面</w:t>
      </w:r>
      <w:r>
        <w:rPr>
          <w:rFonts w:hint="default" w:ascii="Times New Roman" w:hAnsi="Times New Roman" w:eastAsia="宋体" w:cs="Times New Roman"/>
          <w:sz w:val="21"/>
          <w:szCs w:val="21"/>
        </w:rPr>
        <w:t>：功能房间取距地面</w:t>
      </w:r>
      <w:bookmarkStart w:id="47" w:name="分析面高"/>
      <w:r>
        <w:rPr>
          <w:rFonts w:hint="default" w:ascii="Times New Roman" w:hAnsi="Times New Roman" w:eastAsia="宋体" w:cs="Times New Roman"/>
          <w:sz w:val="21"/>
          <w:szCs w:val="21"/>
        </w:rPr>
        <w:t>0.75</w:t>
      </w:r>
      <w:bookmarkEnd w:id="47"/>
      <w:r>
        <w:rPr>
          <w:rFonts w:hint="default" w:ascii="Times New Roman" w:hAnsi="Times New Roman" w:eastAsia="宋体" w:cs="Times New Roman"/>
          <w:sz w:val="21"/>
          <w:szCs w:val="21"/>
        </w:rPr>
        <w:t>m，公共空间取地面；</w:t>
      </w:r>
    </w:p>
    <w:p>
      <w:pPr>
        <w:pStyle w:val="13"/>
        <w:spacing w:after="156" w:afterLines="50"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分析计算网格划分的间距</w:t>
      </w:r>
      <w:r>
        <w:rPr>
          <w:rFonts w:hint="default" w:ascii="Times New Roman" w:hAnsi="Times New Roman" w:eastAsia="宋体" w:cs="Times New Roman"/>
          <w:sz w:val="21"/>
          <w:szCs w:val="21"/>
        </w:rPr>
        <w:t>：根据房间面积规模大小对网格进行合理划分，如下表所示；</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房间面积(m</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w:t>
            </w:r>
          </w:p>
        </w:tc>
        <w:tc>
          <w:tcPr>
            <w:tcW w:w="3272" w:type="dxa"/>
            <w:shd w:val="clear" w:color="auto" w:fill="E6E6E6"/>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bookmarkStart w:id="48" w:name="网格划分小房间面积"/>
            <w:r>
              <w:rPr>
                <w:rFonts w:hint="default" w:ascii="Times New Roman" w:hAnsi="Times New Roman" w:eastAsia="宋体" w:cs="Times New Roman"/>
                <w:sz w:val="21"/>
                <w:szCs w:val="21"/>
              </w:rPr>
              <w:t>10</w:t>
            </w:r>
            <w:bookmarkEnd w:id="48"/>
          </w:p>
        </w:tc>
        <w:tc>
          <w:tcPr>
            <w:tcW w:w="3272" w:type="dxa"/>
            <w:shd w:val="clear" w:color="auto" w:fill="auto"/>
            <w:vAlign w:val="center"/>
          </w:tcPr>
          <w:p>
            <w:pPr>
              <w:spacing w:line="276" w:lineRule="auto"/>
              <w:rPr>
                <w:rFonts w:hint="default" w:ascii="Times New Roman" w:hAnsi="Times New Roman" w:eastAsia="宋体" w:cs="Times New Roman"/>
                <w:sz w:val="21"/>
                <w:szCs w:val="21"/>
              </w:rPr>
            </w:pPr>
            <w:bookmarkStart w:id="49" w:name="小房间网格大小"/>
            <w:r>
              <w:rPr>
                <w:rFonts w:hint="default" w:ascii="Times New Roman" w:hAnsi="Times New Roman" w:eastAsia="宋体" w:cs="Times New Roman"/>
                <w:sz w:val="21"/>
                <w:szCs w:val="21"/>
              </w:rPr>
              <w:t>0.25</w:t>
            </w:r>
            <w:bookmarkEnd w:id="4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spacing w:line="276" w:lineRule="auto"/>
              <w:rPr>
                <w:rFonts w:hint="default" w:ascii="Times New Roman" w:hAnsi="Times New Roman" w:eastAsia="宋体" w:cs="Times New Roman"/>
                <w:sz w:val="21"/>
                <w:szCs w:val="21"/>
              </w:rPr>
            </w:pPr>
            <w:bookmarkStart w:id="50" w:name="网格划分房间面积"/>
            <w:r>
              <w:rPr>
                <w:rFonts w:hint="default" w:ascii="Times New Roman" w:hAnsi="Times New Roman" w:eastAsia="宋体" w:cs="Times New Roman"/>
                <w:sz w:val="21"/>
                <w:szCs w:val="21"/>
              </w:rPr>
              <w:t>10~100</w:t>
            </w:r>
            <w:bookmarkEnd w:id="50"/>
          </w:p>
        </w:tc>
        <w:tc>
          <w:tcPr>
            <w:tcW w:w="3272" w:type="dxa"/>
            <w:shd w:val="clear" w:color="auto" w:fill="auto"/>
            <w:vAlign w:val="center"/>
          </w:tcPr>
          <w:p>
            <w:pPr>
              <w:spacing w:line="276" w:lineRule="auto"/>
              <w:rPr>
                <w:rFonts w:hint="default" w:ascii="Times New Roman" w:hAnsi="Times New Roman" w:eastAsia="宋体" w:cs="Times New Roman"/>
                <w:sz w:val="21"/>
                <w:szCs w:val="21"/>
              </w:rPr>
            </w:pPr>
            <w:bookmarkStart w:id="51" w:name="网格大小"/>
            <w:r>
              <w:rPr>
                <w:rFonts w:hint="default" w:ascii="Times New Roman" w:hAnsi="Times New Roman" w:eastAsia="宋体" w:cs="Times New Roman"/>
                <w:sz w:val="21"/>
                <w:szCs w:val="21"/>
              </w:rPr>
              <w:t>0.50</w:t>
            </w:r>
            <w:bookmarkEnd w:id="5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spacing w:line="276"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bookmarkStart w:id="52" w:name="网格划分大房间面积"/>
            <w:r>
              <w:rPr>
                <w:rFonts w:hint="default" w:ascii="Times New Roman" w:hAnsi="Times New Roman" w:eastAsia="宋体" w:cs="Times New Roman"/>
                <w:sz w:val="21"/>
                <w:szCs w:val="21"/>
              </w:rPr>
              <w:t>100</w:t>
            </w:r>
            <w:bookmarkEnd w:id="52"/>
          </w:p>
        </w:tc>
        <w:tc>
          <w:tcPr>
            <w:tcW w:w="3272" w:type="dxa"/>
            <w:shd w:val="clear" w:color="auto" w:fill="auto"/>
            <w:vAlign w:val="center"/>
          </w:tcPr>
          <w:p>
            <w:pPr>
              <w:spacing w:line="276" w:lineRule="auto"/>
              <w:rPr>
                <w:rFonts w:hint="default" w:ascii="Times New Roman" w:hAnsi="Times New Roman" w:eastAsia="宋体" w:cs="Times New Roman"/>
                <w:sz w:val="21"/>
                <w:szCs w:val="21"/>
              </w:rPr>
            </w:pPr>
            <w:bookmarkStart w:id="53" w:name="大房间网格大小"/>
            <w:r>
              <w:rPr>
                <w:rFonts w:hint="default" w:ascii="Times New Roman" w:hAnsi="Times New Roman" w:eastAsia="宋体" w:cs="Times New Roman"/>
                <w:sz w:val="21"/>
                <w:szCs w:val="21"/>
              </w:rPr>
              <w:t>1.00</w:t>
            </w:r>
            <w:bookmarkEnd w:id="53"/>
          </w:p>
        </w:tc>
      </w:tr>
    </w:tbl>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周边环境：</w:t>
      </w:r>
      <w:r>
        <w:rPr>
          <w:rFonts w:hint="default" w:ascii="Times New Roman" w:hAnsi="Times New Roman" w:eastAsia="宋体" w:cs="Times New Roman"/>
          <w:sz w:val="21"/>
          <w:szCs w:val="21"/>
        </w:rPr>
        <w:t>考虑分析区内的建筑物之间遮挡；</w:t>
      </w:r>
    </w:p>
    <w:p>
      <w:pPr>
        <w:pStyle w:val="13"/>
        <w:spacing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室内环境：</w:t>
      </w:r>
      <w:r>
        <w:rPr>
          <w:rFonts w:hint="default" w:ascii="Times New Roman" w:hAnsi="Times New Roman" w:eastAsia="宋体" w:cs="Times New Roman"/>
          <w:sz w:val="21"/>
          <w:szCs w:val="21"/>
        </w:rPr>
        <w:t>忽略室内家具类设施的影响，只考虑永久固定的顶棚、地面和墙面。</w:t>
      </w:r>
    </w:p>
    <w:p>
      <w:pPr>
        <w:pStyle w:val="4"/>
        <w:rPr>
          <w:rFonts w:hint="default" w:ascii="Times New Roman" w:hAnsi="Times New Roman" w:eastAsia="宋体" w:cs="Times New Roman"/>
          <w:sz w:val="21"/>
          <w:szCs w:val="21"/>
        </w:rPr>
      </w:pPr>
      <w:bookmarkStart w:id="54" w:name="_Toc14665"/>
      <w:r>
        <w:rPr>
          <w:rFonts w:hint="default" w:ascii="Times New Roman" w:hAnsi="Times New Roman" w:eastAsia="宋体" w:cs="Times New Roman"/>
          <w:sz w:val="21"/>
          <w:szCs w:val="21"/>
        </w:rPr>
        <w:t>建筑饰面材料参数</w:t>
      </w:r>
      <w:bookmarkEnd w:id="54"/>
    </w:p>
    <w:p>
      <w:pPr>
        <w:pStyle w:val="3"/>
        <w:spacing w:after="156" w:afterLines="50" w:line="360" w:lineRule="exact"/>
        <w:ind w:firstLine="420"/>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室内采光效果受内部和外部两种因素的影响。内表面反射比就是内部重要影响因素之一，外部因素除了天空亮度外，建筑外表面反射情况也是重要的影响因素。本项目中建筑内外饰面材料，如顶棚、墙面、地面、建筑外表面，其材质、颜色对应不同的反射比，给室内光环境带来不同的采光效果，反射比数据参考《建筑采光设计标准》GB 50033-2013附录D中的表D.0.5 饰面材料的反射比ρ值，具体参数见下表：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82"/>
        <w:gridCol w:w="3398"/>
        <w:gridCol w:w="34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40" w:type="dxa"/>
            <w:gridSpan w:val="3"/>
            <w:tcBorders>
              <w:top w:val="single" w:color="auto" w:sz="12" w:space="0"/>
              <w:bottom w:val="single" w:color="auto" w:sz="4" w:space="0"/>
            </w:tcBorders>
            <w:shd w:val="clear" w:color="auto" w:fill="E6E6E6"/>
            <w:vAlign w:val="center"/>
          </w:tcPr>
          <w:p>
            <w:pP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建筑饰面材料选用与反射比取值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bottom w:val="single" w:color="auto" w:sz="4" w:space="0"/>
            </w:tcBorders>
            <w:shd w:val="clear" w:color="auto" w:fill="E6E6E6"/>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部位</w:t>
            </w:r>
          </w:p>
        </w:tc>
        <w:tc>
          <w:tcPr>
            <w:tcW w:w="3398" w:type="dxa"/>
            <w:tcBorders>
              <w:top w:val="single" w:color="auto" w:sz="4" w:space="0"/>
              <w:bottom w:val="single" w:color="auto" w:sz="4" w:space="0"/>
            </w:tcBorders>
            <w:shd w:val="clear" w:color="auto" w:fill="E6E6E6"/>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反射比材料设计取值</w:t>
            </w:r>
          </w:p>
        </w:tc>
        <w:tc>
          <w:tcPr>
            <w:tcW w:w="3460" w:type="dxa"/>
            <w:tcBorders>
              <w:top w:val="single" w:color="auto" w:sz="4" w:space="0"/>
              <w:bottom w:val="single" w:color="auto" w:sz="4" w:space="0"/>
            </w:tcBorders>
            <w:shd w:val="clear" w:color="auto" w:fill="E6E6E6"/>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顶棚</w:t>
            </w:r>
          </w:p>
        </w:tc>
        <w:tc>
          <w:tcPr>
            <w:tcW w:w="3398"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bookmarkStart w:id="55" w:name="顶棚反射比"/>
            <w:r>
              <w:rPr>
                <w:rFonts w:hint="default" w:ascii="Times New Roman" w:hAnsi="Times New Roman" w:eastAsia="宋体" w:cs="Times New Roman"/>
                <w:sz w:val="21"/>
                <w:szCs w:val="21"/>
              </w:rPr>
              <w:t>0.75</w:t>
            </w:r>
            <w:bookmarkEnd w:id="55"/>
          </w:p>
        </w:tc>
        <w:tc>
          <w:tcPr>
            <w:tcW w:w="3460"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地面</w:t>
            </w:r>
          </w:p>
        </w:tc>
        <w:tc>
          <w:tcPr>
            <w:tcW w:w="3398"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bookmarkStart w:id="56" w:name="地面反射比"/>
            <w:r>
              <w:rPr>
                <w:rFonts w:hint="default" w:ascii="Times New Roman" w:hAnsi="Times New Roman" w:eastAsia="宋体" w:cs="Times New Roman"/>
                <w:sz w:val="21"/>
                <w:szCs w:val="21"/>
              </w:rPr>
              <w:t>0.30</w:t>
            </w:r>
            <w:bookmarkEnd w:id="56"/>
          </w:p>
        </w:tc>
        <w:tc>
          <w:tcPr>
            <w:tcW w:w="3460"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墙面</w:t>
            </w:r>
          </w:p>
        </w:tc>
        <w:tc>
          <w:tcPr>
            <w:tcW w:w="3398"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bookmarkStart w:id="57" w:name="墙面反射比"/>
            <w:r>
              <w:rPr>
                <w:rFonts w:hint="default" w:ascii="Times New Roman" w:hAnsi="Times New Roman" w:eastAsia="宋体" w:cs="Times New Roman"/>
                <w:sz w:val="21"/>
                <w:szCs w:val="21"/>
              </w:rPr>
              <w:t>0.60</w:t>
            </w:r>
            <w:bookmarkEnd w:id="57"/>
          </w:p>
        </w:tc>
        <w:tc>
          <w:tcPr>
            <w:tcW w:w="3460"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外表面</w:t>
            </w:r>
          </w:p>
        </w:tc>
        <w:tc>
          <w:tcPr>
            <w:tcW w:w="3398"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bookmarkStart w:id="58" w:name="外表面反射比"/>
            <w:r>
              <w:rPr>
                <w:rFonts w:hint="default" w:ascii="Times New Roman" w:hAnsi="Times New Roman" w:eastAsia="宋体" w:cs="Times New Roman"/>
                <w:sz w:val="21"/>
                <w:szCs w:val="21"/>
              </w:rPr>
              <w:t>0.50</w:t>
            </w:r>
            <w:bookmarkEnd w:id="58"/>
          </w:p>
        </w:tc>
        <w:tc>
          <w:tcPr>
            <w:tcW w:w="3460" w:type="dxa"/>
            <w:tcBorders>
              <w:top w:val="single" w:color="auto" w:sz="4" w:space="0"/>
            </w:tcBorders>
            <w:shd w:val="clear" w:color="auto" w:fill="auto"/>
            <w:vAlign w:val="center"/>
          </w:tcPr>
          <w:p>
            <w:pPr>
              <w:rPr>
                <w:rFonts w:hint="default" w:ascii="Times New Roman" w:hAnsi="Times New Roman" w:eastAsia="宋体" w:cs="Times New Roman"/>
                <w:sz w:val="21"/>
                <w:szCs w:val="21"/>
              </w:rPr>
            </w:pPr>
          </w:p>
        </w:tc>
      </w:tr>
    </w:tbl>
    <w:p>
      <w:pPr>
        <w:pStyle w:val="13"/>
        <w:spacing w:line="360" w:lineRule="auto"/>
        <w:ind w:firstLine="36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注1：数据参考自：《建筑采光设计标准》GB 50033-2013附录D 表D.0.5；</w:t>
      </w:r>
      <w:r>
        <w:rPr>
          <w:rFonts w:hint="default" w:ascii="Times New Roman" w:hAnsi="Times New Roman" w:eastAsia="宋体" w:cs="Times New Roman"/>
          <w:sz w:val="21"/>
          <w:szCs w:val="21"/>
        </w:rPr>
        <w:tab/>
      </w:r>
    </w:p>
    <w:p>
      <w:pPr>
        <w:pStyle w:val="4"/>
        <w:rPr>
          <w:rFonts w:hint="default" w:ascii="Times New Roman" w:hAnsi="Times New Roman" w:eastAsia="宋体" w:cs="Times New Roman"/>
          <w:sz w:val="21"/>
          <w:szCs w:val="21"/>
        </w:rPr>
      </w:pPr>
      <w:bookmarkStart w:id="59" w:name="_Toc26559"/>
      <w:r>
        <w:rPr>
          <w:rFonts w:hint="default" w:ascii="Times New Roman" w:hAnsi="Times New Roman" w:eastAsia="宋体" w:cs="Times New Roman"/>
          <w:sz w:val="21"/>
          <w:szCs w:val="21"/>
        </w:rPr>
        <w:t>门窗类型参数</w:t>
      </w:r>
      <w:bookmarkEnd w:id="59"/>
    </w:p>
    <w:p>
      <w:pPr>
        <w:pStyle w:val="3"/>
        <w:spacing w:line="360" w:lineRule="exact"/>
        <w:ind w:firstLine="420"/>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pPr>
        <w:pStyle w:val="3"/>
        <w:spacing w:line="360" w:lineRule="exact"/>
        <w:ind w:firstLine="420"/>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门窗性能参数包括门窗尺寸、挡光系数、窗框类型、玻璃类型、可见光透射比和反射比，本项目的具体参数详见下文。</w:t>
      </w:r>
    </w:p>
    <w:p>
      <w:pPr>
        <w:pStyle w:val="3"/>
        <w:rPr>
          <w:rFonts w:hint="default" w:ascii="Times New Roman" w:hAnsi="Times New Roman" w:eastAsia="宋体" w:cs="Times New Roman"/>
          <w:sz w:val="21"/>
          <w:szCs w:val="21"/>
          <w:lang w:val="en-US"/>
        </w:rPr>
      </w:pPr>
    </w:p>
    <w:p>
      <w:pPr>
        <w:pStyle w:val="5"/>
        <w:rPr>
          <w:rFonts w:hint="default" w:ascii="Times New Roman" w:hAnsi="Times New Roman" w:eastAsia="宋体" w:cs="Times New Roman"/>
          <w:sz w:val="21"/>
          <w:szCs w:val="21"/>
        </w:rPr>
      </w:pPr>
      <w:bookmarkStart w:id="60" w:name="_Toc1261"/>
      <w:bookmarkStart w:id="61" w:name="窗"/>
      <w:r>
        <w:rPr>
          <w:rFonts w:hint="default" w:ascii="Times New Roman" w:hAnsi="Times New Roman" w:eastAsia="宋体" w:cs="Times New Roman"/>
          <w:sz w:val="21"/>
          <w:szCs w:val="21"/>
        </w:rPr>
        <w:t>普通窗</w:t>
      </w:r>
      <w:bookmarkEnd w:id="60"/>
    </w:p>
    <w:bookmarkEnd w:id="61"/>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门窗编号</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宽度(mm)</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高度(mm)</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窗框类型</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玻璃类型</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可见光透射比</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C0725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C1006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C1012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C1025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C1125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C1206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C1222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C1225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C1522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C1525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C1530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C1822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C1825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C1828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2800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C2022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C2025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C2033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C2425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2400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C3006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C4513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4500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GC1006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GC1206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单层钢窗</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高透Low-E</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0.08</w:t>
            </w:r>
          </w:p>
        </w:tc>
      </w:tr>
    </w:tbl>
    <w:p>
      <w:pPr>
        <w:pStyle w:val="3"/>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注：计算考虑了外窗玻璃的污染折减系数影响，系数取值0.9。</w:t>
      </w:r>
    </w:p>
    <w:p>
      <w:pPr>
        <w:pStyle w:val="3"/>
        <w:rPr>
          <w:rFonts w:hint="default" w:ascii="Times New Roman" w:hAnsi="Times New Roman" w:eastAsia="宋体" w:cs="Times New Roman"/>
          <w:sz w:val="21"/>
          <w:szCs w:val="21"/>
          <w:lang w:val="en-US"/>
        </w:rPr>
      </w:pPr>
    </w:p>
    <w:p>
      <w:pPr>
        <w:pStyle w:val="3"/>
        <w:rPr>
          <w:rFonts w:hint="default" w:ascii="Times New Roman" w:hAnsi="Times New Roman" w:eastAsia="宋体" w:cs="Times New Roman"/>
          <w:sz w:val="21"/>
          <w:szCs w:val="21"/>
          <w:lang w:val="en-US"/>
        </w:rPr>
      </w:pPr>
    </w:p>
    <w:p>
      <w:pPr>
        <w:pStyle w:val="2"/>
        <w:rPr>
          <w:rFonts w:hint="default" w:ascii="Times New Roman" w:hAnsi="Times New Roman" w:eastAsia="宋体" w:cs="Times New Roman"/>
          <w:sz w:val="28"/>
          <w:szCs w:val="28"/>
        </w:rPr>
      </w:pPr>
      <w:bookmarkStart w:id="62" w:name="_Toc32290"/>
      <w:r>
        <w:rPr>
          <w:rFonts w:hint="default" w:ascii="Times New Roman" w:hAnsi="Times New Roman" w:eastAsia="宋体" w:cs="Times New Roman"/>
          <w:sz w:val="28"/>
          <w:szCs w:val="28"/>
        </w:rPr>
        <w:t>房间模拟结果</w:t>
      </w:r>
      <w:bookmarkEnd w:id="62"/>
    </w:p>
    <w:p>
      <w:pPr>
        <w:pStyle w:val="4"/>
        <w:rPr>
          <w:rFonts w:hint="default" w:ascii="Times New Roman" w:hAnsi="Times New Roman" w:eastAsia="宋体" w:cs="Times New Roman"/>
          <w:sz w:val="21"/>
          <w:szCs w:val="21"/>
        </w:rPr>
      </w:pPr>
      <w:bookmarkStart w:id="63" w:name="_Toc242"/>
      <w:r>
        <w:rPr>
          <w:rFonts w:hint="default" w:ascii="Times New Roman" w:hAnsi="Times New Roman" w:eastAsia="宋体" w:cs="Times New Roman"/>
          <w:sz w:val="21"/>
          <w:szCs w:val="21"/>
        </w:rPr>
        <w:t>采光系数结果</w:t>
      </w:r>
      <w:bookmarkEnd w:id="63"/>
    </w:p>
    <w:p>
      <w:pPr>
        <w:pStyle w:val="3"/>
        <w:spacing w:after="156" w:afterLines="50" w:line="360" w:lineRule="exact"/>
        <w:ind w:firstLine="420"/>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本项目为幼儿园建筑。根据《托儿所、幼儿园建筑设计规范》JGJ39-2016（2019年版）和《民用建筑设计统一标准》GB 50352-2019相关条文的要求，需计算建筑内主要功能房间的采光系数和采光达标面积比。计算结果见下表：</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bookmarkStart w:id="64" w:name="房间采光表"/>
      <w:bookmarkEnd w:id="64"/>
    </w:p>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0"/>
        <w:gridCol w:w="1075"/>
        <w:gridCol w:w="1075"/>
        <w:gridCol w:w="1075"/>
        <w:gridCol w:w="1075"/>
        <w:gridCol w:w="1075"/>
        <w:gridCol w:w="1075"/>
        <w:gridCol w:w="1301"/>
        <w:gridCol w:w="92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楼层</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房间编号</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房间类型</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采光等级</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采光类型</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房间面积</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采光系数C(%)</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采光系数</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标准值(%)</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走廊</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225.70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0.48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66.27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5.49</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66.27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5.46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20.46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1009</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20.46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1012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楼梯间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18.34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1013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楼梯间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18.43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1014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3.48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1015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15.68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1016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14.72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1017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14.71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1021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11.91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4.44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1024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保健观察室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8.87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3.57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56.96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68.55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3.90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56.96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多功能活动区</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125.20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5.87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走廊</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115.66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20.46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0.11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20.46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20.46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0.13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2009</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楼梯间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18.34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楼梯间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18.43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15.38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63.39</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3.49</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走廊</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106.32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3.92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63.39</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4.96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3005</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58.68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16.98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0000FF"/>
                <w:sz w:val="21"/>
                <w:szCs w:val="21"/>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56.83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56.83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7.24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20.46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0.13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3009</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20.46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0.13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20.46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0.01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color w:val="FF00FF"/>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3011</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楼梯间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18.34</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1.87</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3012</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楼梯间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18.43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3.18</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rPr>
                <w:rFonts w:hint="default" w:ascii="Times New Roman" w:hAnsi="Times New Roman" w:eastAsia="宋体" w:cs="Times New Roman"/>
                <w:sz w:val="21"/>
                <w:szCs w:val="21"/>
              </w:rPr>
            </w:pP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3013</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卫生间</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15.39</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1.76</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1.10</w:t>
            </w:r>
          </w:p>
        </w:tc>
        <w:tc>
          <w:tcPr>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满足</w:t>
            </w:r>
          </w:p>
        </w:tc>
      </w:tr>
    </w:tbl>
    <w:p>
      <w:pPr>
        <w:pStyle w:val="3"/>
        <w:ind w:firstLine="420"/>
        <w:rPr>
          <w:rFonts w:hint="default" w:ascii="Times New Roman" w:hAnsi="Times New Roman" w:eastAsia="宋体" w:cs="Times New Roman"/>
          <w:sz w:val="21"/>
          <w:szCs w:val="21"/>
          <w:lang w:val="en-US"/>
        </w:rPr>
      </w:pPr>
    </w:p>
    <w:p>
      <w:pPr>
        <w:pStyle w:val="4"/>
        <w:rPr>
          <w:rFonts w:hint="default" w:ascii="Times New Roman" w:hAnsi="Times New Roman" w:eastAsia="宋体" w:cs="Times New Roman"/>
          <w:sz w:val="21"/>
          <w:szCs w:val="21"/>
        </w:rPr>
      </w:pPr>
      <w:bookmarkStart w:id="65" w:name="_Toc19238"/>
      <w:r>
        <w:rPr>
          <w:rFonts w:hint="default" w:ascii="Times New Roman" w:hAnsi="Times New Roman" w:eastAsia="宋体" w:cs="Times New Roman"/>
          <w:sz w:val="21"/>
          <w:szCs w:val="21"/>
        </w:rPr>
        <w:t>采光达标面积比例</w:t>
      </w:r>
      <w:bookmarkEnd w:id="65"/>
    </w:p>
    <w:p>
      <w:pPr>
        <w:pStyle w:val="3"/>
        <w:spacing w:after="156" w:afterLines="50" w:line="36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rPr>
        <w:t>通过对项目中主要功能房间采光系数的计算，求得</w:t>
      </w:r>
      <w:r>
        <w:rPr>
          <w:rFonts w:hint="default" w:ascii="Times New Roman" w:hAnsi="Times New Roman" w:eastAsia="宋体" w:cs="Times New Roman"/>
          <w:sz w:val="21"/>
          <w:szCs w:val="21"/>
        </w:rPr>
        <w:t>各个主要功能房间的达标面积，统计全部达标面积除以建筑主要功能房间的总面积，最终得到单体建筑的达标率，如下表所示：</w:t>
      </w:r>
    </w:p>
    <w:tbl>
      <w:tblPr>
        <w:tblStyle w:val="19"/>
        <w:tblW w:w="9225"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75"/>
        <w:gridCol w:w="311"/>
        <w:gridCol w:w="792"/>
        <w:gridCol w:w="509"/>
        <w:gridCol w:w="566"/>
        <w:gridCol w:w="792"/>
        <w:gridCol w:w="56"/>
        <w:gridCol w:w="848"/>
        <w:gridCol w:w="539"/>
        <w:gridCol w:w="592"/>
        <w:gridCol w:w="653"/>
        <w:gridCol w:w="422"/>
        <w:gridCol w:w="823"/>
        <w:gridCol w:w="252"/>
        <w:gridCol w:w="990"/>
        <w:gridCol w:w="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gridAfter w:val="1"/>
          <w:wAfter w:w="3" w:type="dxa"/>
        </w:trPr>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楼层</w:t>
            </w:r>
          </w:p>
        </w:tc>
        <w:tc>
          <w:tcPr>
            <w:gridSpan w:val="2"/>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房间</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编号</w:t>
            </w:r>
          </w:p>
        </w:tc>
        <w:tc>
          <w:tcPr>
            <w:gridSpan w:val="2"/>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房间类型</w:t>
            </w:r>
          </w:p>
        </w:tc>
        <w:tc>
          <w:tcPr>
            <w:gridSpan w:val="2"/>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等级</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类型</w:t>
            </w:r>
          </w:p>
        </w:tc>
        <w:tc>
          <w:tcPr>
            <w:gridSpan w:val="2"/>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采光系数</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要求(%)</w:t>
            </w:r>
          </w:p>
        </w:tc>
        <w:tc>
          <w:tcPr>
            <w:gridSpan w:val="2"/>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房间面积</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(m2)</w:t>
            </w:r>
          </w:p>
        </w:tc>
        <w:tc>
          <w:tcPr>
            <w:gridSpan w:val="2"/>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达标面积</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(m2)</w:t>
            </w:r>
          </w:p>
        </w:tc>
        <w:tc>
          <w:tcPr>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达标率</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restart"/>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1002</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66.27</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66.27</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1003</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66.27</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66.27</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1014</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16.30</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1016</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14.72</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14.72</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1017</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14.71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14.71</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1021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11.91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11.91</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1024</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保健观察室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8.87</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8.87</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1040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63.39</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63.39</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1041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restart"/>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56.96</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56.96</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2002</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68.55</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68.55</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2003</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56.96</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56.96</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2004</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多功能活动区</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125.20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125.20</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2016</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63.39</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63.39</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2017</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2018</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restart"/>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3002</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63.39</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63.39</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3003</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61.14</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61.14</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3004</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61.11</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3005</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58.68</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58.68</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3006</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56.83</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56.83</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gridAfter w:val="1"/>
          <w:wAfter w:w="3" w:type="dxa"/>
        </w:trPr>
        <w:tc>
          <w:tcPr>
            <w:vMerge w:val="continue"/>
            <w:vAlign w:val="center"/>
          </w:tcPr>
          <w:p>
            <w:pPr>
              <w:jc w:val="center"/>
              <w:rPr>
                <w:rFonts w:hint="default" w:ascii="Times New Roman" w:hAnsi="Times New Roman" w:eastAsia="宋体" w:cs="Times New Roman"/>
                <w:sz w:val="21"/>
                <w:szCs w:val="21"/>
              </w:rPr>
            </w:pP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3007</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III</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56.83</w:t>
            </w:r>
          </w:p>
        </w:tc>
        <w:tc>
          <w:tcPr>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56.83</w:t>
            </w:r>
          </w:p>
        </w:tc>
        <w:tc>
          <w:tcPr>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Merge w:val="restart"/>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房间类型</w:t>
            </w:r>
          </w:p>
        </w:tc>
        <w:tc>
          <w:tcPr>
            <w:gridSpan w:val="2"/>
            <w:vMerge w:val="restart"/>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采光类型</w:t>
            </w:r>
          </w:p>
        </w:tc>
        <w:tc>
          <w:tcPr>
            <w:gridSpan w:val="5"/>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标准值</w:t>
            </w:r>
          </w:p>
        </w:tc>
        <w:tc>
          <w:tcPr>
            <w:gridSpan w:val="4"/>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面积(m2)</w:t>
            </w:r>
          </w:p>
        </w:tc>
        <w:tc>
          <w:tcPr>
            <w:gridSpan w:val="3"/>
            <w:vMerge w:val="restart"/>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达标率</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Merge w:val="continue"/>
            <w:shd w:val="clear" w:color="auto" w:fill="E6E6E6"/>
            <w:vAlign w:val="center"/>
          </w:tcPr>
          <w:p>
            <w:pPr>
              <w:jc w:val="center"/>
              <w:rPr>
                <w:rFonts w:hint="default" w:ascii="Times New Roman" w:hAnsi="Times New Roman" w:eastAsia="宋体" w:cs="Times New Roman"/>
                <w:sz w:val="21"/>
                <w:szCs w:val="21"/>
              </w:rPr>
            </w:pPr>
          </w:p>
        </w:tc>
        <w:tc>
          <w:tcPr>
            <w:gridSpan w:val="2"/>
            <w:vMerge w:val="continue"/>
            <w:shd w:val="clear" w:color="auto" w:fill="E6E6E6"/>
            <w:vAlign w:val="center"/>
          </w:tcPr>
          <w:p>
            <w:pPr>
              <w:jc w:val="center"/>
              <w:rPr>
                <w:rFonts w:hint="default" w:ascii="Times New Roman" w:hAnsi="Times New Roman" w:eastAsia="宋体" w:cs="Times New Roman"/>
                <w:sz w:val="21"/>
                <w:szCs w:val="21"/>
              </w:rPr>
            </w:pPr>
          </w:p>
        </w:tc>
        <w:tc>
          <w:tcPr>
            <w:gridSpan w:val="2"/>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平均采光</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系数(%)</w:t>
            </w:r>
          </w:p>
        </w:tc>
        <w:tc>
          <w:tcPr>
            <w:gridSpan w:val="3"/>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室内天然光</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设计照度(Lx)</w:t>
            </w:r>
          </w:p>
        </w:tc>
        <w:tc>
          <w:tcPr>
            <w:gridSpan w:val="2"/>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总面积</w:t>
            </w:r>
          </w:p>
        </w:tc>
        <w:tc>
          <w:tcPr>
            <w:gridSpan w:val="2"/>
            <w:shd w:val="clear" w:color="auto" w:fill="E6E6E6"/>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达标面积</w:t>
            </w:r>
          </w:p>
        </w:tc>
        <w:tc>
          <w:tcPr>
            <w:gridSpan w:val="3"/>
            <w:vMerge w:val="continue"/>
            <w:shd w:val="clear" w:color="auto" w:fill="E6E6E6"/>
            <w:vAlign w:val="center"/>
          </w:tcPr>
          <w:p>
            <w:pPr>
              <w:jc w:val="center"/>
              <w:rPr>
                <w:rFonts w:hint="default" w:ascii="Times New Roman" w:hAnsi="Times New Roman" w:eastAsia="宋体" w:cs="Times New Roman"/>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活动室</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450</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487.35</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487.35</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办公室</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450</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57.65</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57.65</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保健观察室</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450</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8.87</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8.87</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睡眠区</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450</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495.75</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495.75</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多功能活动区</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侧面</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3.30</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450</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125.20</w:t>
            </w:r>
          </w:p>
        </w:tc>
        <w:tc>
          <w:tcPr>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125.20</w:t>
            </w:r>
          </w:p>
        </w:tc>
        <w:tc>
          <w:tcPr>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9"/>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总计达标面积比例(%)</w:t>
            </w:r>
          </w:p>
        </w:tc>
        <w:tc>
          <w:tcPr>
            <w:gridSpan w:val="7"/>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w:t>
            </w:r>
          </w:p>
        </w:tc>
      </w:tr>
    </w:tbl>
    <w:p>
      <w:pPr>
        <w:rPr>
          <w:rFonts w:hint="default" w:ascii="Times New Roman" w:hAnsi="Times New Roman" w:eastAsia="宋体" w:cs="Times New Roman"/>
          <w:sz w:val="21"/>
          <w:szCs w:val="21"/>
        </w:rPr>
      </w:pPr>
      <w:bookmarkStart w:id="66" w:name="达标率表格"/>
      <w:bookmarkEnd w:id="66"/>
    </w:p>
    <w:p>
      <w:pPr>
        <w:pStyle w:val="3"/>
        <w:rPr>
          <w:rFonts w:hint="default" w:ascii="Times New Roman" w:hAnsi="Times New Roman" w:eastAsia="宋体" w:cs="Times New Roman"/>
          <w:sz w:val="21"/>
          <w:szCs w:val="21"/>
          <w:lang w:val="en-US"/>
        </w:rPr>
      </w:pPr>
    </w:p>
    <w:p>
      <w:pPr>
        <w:pStyle w:val="2"/>
        <w:rPr>
          <w:rFonts w:hint="default" w:ascii="Times New Roman" w:hAnsi="Times New Roman" w:eastAsia="宋体" w:cs="Times New Roman"/>
          <w:sz w:val="28"/>
          <w:szCs w:val="28"/>
        </w:rPr>
      </w:pPr>
      <w:bookmarkStart w:id="67" w:name="_Toc23246"/>
      <w:r>
        <w:rPr>
          <w:rFonts w:hint="default" w:ascii="Times New Roman" w:hAnsi="Times New Roman" w:eastAsia="宋体" w:cs="Times New Roman"/>
          <w:sz w:val="28"/>
          <w:szCs w:val="28"/>
        </w:rPr>
        <w:t>采光效果分析彩图</w:t>
      </w:r>
      <w:bookmarkEnd w:id="67"/>
    </w:p>
    <w:p>
      <w:pPr>
        <w:pStyle w:val="3"/>
        <w:spacing w:line="360" w:lineRule="exact"/>
        <w:ind w:firstLine="420"/>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1. 采光系数分析彩图可以直观地反应建筑内各个房间的采光效果，本项目中各楼层中主要功能房间的室内采光系数情况如下所示：</w:t>
      </w:r>
    </w:p>
    <w:p>
      <w:pPr>
        <w:rPr>
          <w:rFonts w:hint="default" w:ascii="Times New Roman" w:hAnsi="Times New Roman" w:eastAsia="宋体" w:cs="Times New Roman"/>
          <w:sz w:val="21"/>
          <w:szCs w:val="21"/>
        </w:rPr>
      </w:pPr>
      <w:bookmarkStart w:id="68" w:name="彩图"/>
      <w:bookmarkEnd w:id="68"/>
    </w:p>
    <w:p>
      <w:pPr>
        <w:pStyle w:val="3"/>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5667375" cy="243840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11"/>
                    <a:stretch>
                      <a:fillRect/>
                    </a:stretch>
                  </pic:blipFill>
                  <pic:spPr>
                    <a:xfrm>
                      <a:off x="0" y="0"/>
                      <a:ext cx="5667375" cy="2438400"/>
                    </a:xfrm>
                    <a:prstGeom prst="rect">
                      <a:avLst/>
                    </a:prstGeom>
                  </pic:spPr>
                </pic:pic>
              </a:graphicData>
            </a:graphic>
          </wp:inline>
        </w:drawing>
      </w:r>
    </w:p>
    <w:p>
      <w:pPr>
        <w:pStyle w:val="3"/>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1层</w:t>
      </w:r>
    </w:p>
    <w:p>
      <w:pPr>
        <w:pStyle w:val="3"/>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5667375" cy="23241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12"/>
                    <a:stretch>
                      <a:fillRect/>
                    </a:stretch>
                  </pic:blipFill>
                  <pic:spPr>
                    <a:xfrm>
                      <a:off x="0" y="0"/>
                      <a:ext cx="5667375" cy="2324100"/>
                    </a:xfrm>
                    <a:prstGeom prst="rect">
                      <a:avLst/>
                    </a:prstGeom>
                  </pic:spPr>
                </pic:pic>
              </a:graphicData>
            </a:graphic>
          </wp:inline>
        </w:drawing>
      </w:r>
    </w:p>
    <w:p>
      <w:pPr>
        <w:pStyle w:val="3"/>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2层</w:t>
      </w:r>
    </w:p>
    <w:p>
      <w:pPr>
        <w:pStyle w:val="3"/>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5667375" cy="234315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13"/>
                    <a:stretch>
                      <a:fillRect/>
                    </a:stretch>
                  </pic:blipFill>
                  <pic:spPr>
                    <a:xfrm>
                      <a:off x="0" y="0"/>
                      <a:ext cx="5667375" cy="2343150"/>
                    </a:xfrm>
                    <a:prstGeom prst="rect">
                      <a:avLst/>
                    </a:prstGeom>
                  </pic:spPr>
                </pic:pic>
              </a:graphicData>
            </a:graphic>
          </wp:inline>
        </w:drawing>
      </w:r>
    </w:p>
    <w:p>
      <w:pPr>
        <w:pStyle w:val="3"/>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3层</w:t>
      </w:r>
    </w:p>
    <w:p>
      <w:pPr>
        <w:pStyle w:val="3"/>
        <w:jc w:val="center"/>
        <w:rPr>
          <w:rFonts w:hint="default" w:ascii="Times New Roman" w:hAnsi="Times New Roman" w:eastAsia="宋体" w:cs="Times New Roman"/>
          <w:sz w:val="21"/>
          <w:szCs w:val="21"/>
        </w:rPr>
      </w:pPr>
    </w:p>
    <w:p>
      <w:pPr>
        <w:pStyle w:val="3"/>
        <w:spacing w:line="360" w:lineRule="exact"/>
        <w:ind w:firstLine="420"/>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2. 采光达标率分析彩图可以直观地反应出建筑内各个房间的采光达标情况，本项目中各楼层中主要功能房间的室内采光达标情况如下所示。</w:t>
      </w:r>
    </w:p>
    <w:p>
      <w:pPr>
        <w:rPr>
          <w:rFonts w:hint="default" w:ascii="Times New Roman" w:hAnsi="Times New Roman" w:eastAsia="宋体" w:cs="Times New Roman"/>
          <w:sz w:val="21"/>
          <w:szCs w:val="21"/>
        </w:rPr>
      </w:pPr>
      <w:bookmarkStart w:id="69" w:name="达标图"/>
      <w:bookmarkEnd w:id="69"/>
    </w:p>
    <w:p>
      <w:pPr>
        <w:pStyle w:val="3"/>
        <w:tabs>
          <w:tab w:val="left" w:pos="900"/>
        </w:tabs>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drawing>
          <wp:inline distT="0" distB="0" distL="0" distR="0">
            <wp:extent cx="5667375" cy="243840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14"/>
                    <a:stretch>
                      <a:fillRect/>
                    </a:stretch>
                  </pic:blipFill>
                  <pic:spPr>
                    <a:xfrm>
                      <a:off x="0" y="0"/>
                      <a:ext cx="5667375" cy="2438400"/>
                    </a:xfrm>
                    <a:prstGeom prst="rect">
                      <a:avLst/>
                    </a:prstGeom>
                  </pic:spPr>
                </pic:pic>
              </a:graphicData>
            </a:graphic>
          </wp:inline>
        </w:drawing>
      </w:r>
    </w:p>
    <w:p>
      <w:pPr>
        <w:pStyle w:val="3"/>
        <w:tabs>
          <w:tab w:val="left" w:pos="900"/>
        </w:tabs>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1层</w:t>
      </w:r>
    </w:p>
    <w:p>
      <w:pPr>
        <w:pStyle w:val="3"/>
        <w:tabs>
          <w:tab w:val="left" w:pos="900"/>
        </w:tabs>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drawing>
          <wp:inline distT="0" distB="0" distL="0" distR="0">
            <wp:extent cx="5667375" cy="232410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15"/>
                    <a:stretch>
                      <a:fillRect/>
                    </a:stretch>
                  </pic:blipFill>
                  <pic:spPr>
                    <a:xfrm>
                      <a:off x="0" y="0"/>
                      <a:ext cx="5667375" cy="2324100"/>
                    </a:xfrm>
                    <a:prstGeom prst="rect">
                      <a:avLst/>
                    </a:prstGeom>
                  </pic:spPr>
                </pic:pic>
              </a:graphicData>
            </a:graphic>
          </wp:inline>
        </w:drawing>
      </w:r>
    </w:p>
    <w:p>
      <w:pPr>
        <w:pStyle w:val="3"/>
        <w:tabs>
          <w:tab w:val="left" w:pos="900"/>
        </w:tabs>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2层</w:t>
      </w:r>
    </w:p>
    <w:p>
      <w:pPr>
        <w:pStyle w:val="3"/>
        <w:tabs>
          <w:tab w:val="left" w:pos="900"/>
        </w:tabs>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drawing>
          <wp:inline distT="0" distB="0" distL="0" distR="0">
            <wp:extent cx="5667375" cy="234315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16"/>
                    <a:stretch>
                      <a:fillRect/>
                    </a:stretch>
                  </pic:blipFill>
                  <pic:spPr>
                    <a:xfrm>
                      <a:off x="0" y="0"/>
                      <a:ext cx="5667375" cy="2343150"/>
                    </a:xfrm>
                    <a:prstGeom prst="rect">
                      <a:avLst/>
                    </a:prstGeom>
                  </pic:spPr>
                </pic:pic>
              </a:graphicData>
            </a:graphic>
          </wp:inline>
        </w:drawing>
      </w:r>
    </w:p>
    <w:p>
      <w:pPr>
        <w:pStyle w:val="3"/>
        <w:tabs>
          <w:tab w:val="left" w:pos="900"/>
        </w:tabs>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3层</w:t>
      </w:r>
    </w:p>
    <w:p>
      <w:pPr>
        <w:pStyle w:val="3"/>
        <w:tabs>
          <w:tab w:val="left" w:pos="900"/>
        </w:tabs>
        <w:jc w:val="center"/>
        <w:rPr>
          <w:rFonts w:hint="default" w:ascii="Times New Roman" w:hAnsi="Times New Roman" w:eastAsia="宋体" w:cs="Times New Roman"/>
          <w:sz w:val="21"/>
          <w:szCs w:val="21"/>
          <w:lang w:val="en-US"/>
        </w:rPr>
      </w:pPr>
    </w:p>
    <w:p>
      <w:pPr>
        <w:pStyle w:val="2"/>
        <w:rPr>
          <w:rFonts w:hint="default" w:ascii="Times New Roman" w:hAnsi="Times New Roman" w:eastAsia="宋体" w:cs="Times New Roman"/>
          <w:sz w:val="28"/>
          <w:szCs w:val="28"/>
        </w:rPr>
      </w:pPr>
      <w:bookmarkStart w:id="70" w:name="_Toc28280"/>
      <w:r>
        <w:rPr>
          <w:rFonts w:hint="default" w:ascii="Times New Roman" w:hAnsi="Times New Roman" w:eastAsia="宋体" w:cs="Times New Roman"/>
          <w:sz w:val="28"/>
          <w:szCs w:val="28"/>
        </w:rPr>
        <w:t>结论</w:t>
      </w:r>
      <w:bookmarkEnd w:id="70"/>
    </w:p>
    <w:p>
      <w:pPr>
        <w:pStyle w:val="3"/>
        <w:tabs>
          <w:tab w:val="left" w:pos="900"/>
        </w:tabs>
        <w:spacing w:after="156" w:afterLines="50" w:line="360" w:lineRule="exact"/>
        <w:ind w:firstLine="420"/>
        <w:rPr>
          <w:rFonts w:hint="default" w:ascii="Times New Roman" w:hAnsi="Times New Roman" w:eastAsia="宋体" w:cs="Times New Roman"/>
          <w:sz w:val="21"/>
          <w:szCs w:val="21"/>
          <w:lang w:val="en-US"/>
        </w:rPr>
      </w:pPr>
      <w:bookmarkStart w:id="78" w:name="_GoBack"/>
      <w:r>
        <w:rPr>
          <w:rFonts w:hint="default" w:ascii="Times New Roman" w:hAnsi="Times New Roman" w:eastAsia="宋体" w:cs="Times New Roman"/>
          <w:sz w:val="21"/>
          <w:szCs w:val="21"/>
          <w:lang w:val="en-US"/>
        </w:rPr>
        <w:t>通过对本建筑的采光模拟和统计分析，依据《托儿所、幼儿园建筑设计规范》JGJ 39-2016（2019年版）和《民用建筑设计统一标准》 GB 50352-2019对幼儿园建筑的采光要求，本建筑主要功能房间有</w:t>
      </w:r>
      <w:bookmarkStart w:id="71" w:name="达标率1"/>
      <w:r>
        <w:rPr>
          <w:rFonts w:hint="default" w:ascii="Times New Roman" w:hAnsi="Times New Roman" w:eastAsia="宋体" w:cs="Times New Roman"/>
          <w:sz w:val="21"/>
          <w:szCs w:val="21"/>
          <w:lang w:val="en-US"/>
        </w:rPr>
        <w:t>100</w:t>
      </w:r>
      <w:bookmarkEnd w:id="71"/>
      <w:r>
        <w:rPr>
          <w:rFonts w:hint="default" w:ascii="Times New Roman" w:hAnsi="Times New Roman" w:eastAsia="宋体" w:cs="Times New Roman"/>
          <w:sz w:val="21"/>
          <w:szCs w:val="21"/>
          <w:lang w:val="en-US"/>
        </w:rPr>
        <w:t>%的面积满足采光等级</w:t>
      </w:r>
      <w:r>
        <w:rPr>
          <w:rFonts w:hint="default" w:ascii="Times New Roman" w:hAnsi="Times New Roman" w:eastAsia="宋体" w:cs="Times New Roman"/>
          <w:sz w:val="21"/>
          <w:szCs w:val="21"/>
        </w:rPr>
        <w:t>Ⅲ级</w:t>
      </w:r>
      <w:r>
        <w:rPr>
          <w:rFonts w:hint="default" w:ascii="Times New Roman" w:hAnsi="Times New Roman" w:eastAsia="宋体" w:cs="Times New Roman"/>
          <w:sz w:val="21"/>
          <w:szCs w:val="21"/>
          <w:lang w:val="en-US"/>
        </w:rPr>
        <w:t>的标准要求</w:t>
      </w:r>
      <w:bookmarkEnd w:id="78"/>
      <w:r>
        <w:rPr>
          <w:rFonts w:hint="default" w:ascii="Times New Roman" w:hAnsi="Times New Roman" w:eastAsia="宋体" w:cs="Times New Roman"/>
          <w:sz w:val="21"/>
          <w:szCs w:val="21"/>
          <w:lang w:val="en-US"/>
        </w:rPr>
        <w:t xml:space="preserve">，具体情况汇总如下： </w:t>
      </w:r>
    </w:p>
    <w:tbl>
      <w:tblPr>
        <w:tblStyle w:val="19"/>
        <w:tblW w:w="0" w:type="auto"/>
        <w:tblInd w:w="-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29"/>
        <w:gridCol w:w="1701"/>
        <w:gridCol w:w="1843"/>
        <w:gridCol w:w="1701"/>
        <w:gridCol w:w="18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829" w:type="dxa"/>
            <w:shd w:val="clear" w:color="auto" w:fill="E6E6E6"/>
            <w:vAlign w:val="center"/>
          </w:tcPr>
          <w:p>
            <w:pPr>
              <w:pStyle w:val="13"/>
              <w:spacing w:line="240" w:lineRule="auto"/>
              <w:ind w:firstLine="0" w:firstLineChars="0"/>
              <w:jc w:val="center"/>
              <w:rPr>
                <w:rFonts w:hint="default" w:ascii="Times New Roman" w:hAnsi="Times New Roman" w:eastAsia="宋体" w:cs="Times New Roman"/>
                <w:kern w:val="0"/>
                <w:sz w:val="21"/>
                <w:szCs w:val="21"/>
              </w:rPr>
            </w:pPr>
            <w:r>
              <w:rPr>
                <w:rFonts w:hint="default" w:ascii="Times New Roman" w:hAnsi="Times New Roman" w:eastAsia="宋体" w:cs="Times New Roman"/>
                <w:sz w:val="21"/>
                <w:szCs w:val="21"/>
              </w:rPr>
              <w:t>采光总面积</w:t>
            </w:r>
            <w:r>
              <w:rPr>
                <w:rFonts w:hint="default" w:ascii="Times New Roman" w:hAnsi="Times New Roman" w:eastAsia="宋体" w:cs="Times New Roman"/>
                <w:kern w:val="0"/>
                <w:sz w:val="21"/>
                <w:szCs w:val="21"/>
              </w:rPr>
              <w:t>（m</w:t>
            </w:r>
            <w:r>
              <w:rPr>
                <w:rFonts w:hint="default" w:ascii="Times New Roman" w:hAnsi="Times New Roman" w:eastAsia="宋体" w:cs="Times New Roman"/>
                <w:kern w:val="0"/>
                <w:sz w:val="21"/>
                <w:szCs w:val="21"/>
                <w:vertAlign w:val="superscript"/>
              </w:rPr>
              <w:t>2</w:t>
            </w:r>
            <w:r>
              <w:rPr>
                <w:rFonts w:hint="default" w:ascii="Times New Roman" w:hAnsi="Times New Roman" w:eastAsia="宋体" w:cs="Times New Roman"/>
                <w:kern w:val="0"/>
                <w:sz w:val="21"/>
                <w:szCs w:val="21"/>
              </w:rPr>
              <w:t>）</w:t>
            </w:r>
          </w:p>
        </w:tc>
        <w:tc>
          <w:tcPr>
            <w:tcW w:w="1701" w:type="dxa"/>
            <w:shd w:val="clear" w:color="auto" w:fill="E6E6E6"/>
            <w:vAlign w:val="center"/>
          </w:tcPr>
          <w:p>
            <w:pPr>
              <w:pStyle w:val="13"/>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达标面积</w:t>
            </w:r>
            <w:r>
              <w:rPr>
                <w:rFonts w:hint="default" w:ascii="Times New Roman" w:hAnsi="Times New Roman" w:eastAsia="宋体" w:cs="Times New Roman"/>
                <w:kern w:val="0"/>
                <w:sz w:val="21"/>
                <w:szCs w:val="21"/>
              </w:rPr>
              <w:t>（m</w:t>
            </w:r>
            <w:r>
              <w:rPr>
                <w:rFonts w:hint="default" w:ascii="Times New Roman" w:hAnsi="Times New Roman" w:eastAsia="宋体" w:cs="Times New Roman"/>
                <w:kern w:val="0"/>
                <w:sz w:val="21"/>
                <w:szCs w:val="21"/>
                <w:vertAlign w:val="superscript"/>
              </w:rPr>
              <w:t>2</w:t>
            </w:r>
            <w:r>
              <w:rPr>
                <w:rFonts w:hint="default" w:ascii="Times New Roman" w:hAnsi="Times New Roman" w:eastAsia="宋体" w:cs="Times New Roman"/>
                <w:kern w:val="0"/>
                <w:sz w:val="21"/>
                <w:szCs w:val="21"/>
              </w:rPr>
              <w:t>）</w:t>
            </w:r>
          </w:p>
        </w:tc>
        <w:tc>
          <w:tcPr>
            <w:tcW w:w="1843" w:type="dxa"/>
            <w:shd w:val="clear" w:color="auto" w:fill="E6E6E6"/>
            <w:vAlign w:val="center"/>
          </w:tcPr>
          <w:p>
            <w:pPr>
              <w:pStyle w:val="13"/>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面积比例R</w:t>
            </w:r>
            <w:r>
              <w:rPr>
                <w:rFonts w:hint="default" w:ascii="Times New Roman" w:hAnsi="Times New Roman" w:eastAsia="宋体" w:cs="Times New Roman"/>
                <w:sz w:val="21"/>
                <w:szCs w:val="21"/>
                <w:vertAlign w:val="subscript"/>
              </w:rPr>
              <w:t>A</w:t>
            </w:r>
            <w:r>
              <w:rPr>
                <w:rFonts w:hint="default" w:ascii="Times New Roman" w:hAnsi="Times New Roman" w:eastAsia="宋体" w:cs="Times New Roman"/>
                <w:sz w:val="21"/>
                <w:szCs w:val="21"/>
              </w:rPr>
              <w:t>（%）</w:t>
            </w:r>
          </w:p>
        </w:tc>
        <w:tc>
          <w:tcPr>
            <w:tcW w:w="1701" w:type="dxa"/>
            <w:shd w:val="clear" w:color="auto" w:fill="E6E6E6"/>
            <w:vAlign w:val="center"/>
          </w:tcPr>
          <w:p>
            <w:pPr>
              <w:pStyle w:val="13"/>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标准要求（%）</w:t>
            </w:r>
          </w:p>
        </w:tc>
        <w:tc>
          <w:tcPr>
            <w:tcW w:w="1871" w:type="dxa"/>
            <w:shd w:val="clear" w:color="auto" w:fill="E6E6E6"/>
            <w:vAlign w:val="center"/>
          </w:tcPr>
          <w:p>
            <w:pPr>
              <w:pStyle w:val="13"/>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达标情况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829" w:type="dxa"/>
            <w:vAlign w:val="center"/>
          </w:tcPr>
          <w:p>
            <w:pPr>
              <w:pStyle w:val="13"/>
              <w:spacing w:line="240" w:lineRule="auto"/>
              <w:ind w:firstLine="0" w:firstLineChars="0"/>
              <w:jc w:val="center"/>
              <w:rPr>
                <w:rFonts w:hint="default" w:ascii="Times New Roman" w:hAnsi="Times New Roman" w:eastAsia="宋体" w:cs="Times New Roman"/>
                <w:sz w:val="21"/>
                <w:szCs w:val="21"/>
              </w:rPr>
            </w:pPr>
            <w:bookmarkStart w:id="72" w:name="采光面积"/>
            <w:r>
              <w:rPr>
                <w:rFonts w:hint="default" w:ascii="Times New Roman" w:hAnsi="Times New Roman" w:eastAsia="宋体" w:cs="Times New Roman"/>
                <w:sz w:val="21"/>
                <w:szCs w:val="21"/>
              </w:rPr>
              <w:t>1174.81</w:t>
            </w:r>
            <w:bookmarkEnd w:id="72"/>
          </w:p>
        </w:tc>
        <w:tc>
          <w:tcPr>
            <w:tcW w:w="1701" w:type="dxa"/>
            <w:vAlign w:val="center"/>
          </w:tcPr>
          <w:p>
            <w:pPr>
              <w:pStyle w:val="13"/>
              <w:spacing w:line="240" w:lineRule="auto"/>
              <w:ind w:firstLine="0" w:firstLineChars="0"/>
              <w:jc w:val="center"/>
              <w:rPr>
                <w:rFonts w:hint="default" w:ascii="Times New Roman" w:hAnsi="Times New Roman" w:eastAsia="宋体" w:cs="Times New Roman"/>
                <w:sz w:val="21"/>
                <w:szCs w:val="21"/>
              </w:rPr>
            </w:pPr>
            <w:bookmarkStart w:id="73" w:name="达标面积"/>
            <w:r>
              <w:rPr>
                <w:rFonts w:hint="default" w:ascii="Times New Roman" w:hAnsi="Times New Roman" w:eastAsia="宋体" w:cs="Times New Roman"/>
                <w:sz w:val="21"/>
                <w:szCs w:val="21"/>
              </w:rPr>
              <w:t>1174.81</w:t>
            </w:r>
            <w:bookmarkEnd w:id="73"/>
          </w:p>
        </w:tc>
        <w:tc>
          <w:tcPr>
            <w:tcW w:w="1843" w:type="dxa"/>
            <w:vAlign w:val="center"/>
          </w:tcPr>
          <w:p>
            <w:pPr>
              <w:pStyle w:val="13"/>
              <w:spacing w:line="240" w:lineRule="auto"/>
              <w:ind w:firstLine="0" w:firstLineChars="0"/>
              <w:jc w:val="center"/>
              <w:rPr>
                <w:rFonts w:hint="default" w:ascii="Times New Roman" w:hAnsi="Times New Roman" w:eastAsia="宋体" w:cs="Times New Roman"/>
                <w:sz w:val="21"/>
                <w:szCs w:val="21"/>
              </w:rPr>
            </w:pPr>
            <w:bookmarkStart w:id="74" w:name="达标率"/>
            <w:r>
              <w:rPr>
                <w:rFonts w:hint="default" w:ascii="Times New Roman" w:hAnsi="Times New Roman" w:eastAsia="宋体" w:cs="Times New Roman"/>
                <w:sz w:val="21"/>
                <w:szCs w:val="21"/>
              </w:rPr>
              <w:t>100</w:t>
            </w:r>
            <w:bookmarkEnd w:id="74"/>
          </w:p>
        </w:tc>
        <w:tc>
          <w:tcPr>
            <w:tcW w:w="1701" w:type="dxa"/>
            <w:vAlign w:val="center"/>
          </w:tcPr>
          <w:p>
            <w:pPr>
              <w:pStyle w:val="13"/>
              <w:spacing w:line="240" w:lineRule="auto"/>
              <w:ind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bookmarkStart w:id="75" w:name="达标率要求1"/>
            <w:r>
              <w:rPr>
                <w:rFonts w:hint="default" w:ascii="Times New Roman" w:hAnsi="Times New Roman" w:eastAsia="宋体" w:cs="Times New Roman"/>
                <w:sz w:val="21"/>
                <w:szCs w:val="21"/>
              </w:rPr>
              <w:t>75</w:t>
            </w:r>
            <w:bookmarkEnd w:id="75"/>
          </w:p>
        </w:tc>
        <w:tc>
          <w:tcPr>
            <w:tcW w:w="1871" w:type="dxa"/>
            <w:vAlign w:val="center"/>
          </w:tcPr>
          <w:p>
            <w:pPr>
              <w:pStyle w:val="13"/>
              <w:spacing w:line="240" w:lineRule="auto"/>
              <w:ind w:firstLine="0" w:firstLineChars="0"/>
              <w:jc w:val="center"/>
              <w:rPr>
                <w:rFonts w:hint="default" w:ascii="Times New Roman" w:hAnsi="Times New Roman" w:eastAsia="宋体" w:cs="Times New Roman"/>
                <w:sz w:val="21"/>
                <w:szCs w:val="21"/>
              </w:rPr>
            </w:pPr>
            <w:bookmarkStart w:id="76" w:name="达标率结论"/>
            <w:r>
              <w:rPr>
                <w:rFonts w:hint="default" w:ascii="Times New Roman" w:hAnsi="Times New Roman" w:eastAsia="宋体" w:cs="Times New Roman"/>
                <w:sz w:val="21"/>
                <w:szCs w:val="21"/>
              </w:rPr>
              <w:t>满足</w:t>
            </w:r>
            <w:bookmarkEnd w:id="76"/>
          </w:p>
        </w:tc>
      </w:tr>
    </w:tbl>
    <w:p>
      <w:pPr>
        <w:pStyle w:val="3"/>
        <w:tabs>
          <w:tab w:val="left" w:pos="900"/>
        </w:tabs>
        <w:ind w:firstLine="199" w:firstLineChars="95"/>
        <w:rPr>
          <w:lang w:val="en-US"/>
        </w:rPr>
      </w:pPr>
    </w:p>
    <w:p>
      <w:pPr>
        <w:spacing w:line="240" w:lineRule="auto"/>
        <w:jc w:val="both"/>
        <w:rPr>
          <w:b/>
          <w:sz w:val="28"/>
          <w:szCs w:val="28"/>
          <w:lang w:val="en-US"/>
        </w:rPr>
      </w:pPr>
      <w:bookmarkStart w:id="77" w:name="总平面图"/>
      <w:bookmarkEnd w:id="77"/>
    </w:p>
    <w:sectPr>
      <w:footerReference r:id="rId7" w:type="default"/>
      <w:pgSz w:w="11906" w:h="16838"/>
      <w:pgMar w:top="1440" w:right="1418" w:bottom="1440"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微软雅黑"/>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2</w:t>
                          </w:r>
                          <w:r>
                            <w:rPr>
                              <w:rFonts w:hint="eastAsia"/>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5"/>
                      <w:rPr>
                        <w:rFonts w:hint="eastAsia" w:eastAsia="微软雅黑"/>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2</w:t>
                    </w:r>
                    <w:r>
                      <w:rPr>
                        <w:rFonts w:hint="eastAsia"/>
                        <w:sz w:val="21"/>
                        <w:szCs w:val="21"/>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5"/>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微软雅黑"/>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4</w:t>
                          </w:r>
                          <w:r>
                            <w:rPr>
                              <w:rFonts w:hint="eastAsia"/>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5"/>
                      <w:rPr>
                        <w:rFonts w:hint="eastAsia" w:eastAsia="微软雅黑"/>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4</w:t>
                    </w:r>
                    <w:r>
                      <w:rPr>
                        <w:rFonts w:hint="eastAsia"/>
                        <w:sz w:val="21"/>
                        <w:szCs w:val="21"/>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line="240" w:lineRule="atLeast"/>
      <w:jc w:val="left"/>
      <w:rPr>
        <w:sz w:val="21"/>
      </w:rPr>
    </w:pPr>
    <w:r>
      <w:rPr>
        <w:rFonts w:hint="eastAsia"/>
      </w:rPr>
      <w:t xml:space="preserve"> </w:t>
    </w:r>
    <w:r>
      <w:rPr>
        <w:lang w:val="en-US"/>
      </w:rPr>
      <w:drawing>
        <wp:inline distT="0" distB="0" distL="0" distR="0">
          <wp:extent cx="854075" cy="163830"/>
          <wp:effectExtent l="0" t="0" r="3175"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4075" cy="163830"/>
                  </a:xfrm>
                  <a:prstGeom prst="rect">
                    <a:avLst/>
                  </a:prstGeom>
                  <a:noFill/>
                  <a:ln>
                    <a:noFill/>
                  </a:ln>
                </pic:spPr>
              </pic:pic>
            </a:graphicData>
          </a:graphic>
        </wp:inline>
      </w:drawing>
    </w:r>
    <w:r>
      <w:rPr>
        <w:rFonts w:hint="eastAsia"/>
      </w:rPr>
      <w:t xml:space="preserve">       </w:t>
    </w:r>
    <w:r>
      <w:t xml:space="preserve">                                    </w:t>
    </w:r>
    <w:r>
      <w:rPr>
        <w:rFonts w:hint="eastAsia"/>
        <w:lang w:val="en-US" w:eastAsia="zh-CN"/>
      </w:rPr>
      <w:t xml:space="preserve">                </w:t>
    </w:r>
    <w:r>
      <w:t xml:space="preserve">      </w:t>
    </w:r>
    <w:r>
      <w:rPr>
        <w:rFonts w:hint="eastAsia" w:ascii="宋体" w:hAnsi="宋体" w:cs="宋体"/>
        <w:sz w:val="18"/>
        <w:szCs w:val="18"/>
        <w:lang w:val="en-US" w:eastAsia="zh-CN"/>
      </w:rPr>
      <w:t xml:space="preserve"> 建筑采光分析</w:t>
    </w:r>
    <w:r>
      <w:rPr>
        <w:rFonts w:hint="eastAsia" w:ascii="宋体" w:hAnsi="宋体" w:eastAsia="宋体" w:cs="宋体"/>
        <w:sz w:val="18"/>
        <w:szCs w:val="18"/>
        <w:lang w:val="en-US" w:eastAsia="zh-CN"/>
      </w:rPr>
      <w:t>报告</w:t>
    </w:r>
    <w:r>
      <w:rPr>
        <w:rFonts w:hint="eastAsia" w:ascii="宋体" w:hAnsi="宋体" w:eastAsia="宋体" w:cs="宋体"/>
        <w:sz w:val="18"/>
        <w:szCs w:val="18"/>
        <w:lang w:val="en-US"/>
      </w:rPr>
      <w:t>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line="240" w:lineRule="atLeast"/>
      <w:jc w:val="left"/>
    </w:pPr>
    <w:r>
      <w:rPr>
        <w:rFonts w:hint="eastAsia"/>
      </w:rPr>
      <w:t xml:space="preserve"> </w:t>
    </w:r>
    <w:r>
      <w:rPr>
        <w:lang w:val="en-US"/>
      </w:rPr>
      <w:drawing>
        <wp:inline distT="0" distB="0" distL="0" distR="0">
          <wp:extent cx="854075" cy="163830"/>
          <wp:effectExtent l="0" t="0" r="3175" b="762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4075" cy="163830"/>
                  </a:xfrm>
                  <a:prstGeom prst="rect">
                    <a:avLst/>
                  </a:prstGeom>
                  <a:noFill/>
                  <a:ln>
                    <a:noFill/>
                  </a:ln>
                </pic:spPr>
              </pic:pic>
            </a:graphicData>
          </a:graphic>
        </wp:inline>
      </w:drawing>
    </w:r>
    <w:r>
      <w:rPr>
        <w:rFonts w:hint="eastAsia" w:ascii="宋体" w:hAnsi="宋体" w:eastAsia="宋体" w:cs="宋体"/>
        <w:sz w:val="18"/>
        <w:szCs w:val="18"/>
        <w:lang w:val="en-US" w:eastAsia="zh-CN"/>
      </w:rPr>
      <w:t xml:space="preserve"> </w:t>
    </w:r>
    <w:r>
      <w:rPr>
        <w:rFonts w:hint="eastAsia" w:ascii="宋体" w:hAnsi="宋体" w:cs="宋体"/>
        <w:sz w:val="18"/>
        <w:szCs w:val="18"/>
        <w:lang w:val="en-US" w:eastAsia="zh-CN"/>
      </w:rPr>
      <w:t xml:space="preserve">                                                                 建筑采光分析</w:t>
    </w:r>
    <w:r>
      <w:rPr>
        <w:rFonts w:hint="eastAsia" w:ascii="宋体" w:hAnsi="宋体" w:eastAsia="宋体" w:cs="宋体"/>
        <w:sz w:val="18"/>
        <w:szCs w:val="18"/>
        <w:lang w:val="en-US" w:eastAsia="zh-CN"/>
      </w:rPr>
      <w:t>报告</w:t>
    </w:r>
    <w:r>
      <w:rPr>
        <w:rFonts w:hint="eastAsia" w:ascii="宋体" w:hAnsi="宋体" w:eastAsia="宋体" w:cs="宋体"/>
        <w:sz w:val="18"/>
        <w:szCs w:val="18"/>
        <w:lang w:val="en-US"/>
      </w:rP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29A5612E"/>
    <w:multiLevelType w:val="multilevel"/>
    <w:tmpl w:val="29A5612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F4515C8"/>
    <w:multiLevelType w:val="multilevel"/>
    <w:tmpl w:val="2F4515C8"/>
    <w:lvl w:ilvl="0" w:tentative="0">
      <w:start w:val="1"/>
      <w:numFmt w:val="bullet"/>
      <w:lvlText w:val=""/>
      <w:lvlJc w:val="left"/>
      <w:pPr>
        <w:ind w:left="902"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7A1632"/>
    <w:rsid w:val="0000161E"/>
    <w:rsid w:val="00003F3F"/>
    <w:rsid w:val="000064B9"/>
    <w:rsid w:val="00037A4C"/>
    <w:rsid w:val="000574BA"/>
    <w:rsid w:val="000631B3"/>
    <w:rsid w:val="00073D32"/>
    <w:rsid w:val="00075C7F"/>
    <w:rsid w:val="000778BF"/>
    <w:rsid w:val="000819B3"/>
    <w:rsid w:val="00083664"/>
    <w:rsid w:val="000926EC"/>
    <w:rsid w:val="00092872"/>
    <w:rsid w:val="000956DD"/>
    <w:rsid w:val="000960EA"/>
    <w:rsid w:val="000A374F"/>
    <w:rsid w:val="000A4C93"/>
    <w:rsid w:val="000A5765"/>
    <w:rsid w:val="000A6EC1"/>
    <w:rsid w:val="000B0C6D"/>
    <w:rsid w:val="000B2414"/>
    <w:rsid w:val="000B616C"/>
    <w:rsid w:val="000C2EF9"/>
    <w:rsid w:val="000C3722"/>
    <w:rsid w:val="000D1936"/>
    <w:rsid w:val="000E2204"/>
    <w:rsid w:val="000E3005"/>
    <w:rsid w:val="000F1573"/>
    <w:rsid w:val="000F6298"/>
    <w:rsid w:val="000F7EF2"/>
    <w:rsid w:val="000F7FEF"/>
    <w:rsid w:val="001037D7"/>
    <w:rsid w:val="0010661D"/>
    <w:rsid w:val="001066A6"/>
    <w:rsid w:val="00111340"/>
    <w:rsid w:val="00122AE1"/>
    <w:rsid w:val="00125290"/>
    <w:rsid w:val="00125B6E"/>
    <w:rsid w:val="001436FF"/>
    <w:rsid w:val="0014776A"/>
    <w:rsid w:val="00150077"/>
    <w:rsid w:val="00153175"/>
    <w:rsid w:val="001549CD"/>
    <w:rsid w:val="0016457D"/>
    <w:rsid w:val="001726BA"/>
    <w:rsid w:val="00177073"/>
    <w:rsid w:val="001811B7"/>
    <w:rsid w:val="00181C22"/>
    <w:rsid w:val="001A0490"/>
    <w:rsid w:val="001A17A4"/>
    <w:rsid w:val="001A213A"/>
    <w:rsid w:val="001B19C7"/>
    <w:rsid w:val="001C24B2"/>
    <w:rsid w:val="001C4159"/>
    <w:rsid w:val="001C668A"/>
    <w:rsid w:val="001D13B1"/>
    <w:rsid w:val="001D747C"/>
    <w:rsid w:val="001E049F"/>
    <w:rsid w:val="001F7D7C"/>
    <w:rsid w:val="00203A7D"/>
    <w:rsid w:val="00206942"/>
    <w:rsid w:val="0021152D"/>
    <w:rsid w:val="0021557F"/>
    <w:rsid w:val="002229C1"/>
    <w:rsid w:val="00223535"/>
    <w:rsid w:val="00232CE2"/>
    <w:rsid w:val="002359D1"/>
    <w:rsid w:val="00241D4E"/>
    <w:rsid w:val="002533B2"/>
    <w:rsid w:val="0025362B"/>
    <w:rsid w:val="002555B8"/>
    <w:rsid w:val="0025661E"/>
    <w:rsid w:val="0025786A"/>
    <w:rsid w:val="00262FC5"/>
    <w:rsid w:val="00263940"/>
    <w:rsid w:val="00263D4E"/>
    <w:rsid w:val="002675C4"/>
    <w:rsid w:val="00271EFB"/>
    <w:rsid w:val="0029523E"/>
    <w:rsid w:val="002A1DE5"/>
    <w:rsid w:val="002A7369"/>
    <w:rsid w:val="002B0A02"/>
    <w:rsid w:val="002B336A"/>
    <w:rsid w:val="002B7391"/>
    <w:rsid w:val="002C17A2"/>
    <w:rsid w:val="002D0FB8"/>
    <w:rsid w:val="002D2C0C"/>
    <w:rsid w:val="002D4EE7"/>
    <w:rsid w:val="002D7842"/>
    <w:rsid w:val="002E7C19"/>
    <w:rsid w:val="0030437C"/>
    <w:rsid w:val="00305725"/>
    <w:rsid w:val="003076B4"/>
    <w:rsid w:val="0031146C"/>
    <w:rsid w:val="003121F7"/>
    <w:rsid w:val="003123FB"/>
    <w:rsid w:val="00314D29"/>
    <w:rsid w:val="0032461A"/>
    <w:rsid w:val="00326415"/>
    <w:rsid w:val="0033176E"/>
    <w:rsid w:val="00355840"/>
    <w:rsid w:val="003642AC"/>
    <w:rsid w:val="003729C7"/>
    <w:rsid w:val="00373C15"/>
    <w:rsid w:val="00397638"/>
    <w:rsid w:val="003A2B52"/>
    <w:rsid w:val="003A44D7"/>
    <w:rsid w:val="003A4789"/>
    <w:rsid w:val="003A5353"/>
    <w:rsid w:val="003A665B"/>
    <w:rsid w:val="003B6FAD"/>
    <w:rsid w:val="003C02DC"/>
    <w:rsid w:val="003C153A"/>
    <w:rsid w:val="003C5FD5"/>
    <w:rsid w:val="003D0076"/>
    <w:rsid w:val="003D7D7D"/>
    <w:rsid w:val="003E33ED"/>
    <w:rsid w:val="003E4878"/>
    <w:rsid w:val="003F66A9"/>
    <w:rsid w:val="00401807"/>
    <w:rsid w:val="0040698B"/>
    <w:rsid w:val="00413082"/>
    <w:rsid w:val="004140D8"/>
    <w:rsid w:val="004142EF"/>
    <w:rsid w:val="00414C53"/>
    <w:rsid w:val="0042654D"/>
    <w:rsid w:val="00426C2B"/>
    <w:rsid w:val="004315D3"/>
    <w:rsid w:val="00431AD1"/>
    <w:rsid w:val="00437F85"/>
    <w:rsid w:val="004416CE"/>
    <w:rsid w:val="004511B0"/>
    <w:rsid w:val="00452417"/>
    <w:rsid w:val="00454D77"/>
    <w:rsid w:val="00455D17"/>
    <w:rsid w:val="004606F9"/>
    <w:rsid w:val="00461600"/>
    <w:rsid w:val="00462EFD"/>
    <w:rsid w:val="0047512A"/>
    <w:rsid w:val="004839C8"/>
    <w:rsid w:val="00493F69"/>
    <w:rsid w:val="00495AAA"/>
    <w:rsid w:val="004A5381"/>
    <w:rsid w:val="004B63AF"/>
    <w:rsid w:val="004B63BA"/>
    <w:rsid w:val="004B721C"/>
    <w:rsid w:val="004C18E3"/>
    <w:rsid w:val="004D0938"/>
    <w:rsid w:val="004D230F"/>
    <w:rsid w:val="004D449D"/>
    <w:rsid w:val="004F083C"/>
    <w:rsid w:val="004F181A"/>
    <w:rsid w:val="005215FB"/>
    <w:rsid w:val="00527019"/>
    <w:rsid w:val="00531484"/>
    <w:rsid w:val="00532699"/>
    <w:rsid w:val="00533AC5"/>
    <w:rsid w:val="005421A7"/>
    <w:rsid w:val="00552592"/>
    <w:rsid w:val="00553946"/>
    <w:rsid w:val="00555634"/>
    <w:rsid w:val="00555EF2"/>
    <w:rsid w:val="00556235"/>
    <w:rsid w:val="00560CD5"/>
    <w:rsid w:val="00562402"/>
    <w:rsid w:val="00573CF6"/>
    <w:rsid w:val="005755BA"/>
    <w:rsid w:val="00584D6B"/>
    <w:rsid w:val="005A0064"/>
    <w:rsid w:val="005B290E"/>
    <w:rsid w:val="005B5A6C"/>
    <w:rsid w:val="005D14F5"/>
    <w:rsid w:val="005D1EDD"/>
    <w:rsid w:val="005E6722"/>
    <w:rsid w:val="005E68D9"/>
    <w:rsid w:val="005F2261"/>
    <w:rsid w:val="005F47A5"/>
    <w:rsid w:val="005F5BA5"/>
    <w:rsid w:val="005F76EF"/>
    <w:rsid w:val="00607042"/>
    <w:rsid w:val="0061137B"/>
    <w:rsid w:val="00616D08"/>
    <w:rsid w:val="0062034E"/>
    <w:rsid w:val="006240DC"/>
    <w:rsid w:val="0063216A"/>
    <w:rsid w:val="00635622"/>
    <w:rsid w:val="00637496"/>
    <w:rsid w:val="00642769"/>
    <w:rsid w:val="00642B94"/>
    <w:rsid w:val="006544F4"/>
    <w:rsid w:val="00654656"/>
    <w:rsid w:val="00657C3E"/>
    <w:rsid w:val="0066057C"/>
    <w:rsid w:val="00665923"/>
    <w:rsid w:val="00671958"/>
    <w:rsid w:val="00680AB5"/>
    <w:rsid w:val="006843B0"/>
    <w:rsid w:val="00694FCA"/>
    <w:rsid w:val="006A10D8"/>
    <w:rsid w:val="006A1E88"/>
    <w:rsid w:val="006A4CE8"/>
    <w:rsid w:val="006B01BC"/>
    <w:rsid w:val="006B18AC"/>
    <w:rsid w:val="006B34E4"/>
    <w:rsid w:val="006B4299"/>
    <w:rsid w:val="006B628D"/>
    <w:rsid w:val="006B7DEF"/>
    <w:rsid w:val="006C2054"/>
    <w:rsid w:val="006C6715"/>
    <w:rsid w:val="006E6C2F"/>
    <w:rsid w:val="006F480A"/>
    <w:rsid w:val="006F7A7C"/>
    <w:rsid w:val="00704059"/>
    <w:rsid w:val="007053C9"/>
    <w:rsid w:val="00711EB3"/>
    <w:rsid w:val="00717D98"/>
    <w:rsid w:val="00720044"/>
    <w:rsid w:val="00727291"/>
    <w:rsid w:val="00740F7A"/>
    <w:rsid w:val="0075416C"/>
    <w:rsid w:val="00756783"/>
    <w:rsid w:val="00760593"/>
    <w:rsid w:val="007654B0"/>
    <w:rsid w:val="007665F4"/>
    <w:rsid w:val="00776121"/>
    <w:rsid w:val="00777DB2"/>
    <w:rsid w:val="00784B44"/>
    <w:rsid w:val="007859D0"/>
    <w:rsid w:val="007A22D1"/>
    <w:rsid w:val="007A272D"/>
    <w:rsid w:val="007A2817"/>
    <w:rsid w:val="007B1E12"/>
    <w:rsid w:val="007C100C"/>
    <w:rsid w:val="007C324F"/>
    <w:rsid w:val="007C3470"/>
    <w:rsid w:val="007D19BF"/>
    <w:rsid w:val="007D2688"/>
    <w:rsid w:val="007D5FE7"/>
    <w:rsid w:val="007E37DA"/>
    <w:rsid w:val="007F5675"/>
    <w:rsid w:val="00801632"/>
    <w:rsid w:val="00802B5F"/>
    <w:rsid w:val="00806523"/>
    <w:rsid w:val="00810B33"/>
    <w:rsid w:val="00816B29"/>
    <w:rsid w:val="00822CE4"/>
    <w:rsid w:val="008429A4"/>
    <w:rsid w:val="008677E8"/>
    <w:rsid w:val="00883D6C"/>
    <w:rsid w:val="00893617"/>
    <w:rsid w:val="0089491C"/>
    <w:rsid w:val="008A54A0"/>
    <w:rsid w:val="008A60F3"/>
    <w:rsid w:val="008C66D5"/>
    <w:rsid w:val="008D31F9"/>
    <w:rsid w:val="008D4BEC"/>
    <w:rsid w:val="008E0D54"/>
    <w:rsid w:val="008F0010"/>
    <w:rsid w:val="008F3FD1"/>
    <w:rsid w:val="0090340B"/>
    <w:rsid w:val="00903994"/>
    <w:rsid w:val="00905F94"/>
    <w:rsid w:val="0090796B"/>
    <w:rsid w:val="00915B1F"/>
    <w:rsid w:val="00916DFB"/>
    <w:rsid w:val="00921740"/>
    <w:rsid w:val="00933379"/>
    <w:rsid w:val="009360C1"/>
    <w:rsid w:val="009363FF"/>
    <w:rsid w:val="00965C46"/>
    <w:rsid w:val="00972CA9"/>
    <w:rsid w:val="00975F79"/>
    <w:rsid w:val="00994447"/>
    <w:rsid w:val="009A0AEE"/>
    <w:rsid w:val="009A15B5"/>
    <w:rsid w:val="009A6B0F"/>
    <w:rsid w:val="009A7793"/>
    <w:rsid w:val="009B0205"/>
    <w:rsid w:val="009B23C7"/>
    <w:rsid w:val="009B45FD"/>
    <w:rsid w:val="009B6CD0"/>
    <w:rsid w:val="009C4AE6"/>
    <w:rsid w:val="009C58B7"/>
    <w:rsid w:val="009D02E3"/>
    <w:rsid w:val="009E21EA"/>
    <w:rsid w:val="009E6B81"/>
    <w:rsid w:val="009F5016"/>
    <w:rsid w:val="00A01886"/>
    <w:rsid w:val="00A1761F"/>
    <w:rsid w:val="00A257D9"/>
    <w:rsid w:val="00A25B99"/>
    <w:rsid w:val="00A32590"/>
    <w:rsid w:val="00A355BD"/>
    <w:rsid w:val="00A4357C"/>
    <w:rsid w:val="00A45268"/>
    <w:rsid w:val="00A4594D"/>
    <w:rsid w:val="00A47443"/>
    <w:rsid w:val="00A52B0B"/>
    <w:rsid w:val="00A67FCB"/>
    <w:rsid w:val="00A7134B"/>
    <w:rsid w:val="00A905FE"/>
    <w:rsid w:val="00A90BB1"/>
    <w:rsid w:val="00A95E06"/>
    <w:rsid w:val="00A96DD2"/>
    <w:rsid w:val="00A972F1"/>
    <w:rsid w:val="00AA47FE"/>
    <w:rsid w:val="00AC2594"/>
    <w:rsid w:val="00AD0888"/>
    <w:rsid w:val="00AD149F"/>
    <w:rsid w:val="00AD2D17"/>
    <w:rsid w:val="00AE19C8"/>
    <w:rsid w:val="00AF050E"/>
    <w:rsid w:val="00AF5445"/>
    <w:rsid w:val="00B04B9D"/>
    <w:rsid w:val="00B11146"/>
    <w:rsid w:val="00B30374"/>
    <w:rsid w:val="00B305EB"/>
    <w:rsid w:val="00B364B6"/>
    <w:rsid w:val="00B41640"/>
    <w:rsid w:val="00B43D6A"/>
    <w:rsid w:val="00B55B22"/>
    <w:rsid w:val="00B60841"/>
    <w:rsid w:val="00B634AB"/>
    <w:rsid w:val="00B746B8"/>
    <w:rsid w:val="00B77743"/>
    <w:rsid w:val="00B81CF0"/>
    <w:rsid w:val="00B919EF"/>
    <w:rsid w:val="00B92114"/>
    <w:rsid w:val="00BB3B23"/>
    <w:rsid w:val="00BD2877"/>
    <w:rsid w:val="00BE09AC"/>
    <w:rsid w:val="00C07EC2"/>
    <w:rsid w:val="00C14204"/>
    <w:rsid w:val="00C257AB"/>
    <w:rsid w:val="00C31583"/>
    <w:rsid w:val="00C3168B"/>
    <w:rsid w:val="00C37F41"/>
    <w:rsid w:val="00C44808"/>
    <w:rsid w:val="00C512AE"/>
    <w:rsid w:val="00C52727"/>
    <w:rsid w:val="00C57C49"/>
    <w:rsid w:val="00C63237"/>
    <w:rsid w:val="00C67778"/>
    <w:rsid w:val="00C72CFF"/>
    <w:rsid w:val="00C8032E"/>
    <w:rsid w:val="00C85350"/>
    <w:rsid w:val="00C85670"/>
    <w:rsid w:val="00C9434C"/>
    <w:rsid w:val="00C97E25"/>
    <w:rsid w:val="00CA6D5E"/>
    <w:rsid w:val="00CA7AE3"/>
    <w:rsid w:val="00CB6248"/>
    <w:rsid w:val="00CC0F0F"/>
    <w:rsid w:val="00CC196B"/>
    <w:rsid w:val="00CC5A8F"/>
    <w:rsid w:val="00CD0DC1"/>
    <w:rsid w:val="00CD4869"/>
    <w:rsid w:val="00CE28AA"/>
    <w:rsid w:val="00CF022B"/>
    <w:rsid w:val="00CF6917"/>
    <w:rsid w:val="00D00941"/>
    <w:rsid w:val="00D062D7"/>
    <w:rsid w:val="00D1581A"/>
    <w:rsid w:val="00D17CF8"/>
    <w:rsid w:val="00D20821"/>
    <w:rsid w:val="00D264C0"/>
    <w:rsid w:val="00D30C0E"/>
    <w:rsid w:val="00D40158"/>
    <w:rsid w:val="00D43C46"/>
    <w:rsid w:val="00D52EC0"/>
    <w:rsid w:val="00D560A9"/>
    <w:rsid w:val="00D60976"/>
    <w:rsid w:val="00D62A9A"/>
    <w:rsid w:val="00D804D0"/>
    <w:rsid w:val="00D86268"/>
    <w:rsid w:val="00D908BA"/>
    <w:rsid w:val="00DA4AE0"/>
    <w:rsid w:val="00DB392C"/>
    <w:rsid w:val="00DB777B"/>
    <w:rsid w:val="00DC0849"/>
    <w:rsid w:val="00DC08B7"/>
    <w:rsid w:val="00DC73AD"/>
    <w:rsid w:val="00DD1C66"/>
    <w:rsid w:val="00DD3C92"/>
    <w:rsid w:val="00DE3377"/>
    <w:rsid w:val="00DE39CD"/>
    <w:rsid w:val="00DF470C"/>
    <w:rsid w:val="00E02787"/>
    <w:rsid w:val="00E11D23"/>
    <w:rsid w:val="00E12326"/>
    <w:rsid w:val="00E125AE"/>
    <w:rsid w:val="00E12AD1"/>
    <w:rsid w:val="00E25349"/>
    <w:rsid w:val="00E25E8C"/>
    <w:rsid w:val="00E30245"/>
    <w:rsid w:val="00E42F38"/>
    <w:rsid w:val="00E62202"/>
    <w:rsid w:val="00E70768"/>
    <w:rsid w:val="00E74F22"/>
    <w:rsid w:val="00E81ACD"/>
    <w:rsid w:val="00E950A3"/>
    <w:rsid w:val="00EA5131"/>
    <w:rsid w:val="00EB3742"/>
    <w:rsid w:val="00EB450B"/>
    <w:rsid w:val="00EB65C7"/>
    <w:rsid w:val="00EC0807"/>
    <w:rsid w:val="00EC65A4"/>
    <w:rsid w:val="00ED3F17"/>
    <w:rsid w:val="00EE0F57"/>
    <w:rsid w:val="00F03145"/>
    <w:rsid w:val="00F0686F"/>
    <w:rsid w:val="00F11BB9"/>
    <w:rsid w:val="00F26211"/>
    <w:rsid w:val="00F308B6"/>
    <w:rsid w:val="00F32066"/>
    <w:rsid w:val="00F35190"/>
    <w:rsid w:val="00F51600"/>
    <w:rsid w:val="00F54FBC"/>
    <w:rsid w:val="00F642A6"/>
    <w:rsid w:val="00F663AC"/>
    <w:rsid w:val="00F75DD1"/>
    <w:rsid w:val="00F75EFE"/>
    <w:rsid w:val="00F7631E"/>
    <w:rsid w:val="00F8504B"/>
    <w:rsid w:val="00F959AF"/>
    <w:rsid w:val="00F972A6"/>
    <w:rsid w:val="00FA4B87"/>
    <w:rsid w:val="00FF14DB"/>
    <w:rsid w:val="00FF2243"/>
    <w:rsid w:val="00FF4761"/>
    <w:rsid w:val="00FF5617"/>
    <w:rsid w:val="00FF752E"/>
    <w:rsid w:val="047A1FED"/>
    <w:rsid w:val="0C311230"/>
    <w:rsid w:val="0D4054F2"/>
    <w:rsid w:val="0E9E79FF"/>
    <w:rsid w:val="12094F17"/>
    <w:rsid w:val="530A7C24"/>
    <w:rsid w:val="577A1632"/>
    <w:rsid w:val="75336648"/>
    <w:rsid w:val="78D87CFD"/>
    <w:rsid w:val="7CF57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exact"/>
      <w:jc w:val="center"/>
    </w:pPr>
    <w:rPr>
      <w:rFonts w:ascii="微软雅黑" w:hAnsi="微软雅黑" w:eastAsia="微软雅黑" w:cs="Times New Roman"/>
      <w:sz w:val="18"/>
      <w:lang w:val="en-GB" w:eastAsia="zh-CN" w:bidi="ar-SA"/>
    </w:rPr>
  </w:style>
  <w:style w:type="paragraph" w:styleId="2">
    <w:name w:val="heading 1"/>
    <w:next w:val="3"/>
    <w:link w:val="26"/>
    <w:qFormat/>
    <w:uiPriority w:val="0"/>
    <w:pPr>
      <w:keepNext/>
      <w:numPr>
        <w:ilvl w:val="0"/>
        <w:numId w:val="1"/>
      </w:numPr>
      <w:kinsoku w:val="0"/>
      <w:spacing w:before="240" w:after="60"/>
      <w:ind w:left="432" w:hanging="432"/>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tabs>
        <w:tab w:val="left" w:pos="567"/>
        <w:tab w:val="clear" w:pos="578"/>
      </w:tabs>
      <w:kinsoku w:val="0"/>
      <w:spacing w:before="240" w:after="240"/>
      <w:ind w:left="567"/>
      <w:jc w:val="both"/>
      <w:outlineLvl w:val="1"/>
    </w:pPr>
    <w:rPr>
      <w:rFonts w:ascii="微软雅黑" w:hAnsi="微软雅黑"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微软雅黑" w:hAnsi="微软雅黑"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rFonts w:ascii="Times New Roman" w:hAnsi="Times New Roman" w:eastAsia="宋体"/>
      <w:b/>
      <w:bCs/>
      <w:sz w:val="21"/>
      <w:szCs w:val="28"/>
    </w:rPr>
  </w:style>
  <w:style w:type="paragraph" w:styleId="7">
    <w:name w:val="heading 5"/>
    <w:basedOn w:val="1"/>
    <w:next w:val="1"/>
    <w:qFormat/>
    <w:uiPriority w:val="0"/>
    <w:pPr>
      <w:numPr>
        <w:ilvl w:val="4"/>
        <w:numId w:val="1"/>
      </w:numPr>
      <w:spacing w:before="240" w:after="60"/>
      <w:outlineLvl w:val="4"/>
    </w:pPr>
    <w:rPr>
      <w:rFonts w:ascii="Times New Roman" w:hAnsi="Times New Roman" w:eastAsia="宋体"/>
      <w:b/>
      <w:bCs/>
      <w:iCs/>
      <w:sz w:val="21"/>
      <w:szCs w:val="26"/>
    </w:rPr>
  </w:style>
  <w:style w:type="paragraph" w:styleId="8">
    <w:name w:val="heading 6"/>
    <w:basedOn w:val="1"/>
    <w:next w:val="1"/>
    <w:qFormat/>
    <w:uiPriority w:val="0"/>
    <w:pPr>
      <w:numPr>
        <w:ilvl w:val="5"/>
        <w:numId w:val="1"/>
      </w:numPr>
      <w:spacing w:before="240" w:after="60"/>
      <w:outlineLvl w:val="5"/>
    </w:pPr>
    <w:rPr>
      <w:rFonts w:ascii="Times New Roman" w:hAnsi="Times New Roman" w:eastAsia="宋体"/>
      <w:b/>
      <w:bCs/>
      <w:sz w:val="21"/>
      <w:szCs w:val="22"/>
    </w:rPr>
  </w:style>
  <w:style w:type="paragraph" w:styleId="9">
    <w:name w:val="heading 7"/>
    <w:basedOn w:val="1"/>
    <w:next w:val="1"/>
    <w:qFormat/>
    <w:uiPriority w:val="0"/>
    <w:pPr>
      <w:numPr>
        <w:ilvl w:val="6"/>
        <w:numId w:val="1"/>
      </w:numPr>
      <w:spacing w:before="240" w:after="60"/>
      <w:outlineLvl w:val="6"/>
    </w:pPr>
    <w:rPr>
      <w:rFonts w:ascii="Times New Roman" w:hAnsi="Times New Roman" w:eastAsia="宋体"/>
      <w:sz w:val="24"/>
      <w:szCs w:val="24"/>
    </w:rPr>
  </w:style>
  <w:style w:type="paragraph" w:styleId="10">
    <w:name w:val="heading 8"/>
    <w:basedOn w:val="1"/>
    <w:next w:val="1"/>
    <w:qFormat/>
    <w:uiPriority w:val="0"/>
    <w:pPr>
      <w:numPr>
        <w:ilvl w:val="7"/>
        <w:numId w:val="1"/>
      </w:numPr>
      <w:spacing w:before="240" w:after="60"/>
      <w:outlineLvl w:val="7"/>
    </w:pPr>
    <w:rPr>
      <w:rFonts w:ascii="Times New Roman" w:hAnsi="Times New Roman" w:eastAsia="宋体"/>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eastAsia="宋体" w:cs="Arial"/>
      <w:sz w:val="22"/>
      <w:szCs w:val="2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宋体" w:cs="Times New Roman"/>
      <w:sz w:val="21"/>
      <w:szCs w:val="21"/>
      <w:lang w:val="en-GB" w:eastAsia="zh-CN" w:bidi="ar-SA"/>
    </w:rPr>
  </w:style>
  <w:style w:type="paragraph" w:styleId="12">
    <w:name w:val="Document Map"/>
    <w:basedOn w:val="1"/>
    <w:semiHidden/>
    <w:qFormat/>
    <w:uiPriority w:val="0"/>
    <w:pPr>
      <w:shd w:val="clear" w:color="auto" w:fill="000080"/>
    </w:pPr>
    <w:rPr>
      <w:rFonts w:ascii="Times New Roman" w:hAnsi="Times New Roman" w:eastAsia="宋体"/>
    </w:rPr>
  </w:style>
  <w:style w:type="paragraph" w:styleId="13">
    <w:name w:val="Body Text Indent"/>
    <w:basedOn w:val="1"/>
    <w:link w:val="23"/>
    <w:qFormat/>
    <w:uiPriority w:val="0"/>
    <w:pPr>
      <w:widowControl w:val="0"/>
      <w:spacing w:line="400" w:lineRule="exact"/>
      <w:ind w:firstLine="480" w:firstLineChars="200"/>
      <w:jc w:val="both"/>
    </w:pPr>
    <w:rPr>
      <w:rFonts w:ascii="宋体" w:hAnsi="宋体" w:eastAsia="宋体"/>
      <w:kern w:val="2"/>
      <w:sz w:val="24"/>
      <w:szCs w:val="24"/>
      <w:lang w:val="en-US"/>
    </w:rPr>
  </w:style>
  <w:style w:type="paragraph" w:styleId="14">
    <w:name w:val="toc 3"/>
    <w:basedOn w:val="1"/>
    <w:next w:val="1"/>
    <w:qFormat/>
    <w:uiPriority w:val="39"/>
    <w:pPr>
      <w:tabs>
        <w:tab w:val="left" w:pos="900"/>
        <w:tab w:val="left" w:pos="1260"/>
        <w:tab w:val="right" w:leader="dot" w:pos="9360"/>
      </w:tabs>
      <w:ind w:left="210" w:firstLine="210" w:firstLineChars="100"/>
    </w:pPr>
    <w:rPr>
      <w:rFonts w:ascii="Times New Roman" w:hAnsi="Times New Roman"/>
      <w:kern w:val="2"/>
      <w:sz w:val="21"/>
      <w:szCs w:val="24"/>
      <w:lang w:val="en-US"/>
    </w:rPr>
  </w:style>
  <w:style w:type="paragraph" w:styleId="15">
    <w:name w:val="footer"/>
    <w:basedOn w:val="1"/>
    <w:qFormat/>
    <w:uiPriority w:val="0"/>
    <w:pPr>
      <w:tabs>
        <w:tab w:val="center" w:pos="4153"/>
        <w:tab w:val="right" w:pos="8306"/>
      </w:tabs>
      <w:snapToGrid w:val="0"/>
    </w:pPr>
    <w:rPr>
      <w:rFonts w:ascii="Times New Roman" w:hAnsi="Times New Roman" w:eastAsia="宋体"/>
      <w:szCs w:val="18"/>
    </w:rPr>
  </w:style>
  <w:style w:type="paragraph" w:styleId="16">
    <w:name w:val="header"/>
    <w:basedOn w:val="1"/>
    <w:qFormat/>
    <w:uiPriority w:val="0"/>
    <w:pPr>
      <w:pBdr>
        <w:bottom w:val="single" w:color="auto" w:sz="6" w:space="1"/>
      </w:pBdr>
      <w:tabs>
        <w:tab w:val="center" w:pos="4153"/>
        <w:tab w:val="right" w:pos="8306"/>
      </w:tabs>
      <w:snapToGrid w:val="0"/>
    </w:pPr>
    <w:rPr>
      <w:rFonts w:ascii="Times New Roman" w:hAnsi="Times New Roman" w:eastAsia="宋体"/>
      <w:szCs w:val="18"/>
    </w:rPr>
  </w:style>
  <w:style w:type="paragraph" w:styleId="17">
    <w:name w:val="toc 1"/>
    <w:basedOn w:val="1"/>
    <w:next w:val="1"/>
    <w:qFormat/>
    <w:uiPriority w:val="39"/>
    <w:pPr>
      <w:tabs>
        <w:tab w:val="left" w:leader="dot" w:pos="180"/>
        <w:tab w:val="left" w:pos="420"/>
        <w:tab w:val="right" w:leader="dot" w:pos="9360"/>
      </w:tabs>
    </w:pPr>
    <w:rPr>
      <w:rFonts w:ascii="Times New Roman" w:hAnsi="Times New Roman"/>
      <w:b/>
      <w:bCs/>
      <w:kern w:val="2"/>
      <w:sz w:val="21"/>
      <w:szCs w:val="24"/>
      <w:lang w:val="en-US"/>
    </w:rPr>
  </w:style>
  <w:style w:type="paragraph" w:styleId="18">
    <w:name w:val="toc 2"/>
    <w:basedOn w:val="1"/>
    <w:next w:val="1"/>
    <w:qFormat/>
    <w:uiPriority w:val="39"/>
    <w:pPr>
      <w:tabs>
        <w:tab w:val="left" w:pos="540"/>
        <w:tab w:val="left" w:pos="840"/>
        <w:tab w:val="right" w:leader="dot" w:pos="9360"/>
      </w:tabs>
      <w:ind w:left="200"/>
    </w:pPr>
    <w:rPr>
      <w:rFonts w:ascii="Times New Roman" w:hAnsi="Times New Roman"/>
      <w:kern w:val="2"/>
      <w:sz w:val="21"/>
      <w:szCs w:val="24"/>
      <w:lang w:val="en-US"/>
    </w:rPr>
  </w:style>
  <w:style w:type="table" w:styleId="20">
    <w:name w:val="Table Grid"/>
    <w:basedOn w:val="19"/>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qFormat/>
    <w:uiPriority w:val="99"/>
    <w:rPr>
      <w:color w:val="0000FF"/>
      <w:u w:val="single"/>
    </w:rPr>
  </w:style>
  <w:style w:type="character" w:customStyle="1" w:styleId="23">
    <w:name w:val="正文文本缩进 Char"/>
    <w:link w:val="13"/>
    <w:qFormat/>
    <w:uiPriority w:val="0"/>
    <w:rPr>
      <w:rFonts w:ascii="宋体" w:hAnsi="宋体" w:eastAsia="宋体"/>
      <w:kern w:val="2"/>
      <w:sz w:val="24"/>
      <w:szCs w:val="24"/>
      <w:lang w:val="en-US" w:eastAsia="zh-CN" w:bidi="ar-SA"/>
    </w:rPr>
  </w:style>
  <w:style w:type="paragraph" w:customStyle="1" w:styleId="24">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qFormat/>
    <w:locked/>
    <w:uiPriority w:val="0"/>
    <w:rPr>
      <w:rFonts w:ascii="宋体" w:hAnsi="宋体" w:eastAsia="宋体"/>
      <w:kern w:val="2"/>
      <w:sz w:val="24"/>
      <w:szCs w:val="24"/>
      <w:lang w:val="en-US" w:eastAsia="zh-CN" w:bidi="ar-SA"/>
    </w:rPr>
  </w:style>
  <w:style w:type="character" w:customStyle="1" w:styleId="26">
    <w:name w:val="标题 1 Char"/>
    <w:basedOn w:val="21"/>
    <w:link w:val="2"/>
    <w:qFormat/>
    <w:uiPriority w:val="0"/>
    <w:rPr>
      <w:rFonts w:eastAsia="宋体"/>
      <w:b/>
      <w:bCs/>
      <w:kern w:val="32"/>
      <w:sz w:val="28"/>
      <w:szCs w:val="28"/>
    </w:rPr>
  </w:style>
  <w:style w:type="paragraph" w:styleId="27">
    <w:name w:val="List Paragraph"/>
    <w:basedOn w:val="1"/>
    <w:qFormat/>
    <w:uiPriority w:val="34"/>
    <w:pPr>
      <w:ind w:firstLine="420" w:firstLineChars="200"/>
    </w:pPr>
    <w:rPr>
      <w:rFonts w:ascii="Times New Roman" w:hAnsi="Times New Roman" w:eastAsia="宋体"/>
    </w:r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9.bmp"/><Relationship Id="rId15" Type="http://schemas.openxmlformats.org/officeDocument/2006/relationships/image" Target="media/image8.bmp"/><Relationship Id="rId14" Type="http://schemas.openxmlformats.org/officeDocument/2006/relationships/image" Target="media/image7.bmp"/><Relationship Id="rId13" Type="http://schemas.openxmlformats.org/officeDocument/2006/relationships/image" Target="media/image6.bmp"/><Relationship Id="rId12" Type="http://schemas.openxmlformats.org/officeDocument/2006/relationships/image" Target="media/image5.bmp"/><Relationship Id="rId11" Type="http://schemas.openxmlformats.org/officeDocument/2006/relationships/image" Target="media/image4.bmp"/><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8A0F75-5BBA-4BD0-A9D5-E390372472F6}">
  <ds:schemaRefs/>
</ds:datastoreItem>
</file>

<file path=docProps/app.xml><?xml version="1.0" encoding="utf-8"?>
<Properties xmlns="http://schemas.openxmlformats.org/officeDocument/2006/extended-properties" xmlns:vt="http://schemas.openxmlformats.org/officeDocument/2006/docPropsVTypes">
  <Template>tmp4.dotx</Template>
  <Pages>14</Pages>
  <Words>4479</Words>
  <Characters>6558</Characters>
  <Lines>38</Lines>
  <Paragraphs>10</Paragraphs>
  <TotalTime>2</TotalTime>
  <ScaleCrop>false</ScaleCrop>
  <LinksUpToDate>false</LinksUpToDate>
  <CharactersWithSpaces>6677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2020-12-10T06:54:00Z</dcterms:created>
  <dc:creator>必易</dc:creator>
  <cp:lastModifiedBy>曹茂庆</cp:lastModifiedBy>
  <dcterms:modified xsi:type="dcterms:W3CDTF">2021-02-01T09:31:45Z</dcterms:modified>
  <dc:title>建筑采光分析报告书</dc:title>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