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光韵·新生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项目名称：光韵·新生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