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居住建筑－综合权衡</w:t>
      </w:r>
    </w:p>
    <w:p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>
              <w:rPr>
                <w:rFonts w:hint="eastAsia" w:ascii="宋体" w:hAnsi="宋体"/>
                <w:szCs w:val="21"/>
              </w:rPr>
              <w:t>新建项目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广东-广州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建设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设计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2021年1月5日</w:t>
            </w:r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9" w:name="二维码"/>
      <w:r>
        <w:drawing>
          <wp:inline distT="0" distB="0" distL="0" distR="0">
            <wp:extent cx="1514475" cy="15144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节能设计BECS2020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20200505(SP1)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T13246191331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65" w:name="_GoBack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3" w:name="目录"/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_Toc28579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_Toc28579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_Toc6481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_Toc6481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_Toc15869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_Toc15869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_Toc1734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户型窗墙比</w:t>
      </w:r>
      <w:r>
        <w:tab/>
      </w:r>
      <w:r>
        <w:fldChar w:fldCharType="begin"/>
      </w:r>
      <w:r>
        <w:instrText xml:space="preserve"> PAGEREF _Toc1734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_Toc29745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_Toc29745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_Toc20488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窗地面积比</w:t>
      </w:r>
      <w:r>
        <w:tab/>
      </w:r>
      <w:r>
        <w:fldChar w:fldCharType="begin"/>
      </w:r>
      <w:r>
        <w:instrText xml:space="preserve"> PAGEREF _Toc20488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_Toc7660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可见光透射比</w:t>
      </w:r>
      <w:r>
        <w:tab/>
      </w:r>
      <w:r>
        <w:fldChar w:fldCharType="begin"/>
      </w:r>
      <w:r>
        <w:instrText xml:space="preserve"> PAGEREF _Toc7660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_Toc26357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_Toc26357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_Toc12012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天窗屋顶比</w:t>
      </w:r>
      <w:r>
        <w:tab/>
      </w:r>
      <w:r>
        <w:fldChar w:fldCharType="begin"/>
      </w:r>
      <w:r>
        <w:instrText xml:space="preserve"> PAGEREF _Toc12012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_Toc31811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_Toc31811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_Toc14646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_Toc14646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_Toc5479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8.1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_Toc5479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_Toc490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9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_Toc490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_Toc19087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9.1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_Toc19087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_Toc20932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9.1.1 </w:t>
      </w:r>
      <w:r>
        <w:rPr>
          <w:kern w:val="2"/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_Toc20932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_Toc13742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9.2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_Toc13742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_Toc1670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10 </w:t>
      </w:r>
      <w:r>
        <w:rPr>
          <w:kern w:val="2"/>
          <w:szCs w:val="24"/>
          <w:lang w:val="en-US"/>
        </w:rPr>
        <w:t>外凸超过500mm的凸窗板</w:t>
      </w:r>
      <w:r>
        <w:tab/>
      </w:r>
      <w:r>
        <w:fldChar w:fldCharType="begin"/>
      </w:r>
      <w:r>
        <w:instrText xml:space="preserve"> PAGEREF _Toc1670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_Toc8874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11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_Toc8874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_Toc21733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11.1 </w:t>
      </w:r>
      <w:r>
        <w:rPr>
          <w:kern w:val="2"/>
          <w:szCs w:val="24"/>
          <w:lang w:val="en-US"/>
        </w:rPr>
        <w:t>外窗构造</w:t>
      </w:r>
      <w:r>
        <w:tab/>
      </w:r>
      <w:r>
        <w:fldChar w:fldCharType="begin"/>
      </w:r>
      <w:r>
        <w:instrText xml:space="preserve"> PAGEREF _Toc21733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_Toc21033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11.2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_Toc21033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_Toc26290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11.2.1 </w:t>
      </w:r>
      <w:r>
        <w:rPr>
          <w:kern w:val="2"/>
          <w:szCs w:val="24"/>
          <w:lang w:val="en-US"/>
        </w:rPr>
        <w:t>自定义遮阳</w:t>
      </w:r>
      <w:r>
        <w:tab/>
      </w:r>
      <w:r>
        <w:fldChar w:fldCharType="begin"/>
      </w:r>
      <w:r>
        <w:instrText xml:space="preserve"> PAGEREF _Toc26290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_Toc27534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11.3 </w:t>
      </w:r>
      <w:r>
        <w:rPr>
          <w:kern w:val="2"/>
          <w:szCs w:val="24"/>
          <w:lang w:val="en-US"/>
        </w:rPr>
        <w:t>外遮阳</w:t>
      </w:r>
      <w:r>
        <w:tab/>
      </w:r>
      <w:r>
        <w:fldChar w:fldCharType="begin"/>
      </w:r>
      <w:r>
        <w:instrText xml:space="preserve"> PAGEREF _Toc27534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_Toc8006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11.4 </w:t>
      </w:r>
      <w:r>
        <w:rPr>
          <w:kern w:val="2"/>
          <w:szCs w:val="24"/>
          <w:lang w:val="en-US"/>
        </w:rPr>
        <w:t>平均遮阳系数</w:t>
      </w:r>
      <w:r>
        <w:tab/>
      </w:r>
      <w:r>
        <w:fldChar w:fldCharType="begin"/>
      </w:r>
      <w:r>
        <w:instrText xml:space="preserve"> PAGEREF _Toc8006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_Toc24616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12 </w:t>
      </w:r>
      <w:r>
        <w:rPr>
          <w:kern w:val="2"/>
          <w:szCs w:val="24"/>
          <w:lang w:val="en-US"/>
        </w:rPr>
        <w:t>主要房间通风开口面积</w:t>
      </w:r>
      <w:r>
        <w:tab/>
      </w:r>
      <w:r>
        <w:fldChar w:fldCharType="begin"/>
      </w:r>
      <w:r>
        <w:instrText xml:space="preserve"> PAGEREF _Toc24616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_Toc24718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13 </w:t>
      </w:r>
      <w:r>
        <w:rPr>
          <w:kern w:val="2"/>
          <w:szCs w:val="24"/>
          <w:lang w:val="en-US"/>
        </w:rPr>
        <w:t>非主要房间通风开口面积</w:t>
      </w:r>
      <w:r>
        <w:tab/>
      </w:r>
      <w:r>
        <w:fldChar w:fldCharType="begin"/>
      </w:r>
      <w:r>
        <w:instrText xml:space="preserve"> PAGEREF _Toc24718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_Toc20650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14 </w:t>
      </w:r>
      <w:r>
        <w:rPr>
          <w:kern w:val="2"/>
          <w:szCs w:val="24"/>
          <w:lang w:val="en-US"/>
        </w:rPr>
        <w:t>隔热检查</w:t>
      </w:r>
      <w:r>
        <w:tab/>
      </w:r>
      <w:r>
        <w:fldChar w:fldCharType="begin"/>
      </w:r>
      <w:r>
        <w:instrText xml:space="preserve"> PAGEREF _Toc20650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_Toc15647 </w:instrText>
      </w:r>
      <w:r>
        <w:fldChar w:fldCharType="separate"/>
      </w:r>
      <w:r>
        <w:rPr>
          <w:rFonts w:hint="eastAsia"/>
        </w:rPr>
        <w:t xml:space="preserve">15 </w:t>
      </w:r>
      <w:r>
        <w:t>外窗气密性</w:t>
      </w:r>
      <w:r>
        <w:tab/>
      </w:r>
      <w:r>
        <w:fldChar w:fldCharType="begin"/>
      </w:r>
      <w:r>
        <w:instrText xml:space="preserve"> PAGEREF _Toc15647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_Toc20306 </w:instrText>
      </w:r>
      <w:r>
        <w:fldChar w:fldCharType="separate"/>
      </w:r>
      <w:r>
        <w:rPr>
          <w:rFonts w:hint="eastAsia"/>
        </w:rPr>
        <w:t xml:space="preserve">16 </w:t>
      </w:r>
      <w:r>
        <w:t>综合权衡</w:t>
      </w:r>
      <w:r>
        <w:tab/>
      </w:r>
      <w:r>
        <w:fldChar w:fldCharType="begin"/>
      </w:r>
      <w:r>
        <w:instrText xml:space="preserve"> PAGEREF _Toc20306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_Toc10297 </w:instrText>
      </w:r>
      <w:r>
        <w:fldChar w:fldCharType="separate"/>
      </w:r>
      <w:r>
        <w:rPr>
          <w:rFonts w:hint="eastAsia"/>
          <w:lang w:val="en-GB"/>
        </w:rPr>
        <w:t xml:space="preserve">16.1 </w:t>
      </w:r>
      <w:r>
        <w:t>计算条件</w:t>
      </w:r>
      <w:r>
        <w:tab/>
      </w:r>
      <w:r>
        <w:fldChar w:fldCharType="begin"/>
      </w:r>
      <w:r>
        <w:instrText xml:space="preserve"> PAGEREF _Toc10297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_Toc27763 </w:instrText>
      </w:r>
      <w:r>
        <w:fldChar w:fldCharType="separate"/>
      </w:r>
      <w:r>
        <w:rPr>
          <w:rFonts w:hint="eastAsia"/>
          <w:lang w:val="en-GB"/>
        </w:rPr>
        <w:t xml:space="preserve">16.2 </w:t>
      </w:r>
      <w:r>
        <w:t>综合权衡</w:t>
      </w:r>
      <w:r>
        <w:tab/>
      </w:r>
      <w:r>
        <w:fldChar w:fldCharType="begin"/>
      </w:r>
      <w:r>
        <w:instrText xml:space="preserve"> PAGEREF _Toc27763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_Toc31402 </w:instrText>
      </w:r>
      <w:r>
        <w:fldChar w:fldCharType="separate"/>
      </w:r>
      <w:r>
        <w:rPr>
          <w:rFonts w:hint="eastAsia"/>
        </w:rPr>
        <w:t xml:space="preserve">17 </w:t>
      </w:r>
      <w:r>
        <w:t>结论</w:t>
      </w:r>
      <w:r>
        <w:tab/>
      </w:r>
      <w:r>
        <w:fldChar w:fldCharType="begin"/>
      </w:r>
      <w:r>
        <w:instrText xml:space="preserve"> PAGEREF _Toc31402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4" w:name="_Toc28579"/>
      <w:r>
        <w:rPr>
          <w:rFonts w:hint="eastAsia"/>
        </w:rPr>
        <w:t>建筑概况</w:t>
      </w:r>
      <w:bookmarkEnd w:id="14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名称"/>
            <w:r>
              <w:t>新建项目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工程地点"/>
            <w:r>
              <w:t>广东-广州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8" w:name="纬度"/>
            <w:r>
              <w:rPr>
                <w:rFonts w:hint="eastAsia" w:ascii="宋体" w:hAnsi="宋体"/>
                <w:lang w:val="en-US"/>
              </w:rPr>
              <w:t>23.08°</w:t>
            </w:r>
          </w:p>
        </w:tc>
        <w:tc>
          <w:tcPr>
            <w:tcW w:w="3039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9" w:name="经度"/>
            <w:r>
              <w:rPr>
                <w:rFonts w:hint="eastAsia" w:ascii="宋体" w:hAnsi="宋体"/>
                <w:lang w:val="en-US"/>
              </w:rPr>
              <w:t>113.14°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面积"/>
            <w:r>
              <w:rPr>
                <w:rFonts w:hint="eastAsia" w:ascii="宋体" w:hAnsi="宋体"/>
                <w:lang w:val="en-US"/>
              </w:rPr>
              <w:t>564</w:t>
            </w:r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1" w:name="地下建筑面积"/>
            <w:r>
              <w:rPr>
                <w:rFonts w:hint="eastAsia" w:ascii="宋体" w:hAnsi="宋体"/>
                <w:lang w:val="en-US"/>
              </w:rPr>
              <w:t>0</w:t>
            </w:r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2" w:name="地上建筑层数"/>
            <w:r>
              <w:rPr>
                <w:rFonts w:hint="eastAsia" w:ascii="宋体" w:hAnsi="宋体"/>
                <w:lang w:val="en-US"/>
              </w:rPr>
              <w:t>2          地下</w:t>
            </w:r>
            <w:bookmarkStart w:id="23" w:name="地下建筑层数"/>
            <w: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地上建筑高度"/>
            <w:r>
              <w:rPr>
                <w:rFonts w:hint="eastAsia" w:ascii="宋体" w:hAnsi="宋体"/>
                <w:lang w:val="en-US"/>
              </w:rPr>
              <w:t>9.0m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建筑体积"/>
            <w:r>
              <w:t>1884.38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表面积"/>
            <w:r>
              <w:t>914.39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北向角度"/>
            <w:r>
              <w:t>93.5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结构类型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</w:p>
        </w:tc>
      </w:tr>
    </w:tbl>
    <w:p>
      <w:pPr>
        <w:pStyle w:val="2"/>
      </w:pPr>
      <w:bookmarkStart w:id="31" w:name="_Toc6481"/>
      <w:bookmarkStart w:id="32" w:name="TitleFormat"/>
      <w:r>
        <w:rPr>
          <w:rFonts w:hint="eastAsia"/>
        </w:rPr>
        <w:t>设计依据</w:t>
      </w:r>
      <w:bookmarkEnd w:id="31"/>
    </w:p>
    <w:p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3"/>
      <w:r>
        <w:rPr>
          <w:kern w:val="2"/>
          <w:szCs w:val="24"/>
          <w:lang w:val="en-US"/>
        </w:rPr>
        <w:t>1. 《广东省居住建筑节能设计标准》DBJ/T 15-133-2018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《夏热冬暖地区居住建筑节能设计标准》JGJ75-2012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《建筑外门窗气密，水密，抗风压性能分级及检测方法》GB/T 7106-2008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4" w:name="_Toc15869"/>
      <w:r>
        <w:rPr>
          <w:kern w:val="2"/>
          <w:szCs w:val="24"/>
          <w:lang w:val="en-US"/>
        </w:rPr>
        <w:t>工程材料</w:t>
      </w:r>
      <w:bookmarkEnd w:id="34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粉刷石膏抹灰压入网格布</w:t>
            </w:r>
          </w:p>
        </w:tc>
        <w:tc>
          <w:tcPr>
            <w:vAlign w:val="center"/>
          </w:tcPr>
          <w:p>
            <w:r>
              <w:t>0.230</w:t>
            </w:r>
          </w:p>
        </w:tc>
        <w:tc>
          <w:tcPr>
            <w:vAlign w:val="center"/>
          </w:tcPr>
          <w:p>
            <w:r>
              <w:t>3.748</w:t>
            </w:r>
          </w:p>
        </w:tc>
        <w:tc>
          <w:tcPr>
            <w:vAlign w:val="center"/>
          </w:tcPr>
          <w:p>
            <w:r>
              <w:t>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聚苯乙烯泡沫塑料（白板）</w:t>
            </w:r>
          </w:p>
        </w:tc>
        <w:tc>
          <w:tcPr>
            <w:vAlign w:val="center"/>
          </w:tcPr>
          <w:p>
            <w:r>
              <w:t>0.039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>
            <w:r>
              <w:t>20.0</w:t>
            </w:r>
          </w:p>
        </w:tc>
        <w:tc>
          <w:tcPr>
            <w:vAlign w:val="center"/>
          </w:tcPr>
          <w:p>
            <w:r>
              <w:t>1382.2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石灰水泥砂浆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1074.4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加气混凝土、泡沫混凝土(ρ=700)（1）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700.0</w:t>
            </w:r>
          </w:p>
        </w:tc>
        <w:tc>
          <w:tcPr>
            <w:vAlign w:val="center"/>
          </w:tcPr>
          <w:p>
            <w:r>
              <w:t>1048.8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硅酸铝保温涂层</w:t>
            </w:r>
          </w:p>
        </w:tc>
        <w:tc>
          <w:tcPr>
            <w:vAlign w:val="center"/>
          </w:tcPr>
          <w:p>
            <w:r>
              <w:t>0.021</w:t>
            </w:r>
          </w:p>
        </w:tc>
        <w:tc>
          <w:tcPr>
            <w:vAlign w:val="center"/>
          </w:tcPr>
          <w:p>
            <w:r>
              <w:t>0.562</w:t>
            </w:r>
          </w:p>
        </w:tc>
        <w:tc>
          <w:tcPr>
            <w:vAlign w:val="center"/>
          </w:tcPr>
          <w:p>
            <w:r>
              <w:t>230.0</w:t>
            </w:r>
          </w:p>
        </w:tc>
        <w:tc>
          <w:tcPr>
            <w:vAlign w:val="center"/>
          </w:tcPr>
          <w:p>
            <w:r>
              <w:t>900.0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水泥砂浆（8）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1061.9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钢筋混凝土（7）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935.2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5" w:name="_Toc1734"/>
      <w:r>
        <w:rPr>
          <w:kern w:val="2"/>
          <w:szCs w:val="24"/>
          <w:lang w:val="en-US"/>
        </w:rPr>
        <w:t>户型窗墙比</w:t>
      </w:r>
      <w:bookmarkEnd w:id="35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1&gt;，户型 1-A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88632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950"/>
        <w:gridCol w:w="1804"/>
        <w:gridCol w:w="921"/>
        <w:gridCol w:w="921"/>
        <w:gridCol w:w="1176"/>
        <w:gridCol w:w="1459"/>
        <w:gridCol w:w="111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户型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是否凸窗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1-A</w:t>
            </w:r>
          </w:p>
        </w:tc>
        <w:tc>
          <w:tcPr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否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5.040</w:t>
            </w:r>
          </w:p>
        </w:tc>
        <w:tc>
          <w:tcPr>
            <w:vAlign w:val="center"/>
          </w:tcPr>
          <w:p>
            <w:r>
              <w:t>53.547</w:t>
            </w:r>
          </w:p>
        </w:tc>
        <w:tc>
          <w:tcPr>
            <w:vAlign w:val="center"/>
          </w:tcPr>
          <w:p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否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54.671</w:t>
            </w:r>
          </w:p>
        </w:tc>
        <w:tc>
          <w:tcPr>
            <w:vAlign w:val="center"/>
          </w:tcPr>
          <w:p>
            <w:r>
              <w:t>0.08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2&gt;，户型 1-B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63436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950"/>
        <w:gridCol w:w="1804"/>
        <w:gridCol w:w="921"/>
        <w:gridCol w:w="921"/>
        <w:gridCol w:w="1176"/>
        <w:gridCol w:w="1459"/>
        <w:gridCol w:w="111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户型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是否凸窗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1-B</w:t>
            </w:r>
          </w:p>
        </w:tc>
        <w:tc>
          <w:tcPr>
            <w:vMerge w:val="restart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否</w:t>
            </w:r>
          </w:p>
        </w:tc>
        <w:tc>
          <w:tcPr>
            <w:vMerge w:val="restart"/>
            <w:vAlign w:val="center"/>
          </w:tcPr>
          <w:p>
            <w:r>
              <w:t>18</w:t>
            </w:r>
          </w:p>
        </w:tc>
        <w:tc>
          <w:tcPr>
            <w:vMerge w:val="restart"/>
            <w:vAlign w:val="center"/>
          </w:tcPr>
          <w:p>
            <w:r>
              <w:t>8.100</w:t>
            </w:r>
          </w:p>
        </w:tc>
        <w:tc>
          <w:tcPr>
            <w:vMerge w:val="restart"/>
            <w:vAlign w:val="center"/>
          </w:tcPr>
          <w:p>
            <w:r>
              <w:t>33.302</w:t>
            </w:r>
          </w:p>
        </w:tc>
        <w:tc>
          <w:tcPr>
            <w:vMerge w:val="restart"/>
            <w:vAlign w:val="center"/>
          </w:tcPr>
          <w:p>
            <w:r>
              <w:t>0.24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否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否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否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72.914</w:t>
            </w:r>
          </w:p>
        </w:tc>
        <w:tc>
          <w:tcPr>
            <w:vAlign w:val="center"/>
          </w:tcPr>
          <w:p>
            <w:r>
              <w:t>0.04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否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81.314</w:t>
            </w:r>
          </w:p>
        </w:tc>
        <w:tc>
          <w:tcPr>
            <w:vAlign w:val="center"/>
          </w:tcPr>
          <w:p>
            <w:r>
              <w:t>0.03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36" w:name="_Toc29745"/>
      <w:r>
        <w:rPr>
          <w:kern w:val="2"/>
          <w:szCs w:val="24"/>
          <w:lang w:val="en-US"/>
        </w:rPr>
        <w:t>外窗表</w:t>
      </w:r>
      <w:bookmarkEnd w:id="3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562"/>
        <w:gridCol w:w="1386"/>
        <w:gridCol w:w="1528"/>
        <w:gridCol w:w="1171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南向</w:t>
            </w:r>
            <w:r>
              <w:br w:type="textWrapping"/>
            </w:r>
            <w:r>
              <w:t>13.50</w:t>
            </w:r>
          </w:p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1.80×1.50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13.50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  <w:r>
              <w:br w:type="textWrapping"/>
            </w:r>
            <w:r>
              <w:t>5.40</w:t>
            </w:r>
          </w:p>
        </w:tc>
        <w:tc>
          <w:tcPr>
            <w:vAlign w:val="center"/>
          </w:tcPr>
          <w:p>
            <w:r>
              <w:t>C0915</w:t>
            </w:r>
          </w:p>
        </w:tc>
        <w:tc>
          <w:tcPr>
            <w:vAlign w:val="center"/>
          </w:tcPr>
          <w:p>
            <w:r>
              <w:t>0.90×1.50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1.35</w:t>
            </w:r>
          </w:p>
        </w:tc>
        <w:tc>
          <w:tcPr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1.80×1.50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  <w:r>
              <w:br w:type="textWrapping"/>
            </w:r>
            <w:r>
              <w:t>7.74</w:t>
            </w:r>
          </w:p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1.80×1.50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2.40×2.10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5.04</w:t>
            </w:r>
          </w:p>
        </w:tc>
        <w:tc>
          <w:tcPr>
            <w:vAlign w:val="center"/>
          </w:tcPr>
          <w:p>
            <w:r>
              <w:t>5.04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西向</w:t>
            </w:r>
            <w:r>
              <w:br w:type="textWrapping"/>
            </w:r>
            <w:r>
              <w:t>7.02</w:t>
            </w:r>
          </w:p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1.80×1.50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2.40×1.80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4.32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20488"/>
      <w:r>
        <w:rPr>
          <w:kern w:val="2"/>
          <w:szCs w:val="24"/>
          <w:lang w:val="en-US"/>
        </w:rPr>
        <w:t>窗地面积比</w:t>
      </w:r>
      <w:bookmarkEnd w:id="3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301"/>
        <w:gridCol w:w="74"/>
        <w:gridCol w:w="1001"/>
        <w:gridCol w:w="1131"/>
        <w:gridCol w:w="1415"/>
        <w:gridCol w:w="1245"/>
        <w:gridCol w:w="1131"/>
        <w:gridCol w:w="1143"/>
        <w:gridCol w:w="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窗地比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1007(最不利房间)</w:t>
            </w:r>
          </w:p>
        </w:tc>
        <w:tc>
          <w:tcPr>
            <w:gridSpan w:val="2"/>
            <w:vAlign w:val="center"/>
          </w:tcPr>
          <w:p>
            <w:r>
              <w:t>12.95</w:t>
            </w:r>
          </w:p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0.2085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7"/>
            <w:vAlign w:val="center"/>
          </w:tcPr>
          <w:p>
            <w:r>
              <w:t>《广东省居住建筑节能设计标准》DBJ/T 15-133-2018第4.2.4条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7"/>
            <w:vAlign w:val="center"/>
          </w:tcPr>
          <w:p>
            <w:r>
              <w:t>建筑的卧室、书房、客厅等主要房间的房间窗地面积比不应小于0.18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7660"/>
      <w:r>
        <w:rPr>
          <w:kern w:val="2"/>
          <w:szCs w:val="24"/>
          <w:lang w:val="en-US"/>
        </w:rPr>
        <w:t>可见光透射比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962"/>
        <w:gridCol w:w="2088"/>
        <w:gridCol w:w="2009"/>
        <w:gridCol w:w="20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窗地比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《广东省居住建筑节能设计标准》DBJ/T 15-133-2018第4.2.4条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当房间窗地面积比小于0.2时，外窗玻璃的可见光透射比不应小于0.4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不需要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9" w:name="_Toc26357"/>
      <w:r>
        <w:rPr>
          <w:kern w:val="2"/>
          <w:szCs w:val="24"/>
          <w:lang w:val="en-US"/>
        </w:rPr>
        <w:t>天窗</w:t>
      </w:r>
      <w:bookmarkEnd w:id="39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0" w:name="_Toc12012"/>
      <w:r>
        <w:rPr>
          <w:kern w:val="2"/>
          <w:szCs w:val="24"/>
          <w:lang w:val="en-US"/>
        </w:rPr>
        <w:t>天窗屋顶比</w:t>
      </w:r>
      <w:bookmarkEnd w:id="40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1" w:name="_Toc31811"/>
      <w:r>
        <w:rPr>
          <w:kern w:val="2"/>
          <w:szCs w:val="24"/>
          <w:lang w:val="en-US"/>
        </w:rPr>
        <w:t>天窗类型</w:t>
      </w:r>
      <w:bookmarkEnd w:id="41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2" w:name="_Toc14646"/>
      <w:r>
        <w:rPr>
          <w:kern w:val="2"/>
          <w:szCs w:val="24"/>
          <w:lang w:val="en-US"/>
        </w:rPr>
        <w:t>屋顶构造</w:t>
      </w:r>
      <w:bookmarkEnd w:id="42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3" w:name="_Toc5479"/>
      <w:r>
        <w:rPr>
          <w:kern w:val="2"/>
          <w:szCs w:val="24"/>
          <w:lang w:val="en-US"/>
        </w:rPr>
        <w:t>屋顶构造一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水泥砂浆（8）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0.032</w:t>
            </w:r>
          </w:p>
        </w:tc>
        <w:tc>
          <w:tcPr>
            <w:vAlign w:val="center"/>
          </w:tcPr>
          <w:p>
            <w:r>
              <w:t>0.367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硅酸铝保温涂层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0.021</w:t>
            </w:r>
          </w:p>
        </w:tc>
        <w:tc>
          <w:tcPr>
            <w:vAlign w:val="center"/>
          </w:tcPr>
          <w:p>
            <w:r>
              <w:t>0.562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1.587</w:t>
            </w:r>
          </w:p>
        </w:tc>
        <w:tc>
          <w:tcPr>
            <w:vAlign w:val="center"/>
          </w:tcPr>
          <w:p>
            <w:r>
              <w:t>1.070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钢筋混凝土（7）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0.057</w:t>
            </w:r>
          </w:p>
        </w:tc>
        <w:tc>
          <w:tcPr>
            <w:vAlign w:val="center"/>
          </w:tcPr>
          <w:p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170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1.677</w:t>
            </w:r>
          </w:p>
        </w:tc>
        <w:tc>
          <w:tcPr>
            <w:vAlign w:val="center"/>
          </w:tcPr>
          <w:p>
            <w:r>
              <w:t>2.426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K = 0.55, D = 3.17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gridSpan w:val="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《夏热冬暖地区居住建筑节能设计标准》(JGJ75-2012)第5.0.1条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...综合评价的建筑...屋顶传热系数仍然要满足第4.0.7条的要求。即K≤0.9,D≥2.5 或 K≤0.4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4" w:name="_Toc490"/>
      <w:r>
        <w:rPr>
          <w:kern w:val="2"/>
          <w:szCs w:val="24"/>
          <w:lang w:val="en-US"/>
        </w:rPr>
        <w:t>外墙构造</w:t>
      </w:r>
      <w:bookmarkEnd w:id="44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5" w:name="_Toc19087"/>
      <w:r>
        <w:rPr>
          <w:kern w:val="2"/>
          <w:szCs w:val="24"/>
          <w:lang w:val="en-US"/>
        </w:rPr>
        <w:t>外墙相关构造</w:t>
      </w:r>
      <w:bookmarkEnd w:id="45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46" w:name="_Toc20932"/>
      <w:r>
        <w:rPr>
          <w:kern w:val="2"/>
          <w:szCs w:val="24"/>
          <w:lang w:val="en-US"/>
        </w:rPr>
        <w:t>外墙构造一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粉刷石膏抹灰压入网格布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0.230</w:t>
            </w:r>
          </w:p>
        </w:tc>
        <w:tc>
          <w:tcPr>
            <w:vAlign w:val="center"/>
          </w:tcPr>
          <w:p>
            <w:r>
              <w:t>3.748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0.017</w:t>
            </w:r>
          </w:p>
        </w:tc>
        <w:tc>
          <w:tcPr>
            <w:vAlign w:val="center"/>
          </w:tcPr>
          <w:p>
            <w:r>
              <w:t>0.065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聚苯乙烯泡沫塑料（白板）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0.039</w:t>
            </w:r>
          </w:p>
        </w:tc>
        <w:tc>
          <w:tcPr>
            <w:vAlign w:val="center"/>
          </w:tcPr>
          <w:p>
            <w:r>
              <w:t>0.280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0.214</w:t>
            </w:r>
          </w:p>
        </w:tc>
        <w:tc>
          <w:tcPr>
            <w:vAlign w:val="center"/>
          </w:tcPr>
          <w:p>
            <w:r>
              <w:t>0.072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加气混凝土、泡沫混凝土(ρ=700)（1）</w:t>
            </w:r>
          </w:p>
        </w:tc>
        <w:tc>
          <w:tcPr>
            <w:vAlign w:val="center"/>
          </w:tcPr>
          <w:p>
            <w:r>
              <w:t>190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1.056</w:t>
            </w:r>
          </w:p>
        </w:tc>
        <w:tc>
          <w:tcPr>
            <w:vAlign w:val="center"/>
          </w:tcPr>
          <w:p>
            <w:r>
              <w:t>3.272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石灰水泥砂浆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0.029</w:t>
            </w:r>
          </w:p>
        </w:tc>
        <w:tc>
          <w:tcPr>
            <w:vAlign w:val="center"/>
          </w:tcPr>
          <w:p>
            <w:r>
              <w:t>0.309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229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1.315</w:t>
            </w:r>
          </w:p>
        </w:tc>
        <w:tc>
          <w:tcPr>
            <w:vAlign w:val="center"/>
          </w:tcPr>
          <w:p>
            <w:r>
              <w:t>3.718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K = 0.80, D = 3.57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gridSpan w:val="6"/>
            <w:vAlign w:val="center"/>
          </w:tcPr>
          <w:p/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7" w:name="_Toc13742"/>
      <w:r>
        <w:rPr>
          <w:kern w:val="2"/>
          <w:szCs w:val="24"/>
          <w:lang w:val="en-US"/>
        </w:rPr>
        <w:t>外墙平均热工特性</w:t>
      </w:r>
      <w:bookmarkEnd w:id="47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88.28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3.57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80.76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3.57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203.32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3.57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《夏热冬暖地区居住建筑节能设计标准》(JGJ75-2012)第5.0.1条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...综合评价的建筑...东、西向外墙传热系数仍然要满足第4.0.7条的要求。即K≤2.5,D≥3.0 或 K≤2.0,D≥2.8 或 K≤1.5,D≥2.5 或 K≤0.7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213.61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3.57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《夏热冬暖地区居住建筑节能设计标准》(JGJ75-2012)第5.0.1条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...综合评价的建筑...东、西向外墙传热系数仍然要满足第4.0.7条的要求。即K≤2.5,D≥3.0 或 K≤2.0,D≥2.8 或 K≤1.5,D≥2.5 或 K≤0.7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585.98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3.57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8" w:name="_Toc1670"/>
      <w:r>
        <w:rPr>
          <w:kern w:val="2"/>
          <w:szCs w:val="24"/>
          <w:lang w:val="en-US"/>
        </w:rPr>
        <w:t>外凸超过500mm的凸窗板</w:t>
      </w:r>
      <w:bookmarkEnd w:id="48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9" w:name="_Toc8874"/>
      <w:r>
        <w:rPr>
          <w:kern w:val="2"/>
          <w:szCs w:val="24"/>
          <w:lang w:val="en-US"/>
        </w:rPr>
        <w:t>外窗热工</w:t>
      </w:r>
      <w:bookmarkEnd w:id="49"/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0" w:name="_Toc21733"/>
      <w:r>
        <w:rPr>
          <w:kern w:val="2"/>
          <w:szCs w:val="24"/>
          <w:lang w:val="en-US"/>
        </w:rPr>
        <w:t>外窗构造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6＋12A＋6高透低辐射玻璃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0.64</w:t>
            </w:r>
          </w:p>
        </w:tc>
        <w:tc>
          <w:tcPr>
            <w:vAlign w:val="center"/>
          </w:tcPr>
          <w:p>
            <w:r>
              <w:t>0.800</w:t>
            </w:r>
          </w:p>
        </w:tc>
        <w:tc>
          <w:tcPr>
            <w:vAlign w:val="center"/>
          </w:tcPr>
          <w:p>
            <w:r>
              <w:t>摘自《上海住宅建筑围护结构节能应用技术规程》DG/TJ08-206-2002</w:t>
            </w: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1" w:name="_Toc21033"/>
      <w:r>
        <w:rPr>
          <w:kern w:val="2"/>
          <w:szCs w:val="24"/>
          <w:lang w:val="en-US"/>
        </w:rPr>
        <w:t>外遮阳类型</w:t>
      </w:r>
      <w:bookmarkEnd w:id="51"/>
    </w:p>
    <w:p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2" w:name="_Toc26290"/>
      <w:r>
        <w:rPr>
          <w:kern w:val="2"/>
          <w:szCs w:val="24"/>
          <w:lang w:val="en-US"/>
        </w:rPr>
        <w:t>自定义遮阳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697"/>
        <w:gridCol w:w="1075"/>
        <w:gridCol w:w="1075"/>
        <w:gridCol w:w="1075"/>
        <w:gridCol w:w="33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3" w:name="_Toc27534"/>
      <w:r>
        <w:rPr>
          <w:kern w:val="2"/>
          <w:szCs w:val="24"/>
          <w:lang w:val="en-US"/>
        </w:rPr>
        <w:t>外遮阳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150"/>
        <w:gridCol w:w="2377"/>
        <w:gridCol w:w="2428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C2418(最不利窗)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SD≤0.80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C2418(最不利窗)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SD≤0.80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《夏热冬暖地区居住建筑节能设计标准》(JGJ75-2012)第4.0.10条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东、西向外窗必须采取建筑外遮阳措施，建筑外遮阳系数不应大于0.8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注：达标朝向只列出一项，不达标朝向列出全部不达标项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4" w:name="_Toc8006"/>
      <w:r>
        <w:rPr>
          <w:kern w:val="2"/>
          <w:szCs w:val="24"/>
          <w:lang w:val="en-US"/>
        </w:rPr>
        <w:t>平均遮阳系数</w:t>
      </w:r>
      <w:bookmarkEnd w:id="54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13.500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13.500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0.64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C0915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1.350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0.64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0.64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0.48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5.040</w:t>
            </w:r>
          </w:p>
        </w:tc>
        <w:tc>
          <w:tcPr>
            <w:vAlign w:val="center"/>
          </w:tcPr>
          <w:p>
            <w:r>
              <w:t>5.040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0.64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0.48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7.740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0.48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0.64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0.48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0.64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0.48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7.020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0.48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平均遮阳系数：</w:t>
      </w:r>
    </w:p>
    <w:tbl>
      <w:tblPr>
        <w:tblStyle w:val="18"/>
        <w:tblW w:w="0" w:type="auto"/>
        <w:tblInd w:w="0" w:type="dxa"/>
        <w:tblBorders>
          <w:top w:val="none" w:color="FFFFFF" w:sz="2" w:space="0"/>
          <w:left w:val="none" w:color="FFFFFF" w:sz="2" w:space="0"/>
          <w:bottom w:val="none" w:color="FFFFFF" w:sz="2" w:space="0"/>
          <w:right w:val="none" w:color="FFFFFF" w:sz="2" w:space="0"/>
          <w:insideH w:val="none" w:color="FFFFFF" w:sz="2" w:space="0"/>
          <w:insideV w:val="none" w:color="FFFFFF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1"/>
        <w:gridCol w:w="702"/>
      </w:tblGrid>
      <w:tr>
        <w:tblPrEx>
          <w:tblBorders>
            <w:top w:val="none" w:color="FFFFFF" w:sz="2" w:space="0"/>
            <w:left w:val="none" w:color="FFFFFF" w:sz="2" w:space="0"/>
            <w:bottom w:val="none" w:color="FFFFFF" w:sz="2" w:space="0"/>
            <w:right w:val="none" w:color="FFFFFF" w:sz="2" w:space="0"/>
            <w:insideH w:val="none" w:color="FFFFFF" w:sz="2" w:space="0"/>
            <w:insideV w:val="none" w:color="FFFFFF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r>
              <w:drawing>
                <wp:inline distT="0" distB="0" distL="0" distR="0">
                  <wp:extent cx="3838575" cy="552450"/>
                  <wp:effectExtent l="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978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>
            <w:r>
              <w:t>=0.57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63"/>
        <w:gridCol w:w="2405"/>
        <w:gridCol w:w="23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权重系数b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13.500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7.740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7.020</w:t>
            </w:r>
          </w:p>
        </w:tc>
        <w:tc>
          <w:tcPr>
            <w:vAlign w:val="center"/>
          </w:tcPr>
          <w:p>
            <w:r>
              <w:t>1.25</w:t>
            </w:r>
          </w:p>
        </w:tc>
        <w:tc>
          <w:tcPr>
            <w:vAlign w:val="center"/>
          </w:tcPr>
          <w:p>
            <w:r>
              <w:t>0.48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整个建筑平均遮阳系数</w:t>
            </w:r>
          </w:p>
        </w:tc>
        <w:tc>
          <w:tcPr>
            <w:gridSpan w:val="2"/>
            <w:vAlign w:val="center"/>
          </w:tcPr>
          <w:p>
            <w:r>
              <w:t>0.57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55" w:name="_Toc24616"/>
      <w:r>
        <w:rPr>
          <w:kern w:val="2"/>
          <w:szCs w:val="24"/>
          <w:lang w:val="en-US"/>
        </w:rPr>
        <w:t>主要房间通风开口面积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86"/>
        <w:gridCol w:w="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通风开口面积/房间面积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通风开口面积/外窗面积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2005(最不利房间)</w:t>
            </w:r>
          </w:p>
        </w:tc>
        <w:tc>
          <w:tcPr>
            <w:gridSpan w:val="2"/>
            <w:vAlign w:val="center"/>
          </w:tcPr>
          <w:p>
            <w:r>
              <w:t>13.35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0.10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9"/>
            <w:vAlign w:val="center"/>
          </w:tcPr>
          <w:p>
            <w:r>
              <w:t>《广东省居住建筑节能设计标准》DBJ/T 15-133-2018第4.2.12条、《夏热冬暖地区居住建筑节能设计标准》(JGJ75-2012)第4.0.13条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9"/>
            <w:vAlign w:val="center"/>
          </w:tcPr>
          <w:p>
            <w:r>
              <w:t>主要房间外窗（包括阳台门）的通风开口面积不应小于房间地面面积的10％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9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56" w:name="_Toc24718"/>
      <w:r>
        <w:rPr>
          <w:kern w:val="2"/>
          <w:szCs w:val="24"/>
          <w:lang w:val="en-US"/>
        </w:rPr>
        <w:t>非主要房间通风开口面积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86"/>
        <w:gridCol w:w="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开启比例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通风开口面积/房间面积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通风开口面积/外窗面积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>
            <w:r>
              <w:t>1</w:t>
            </w:r>
          </w:p>
        </w:tc>
        <w:tc>
          <w:tcPr>
            <w:vMerge w:val="restart"/>
            <w:vAlign w:val="center"/>
          </w:tcPr>
          <w:p>
            <w:r>
              <w:t>1018(最不利房间)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6.12</w:t>
            </w:r>
          </w:p>
        </w:tc>
        <w:tc>
          <w:tcPr>
            <w:vAlign w:val="center"/>
          </w:tcPr>
          <w:p>
            <w:r>
              <w:t>M0821</w:t>
            </w:r>
          </w:p>
        </w:tc>
        <w:tc>
          <w:tcPr>
            <w:vAlign w:val="center"/>
          </w:tcPr>
          <w:p>
            <w:r>
              <w:t>1.68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外门</w:t>
            </w:r>
          </w:p>
        </w:tc>
        <w:tc>
          <w:tcPr>
            <w:vMerge w:val="restart"/>
            <w:vAlign w:val="center"/>
          </w:tcPr>
          <w:p>
            <w:r>
              <w:t>0.41</w:t>
            </w:r>
          </w:p>
        </w:tc>
        <w:tc>
          <w:tcPr>
            <w:vMerge w:val="restart"/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9"/>
            <w:vAlign w:val="center"/>
          </w:tcPr>
          <w:p>
            <w:r>
              <w:t>《广东省居住建筑节能设计标准》DBJ/T 15-133-2018第4.2.12条、《夏热冬暖地区居住建筑节能设计标准》(JGJ75-2012)第4.0.13条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9"/>
            <w:vAlign w:val="center"/>
          </w:tcPr>
          <w:p>
            <w:r>
              <w:t>非主要房间外窗（包括阳台门）的通风开口面积不应小于外窗面积的45％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9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57" w:name="_Toc20650"/>
      <w:r>
        <w:rPr>
          <w:kern w:val="2"/>
          <w:szCs w:val="24"/>
          <w:lang w:val="en-US"/>
        </w:rPr>
        <w:t>隔热检查</w:t>
      </w:r>
      <w:bookmarkEnd w:id="57"/>
    </w:p>
    <w:p>
      <w:pPr>
        <w:widowControl w:val="0"/>
        <w:jc w:val="both"/>
        <w:rPr>
          <w:kern w:val="2"/>
          <w:szCs w:val="24"/>
          <w:lang w:val="en-US"/>
        </w:rPr>
      </w:pP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718"/>
        <w:gridCol w:w="565"/>
        <w:gridCol w:w="718"/>
        <w:gridCol w:w="905"/>
        <w:gridCol w:w="718"/>
        <w:gridCol w:w="899"/>
        <w:gridCol w:w="1131"/>
        <w:gridCol w:w="888"/>
        <w:gridCol w:w="10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内表最高温度(℃)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温度限值(℃)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东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3.57</w:t>
            </w:r>
          </w:p>
        </w:tc>
        <w:tc>
          <w:tcPr>
            <w:vAlign w:val="center"/>
          </w:tcPr>
          <w:p>
            <w:r>
              <w:t>179</w:t>
            </w:r>
          </w:p>
        </w:tc>
        <w:tc>
          <w:tcPr>
            <w:vAlign w:val="center"/>
          </w:tcPr>
          <w:p>
            <w:r>
              <w:t>203.32</w:t>
            </w:r>
          </w:p>
        </w:tc>
        <w:tc>
          <w:tcPr>
            <w:vAlign w:val="center"/>
          </w:tcPr>
          <w:p>
            <w:r>
              <w:t>36.57</w:t>
            </w:r>
          </w:p>
        </w:tc>
        <w:tc>
          <w:tcPr>
            <w:vAlign w:val="center"/>
          </w:tcPr>
          <w:p>
            <w:r>
              <w:t>37.60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西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3.57</w:t>
            </w:r>
          </w:p>
        </w:tc>
        <w:tc>
          <w:tcPr>
            <w:vAlign w:val="center"/>
          </w:tcPr>
          <w:p>
            <w:r>
              <w:t>179</w:t>
            </w:r>
          </w:p>
        </w:tc>
        <w:tc>
          <w:tcPr>
            <w:vAlign w:val="center"/>
          </w:tcPr>
          <w:p>
            <w:r>
              <w:t>213.61</w:t>
            </w:r>
          </w:p>
        </w:tc>
        <w:tc>
          <w:tcPr>
            <w:vAlign w:val="center"/>
          </w:tcPr>
          <w:p>
            <w:r>
              <w:t>36.41</w:t>
            </w:r>
          </w:p>
        </w:tc>
        <w:tc>
          <w:tcPr>
            <w:vAlign w:val="center"/>
          </w:tcPr>
          <w:p>
            <w:r>
              <w:t>37.60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屋顶构造一</w:t>
            </w:r>
          </w:p>
        </w:tc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上</w:t>
            </w:r>
          </w:p>
        </w:tc>
        <w:tc>
          <w:tcPr>
            <w:vAlign w:val="center"/>
          </w:tcPr>
          <w:p>
            <w:r>
              <w:t>0.55</w:t>
            </w:r>
          </w:p>
        </w:tc>
        <w:tc>
          <w:tcPr>
            <w:vAlign w:val="center"/>
          </w:tcPr>
          <w:p>
            <w:r>
              <w:t>3.17</w:t>
            </w:r>
          </w:p>
        </w:tc>
        <w:tc>
          <w:tcPr>
            <w:vAlign w:val="center"/>
          </w:tcPr>
          <w:p>
            <w:r>
              <w:t>313</w:t>
            </w:r>
          </w:p>
        </w:tc>
        <w:tc>
          <w:tcPr>
            <w:vAlign w:val="center"/>
          </w:tcPr>
          <w:p>
            <w:r>
              <w:t>185.52</w:t>
            </w:r>
          </w:p>
        </w:tc>
        <w:tc>
          <w:tcPr>
            <w:vAlign w:val="center"/>
          </w:tcPr>
          <w:p>
            <w:r>
              <w:t>36.43</w:t>
            </w:r>
          </w:p>
        </w:tc>
        <w:tc>
          <w:tcPr>
            <w:vAlign w:val="center"/>
          </w:tcPr>
          <w:p>
            <w:r>
              <w:t>37.60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9"/>
            <w:vAlign w:val="center"/>
          </w:tcPr>
          <w:p>
            <w:r>
              <w:t>《广东省居住建筑节能设计标准》DBJ/T 15-133-2018第4.2.6条、《夏热冬暖地区居住建筑节能设计标准》(JGJ75-2012)第4.0.7条和《民用建筑热工设计规范》(GB50176)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9"/>
            <w:vAlign w:val="center"/>
          </w:tcPr>
          <w:p>
            <w:r>
              <w:t>内表面温度不超过限值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9"/>
            <w:vAlign w:val="center"/>
          </w:tcPr>
          <w:p>
            <w:r>
              <w:t>满足</w:t>
            </w:r>
          </w:p>
        </w:tc>
      </w:tr>
    </w:tbl>
    <w:p>
      <w:pPr>
        <w:pStyle w:val="2"/>
      </w:pPr>
      <w:bookmarkStart w:id="58" w:name="_Toc15647"/>
      <w:r>
        <w:t>外窗气密性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4"/>
        <w:gridCol w:w="35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层数</w:t>
            </w:r>
          </w:p>
        </w:tc>
        <w:tc>
          <w:tcPr>
            <w:vAlign w:val="center"/>
          </w:tcPr>
          <w:p>
            <w:r>
              <w:t>1～9层</w:t>
            </w:r>
          </w:p>
        </w:tc>
        <w:tc>
          <w:tcPr>
            <w:vAlign w:val="center"/>
          </w:tcPr>
          <w:p>
            <w:r>
              <w:t>10层以上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4级  C1815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《广东省居住建筑节能设计标准》DBJ/T 15-133-2018第4.2.16条，分级与检测方法《建筑外门窗气密，水密，抗风压性能分级及检测方法》（GB/T 7106-2008）</w:t>
            </w:r>
          </w:p>
        </w:tc>
        <w:tc>
          <w:tcPr>
            <w:vAlign w:val="center"/>
          </w:tcPr>
          <w:p>
            <w:r>
              <w:t>《广东省居住建筑节能设计标准》DBJ/T 15-133-2018第4.2.16条，分级与检测方法《建筑外门窗气密，水密，抗风压性能分级及检测方法》（GB/T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1～9层外窗气密性不应低于4级</w:t>
            </w:r>
          </w:p>
        </w:tc>
        <w:tc>
          <w:tcPr>
            <w:vAlign w:val="center"/>
          </w:tcPr>
          <w:p>
            <w:r>
              <w:t>10层以及10层以上外窗气密性不应低于6级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2"/>
      </w:pPr>
      <w:bookmarkStart w:id="59" w:name="_Toc20306"/>
      <w:r>
        <w:t>综合权衡</w:t>
      </w:r>
      <w:bookmarkEnd w:id="59"/>
    </w:p>
    <w:p>
      <w:pPr>
        <w:pStyle w:val="4"/>
      </w:pPr>
      <w:bookmarkStart w:id="60" w:name="_Toc10297"/>
      <w:r>
        <w:t>计算条件</w:t>
      </w:r>
      <w:bookmarkEnd w:id="60"/>
    </w:p>
    <w:p/>
    <w:tbl>
      <w:tblPr>
        <w:tblStyle w:val="18"/>
        <w:tblW w:w="485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685"/>
        <w:gridCol w:w="1098"/>
        <w:gridCol w:w="1932"/>
        <w:gridCol w:w="1031"/>
        <w:gridCol w:w="18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81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0"/>
          </w:p>
        </w:tc>
        <w:tc>
          <w:tcPr>
            <w:tcW w:w="1610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681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0.55</w:t>
            </w:r>
            <w:bookmarkEnd w:id="2"/>
          </w:p>
        </w:tc>
        <w:tc>
          <w:tcPr>
            <w:tcW w:w="1610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0.90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（包括非透明幕墙）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681" w:type="pct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0.80</w:t>
            </w:r>
            <w:bookmarkEnd w:id="4"/>
          </w:p>
        </w:tc>
        <w:tc>
          <w:tcPr>
            <w:tcW w:w="1610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1.50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681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"/>
          </w:p>
        </w:tc>
        <w:tc>
          <w:tcPr>
            <w:tcW w:w="1610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天窗遮阳系数</w:t>
            </w:r>
          </w:p>
        </w:tc>
        <w:tc>
          <w:tcPr>
            <w:tcW w:w="1681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8"/>
          </w:p>
        </w:tc>
        <w:tc>
          <w:tcPr>
            <w:tcW w:w="1610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709" w:type="pct"/>
            <w:gridSpan w:val="2"/>
            <w:tcBorders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外墙表面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辐射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吸收系数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eastAsia="宋体"/>
                <w:sz w:val="21"/>
                <w:szCs w:val="21"/>
                <w:lang w:eastAsia="zh-CN"/>
              </w:rPr>
              <w:t>ρ]</w:t>
            </w:r>
          </w:p>
        </w:tc>
        <w:tc>
          <w:tcPr>
            <w:tcW w:w="1681" w:type="pct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0.75</w:t>
            </w:r>
            <w:bookmarkEnd w:id="10"/>
          </w:p>
        </w:tc>
        <w:tc>
          <w:tcPr>
            <w:tcW w:w="1610" w:type="pct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0.70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9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屋顶外表面辐射吸收系数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eastAsia="宋体"/>
                <w:sz w:val="21"/>
                <w:szCs w:val="21"/>
                <w:lang w:eastAsia="zh-CN"/>
              </w:rPr>
              <w:t>ρ]</w:t>
            </w:r>
          </w:p>
        </w:tc>
        <w:tc>
          <w:tcPr>
            <w:tcW w:w="1681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1" w:name="屋顶ρ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0.75</w:t>
            </w:r>
            <w:bookmarkEnd w:id="61"/>
          </w:p>
        </w:tc>
        <w:tc>
          <w:tcPr>
            <w:tcW w:w="1610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0.70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4" w:type="pct"/>
            <w:vMerge w:val="restar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935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1681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0.12</w:t>
            </w:r>
            <w:bookmarkEnd w:id="13"/>
          </w:p>
        </w:tc>
        <w:tc>
          <w:tcPr>
            <w:tcW w:w="1610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4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35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681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0.06</w:t>
            </w:r>
            <w:bookmarkEnd w:id="15"/>
          </w:p>
        </w:tc>
        <w:tc>
          <w:tcPr>
            <w:tcW w:w="1610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0.06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4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35" w:type="pct"/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681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0.04</w:t>
            </w:r>
            <w:bookmarkEnd w:id="17"/>
          </w:p>
        </w:tc>
        <w:tc>
          <w:tcPr>
            <w:tcW w:w="1610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0.04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4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35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681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0.03</w:t>
            </w:r>
            <w:bookmarkEnd w:id="19"/>
          </w:p>
        </w:tc>
        <w:tc>
          <w:tcPr>
            <w:tcW w:w="1610" w:type="pct"/>
            <w:gridSpan w:val="2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0.03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774" w:type="pct"/>
            <w:vMerge w:val="continue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35" w:type="pct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平均</w:t>
            </w:r>
          </w:p>
        </w:tc>
        <w:tc>
          <w:tcPr>
            <w:tcW w:w="1681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0.05</w:t>
            </w:r>
            <w:bookmarkEnd w:id="21"/>
          </w:p>
        </w:tc>
        <w:tc>
          <w:tcPr>
            <w:tcW w:w="1610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0.05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1709" w:type="pct"/>
            <w:gridSpan w:val="2"/>
            <w:vMerge w:val="restar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窗地比</w:t>
            </w:r>
          </w:p>
        </w:tc>
        <w:tc>
          <w:tcPr>
            <w:tcW w:w="609" w:type="pct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0.04</w:t>
            </w:r>
            <w:bookmarkEnd w:id="23"/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窗面积:22.86</w:t>
            </w:r>
            <w:bookmarkEnd w:id="24"/>
          </w:p>
        </w:tc>
        <w:tc>
          <w:tcPr>
            <w:tcW w:w="572" w:type="pct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0.04</w:t>
            </w:r>
            <w:bookmarkEnd w:id="25"/>
          </w:p>
        </w:tc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窗面积:22.86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709" w:type="pct"/>
            <w:gridSpan w:val="2"/>
            <w:vMerge w:val="continue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09" w:type="pct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地面面积:564.00</w:t>
            </w:r>
            <w:bookmarkEnd w:id="27"/>
          </w:p>
        </w:tc>
        <w:tc>
          <w:tcPr>
            <w:tcW w:w="572" w:type="pct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地面面积:564.00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709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外窗传热系数K</w:t>
            </w:r>
          </w:p>
        </w:tc>
        <w:tc>
          <w:tcPr>
            <w:tcW w:w="1681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2" w:name="外窗K－平均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1.70</w:t>
            </w:r>
            <w:bookmarkEnd w:id="62"/>
          </w:p>
        </w:tc>
        <w:tc>
          <w:tcPr>
            <w:tcW w:w="1610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1.70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709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外窗综合遮阳系数Sw</w:t>
            </w:r>
          </w:p>
        </w:tc>
        <w:tc>
          <w:tcPr>
            <w:tcW w:w="1681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0.57</w:t>
            </w:r>
            <w:bookmarkEnd w:id="30"/>
          </w:p>
        </w:tc>
        <w:tc>
          <w:tcPr>
            <w:tcW w:w="1610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0.80</w:t>
            </w:r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9" w:type="pct"/>
            <w:gridSpan w:val="2"/>
            <w:tcBorders>
              <w:top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其他计算条件</w:t>
            </w:r>
          </w:p>
        </w:tc>
        <w:tc>
          <w:tcPr>
            <w:tcW w:w="3291" w:type="pct"/>
            <w:gridSpan w:val="4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夏季室内计算温度26度，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换气次数1.0，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空调能效比3.0;采暖能效比1.7</w:t>
            </w:r>
          </w:p>
        </w:tc>
      </w:tr>
    </w:tbl>
    <w:p/>
    <w:p>
      <w:pPr>
        <w:pStyle w:val="4"/>
      </w:pPr>
      <w:bookmarkStart w:id="63" w:name="_Toc27763"/>
      <w:r>
        <w:t>综合权衡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2971"/>
        <w:gridCol w:w="29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设计建筑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参照建筑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空调耗电指数(建筑)</w:t>
            </w:r>
          </w:p>
        </w:tc>
        <w:tc>
          <w:tcPr>
            <w:vAlign w:val="center"/>
          </w:tcPr>
          <w:p>
            <w:r>
              <w:t>32.14</w:t>
            </w:r>
          </w:p>
        </w:tc>
        <w:tc>
          <w:tcPr>
            <w:vAlign w:val="center"/>
          </w:tcPr>
          <w:p>
            <w:r>
              <w:t>40.53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2"/>
            <w:vAlign w:val="center"/>
          </w:tcPr>
          <w:p>
            <w:r>
              <w:t>《夏热冬暖地区居住建筑节能设计标准》(JGJ75-2012)第5.0.1条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2"/>
            <w:vAlign w:val="center"/>
          </w:tcPr>
          <w:p>
            <w:r>
              <w:t>设计建筑的能耗不得超过参照建筑的能耗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2"/>
      </w:pPr>
      <w:bookmarkStart w:id="64" w:name="_Toc31402"/>
      <w:r>
        <w:t>结论</w:t>
      </w:r>
      <w:bookmarkEnd w:id="6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4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窗地面积比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可见光透射比</w:t>
            </w:r>
          </w:p>
        </w:tc>
        <w:tc>
          <w:tcPr>
            <w:vAlign w:val="center"/>
          </w:tcPr>
          <w:p>
            <w:r>
              <w:t>不需要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天窗类型</w:t>
            </w:r>
          </w:p>
        </w:tc>
        <w:tc>
          <w:tcPr>
            <w:vAlign w:val="center"/>
          </w:tcPr>
          <w:p>
            <w:r>
              <w:t>无屋顶透光部分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屋顶构造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外墙构造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外窗热工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主要房间通风开口面积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非主要房间通风开口面积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隔热检查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外窗气密性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综合权衡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E40464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25E4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549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14</Pages>
  <Words>4882</Words>
  <Characters>7091</Characters>
  <Lines>42</Lines>
  <Paragraphs>12</Paragraphs>
  <TotalTime>0</TotalTime>
  <ScaleCrop>false</ScaleCrop>
  <LinksUpToDate>false</LinksUpToDate>
  <CharactersWithSpaces>7311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2021-01-05T04:38:00Z</dcterms:created>
  <dc:creator>15549</dc:creator>
  <cp:lastModifiedBy>15549</cp:lastModifiedBy>
  <dcterms:modified xsi:type="dcterms:W3CDTF">2021-01-05T04:38:14Z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