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广东-广州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2021年1月5日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20190808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T13058163301 </w:t>
            </w:r>
          </w:p>
        </w:tc>
      </w:tr>
    </w:tbl>
    <w:p>
      <w:pPr>
        <w:spacing w:line="1000" w:lineRule="exact"/>
        <w:jc w:val="center"/>
        <w:rPr>
          <w:rFonts w:ascii="宋体" w:hAnsi="宋体"/>
          <w:b/>
          <w:bCs/>
          <w:sz w:val="32"/>
          <w:szCs w:val="32"/>
        </w:rPr>
      </w:pPr>
      <w:bookmarkStart w:id="58" w:name="_GoBack"/>
      <w:bookmarkEnd w:id="58"/>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_Toc6756 </w:instrText>
      </w:r>
      <w:r>
        <w:rPr>
          <w:rFonts w:ascii="宋体" w:hAnsi="宋体"/>
          <w:bCs w:val="0"/>
          <w:caps/>
        </w:rPr>
        <w:fldChar w:fldCharType="separate"/>
      </w:r>
      <w:r>
        <w:rPr>
          <w:rFonts w:hint="eastAsia"/>
        </w:rPr>
        <w:t>1 建筑概况</w:t>
      </w:r>
      <w:r>
        <w:tab/>
      </w:r>
      <w:r>
        <w:fldChar w:fldCharType="begin"/>
      </w:r>
      <w:r>
        <w:instrText xml:space="preserve"> PAGEREF _Toc6756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_Toc22733 </w:instrText>
      </w:r>
      <w:r>
        <w:fldChar w:fldCharType="separate"/>
      </w:r>
      <w:r>
        <w:rPr>
          <w:rFonts w:hint="eastAsia"/>
        </w:rPr>
        <w:t>2 计算依据</w:t>
      </w:r>
      <w:r>
        <w:tab/>
      </w:r>
      <w:r>
        <w:fldChar w:fldCharType="begin"/>
      </w:r>
      <w:r>
        <w:instrText xml:space="preserve"> PAGEREF _Toc22733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_Toc20485 </w:instrText>
      </w:r>
      <w:r>
        <w:fldChar w:fldCharType="separate"/>
      </w:r>
      <w:r>
        <w:rPr>
          <w:rFonts w:hint="eastAsia"/>
        </w:rPr>
        <w:t>3 计算要求</w:t>
      </w:r>
      <w:r>
        <w:tab/>
      </w:r>
      <w:r>
        <w:fldChar w:fldCharType="begin"/>
      </w:r>
      <w:r>
        <w:instrText xml:space="preserve"> PAGEREF _Toc20485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_Toc12276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_Toc12276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_Toc26766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_Toc26766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_Toc31229 </w:instrText>
      </w:r>
      <w:r>
        <w:fldChar w:fldCharType="separate"/>
      </w:r>
      <w:r>
        <w:rPr>
          <w:rFonts w:hint="eastAsia"/>
          <w:kern w:val="2"/>
          <w:szCs w:val="24"/>
          <w:lang w:val="en-US"/>
        </w:rPr>
        <w:t xml:space="preserve">4 </w:t>
      </w:r>
      <w:r>
        <w:rPr>
          <w:kern w:val="2"/>
          <w:szCs w:val="24"/>
          <w:lang w:val="en-US"/>
        </w:rPr>
        <w:t>围护结构概况</w:t>
      </w:r>
      <w:r>
        <w:tab/>
      </w:r>
      <w:r>
        <w:fldChar w:fldCharType="begin"/>
      </w:r>
      <w:r>
        <w:instrText xml:space="preserve"> PAGEREF _Toc31229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_Toc1705 </w:instrText>
      </w:r>
      <w:r>
        <w:fldChar w:fldCharType="separate"/>
      </w:r>
      <w:r>
        <w:rPr>
          <w:rFonts w:hint="eastAsia"/>
          <w:kern w:val="2"/>
          <w:szCs w:val="24"/>
          <w:lang w:val="en-US"/>
        </w:rPr>
        <w:t xml:space="preserve">5 </w:t>
      </w:r>
      <w:r>
        <w:rPr>
          <w:kern w:val="2"/>
          <w:szCs w:val="24"/>
          <w:lang w:val="en-US"/>
        </w:rPr>
        <w:t>房间类型</w:t>
      </w:r>
      <w:r>
        <w:tab/>
      </w:r>
      <w:r>
        <w:fldChar w:fldCharType="begin"/>
      </w:r>
      <w:r>
        <w:instrText xml:space="preserve"> PAGEREF _Toc1705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_Toc1450 </w:instrText>
      </w:r>
      <w:r>
        <w:fldChar w:fldCharType="separate"/>
      </w:r>
      <w:r>
        <w:rPr>
          <w:rFonts w:hint="eastAsia"/>
          <w:kern w:val="2"/>
          <w:szCs w:val="24"/>
          <w:lang w:val="en-GB"/>
        </w:rPr>
        <w:t xml:space="preserve">5.1 </w:t>
      </w:r>
      <w:r>
        <w:rPr>
          <w:kern w:val="2"/>
          <w:szCs w:val="24"/>
          <w:lang w:val="en-US"/>
        </w:rPr>
        <w:t>房间表</w:t>
      </w:r>
      <w:r>
        <w:tab/>
      </w:r>
      <w:r>
        <w:fldChar w:fldCharType="begin"/>
      </w:r>
      <w:r>
        <w:instrText xml:space="preserve"> PAGEREF _Toc1450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_Toc8652 </w:instrText>
      </w:r>
      <w:r>
        <w:fldChar w:fldCharType="separate"/>
      </w:r>
      <w:r>
        <w:rPr>
          <w:rFonts w:hint="eastAsia"/>
          <w:kern w:val="2"/>
          <w:szCs w:val="24"/>
          <w:lang w:val="en-GB"/>
        </w:rPr>
        <w:t xml:space="preserve">5.2 </w:t>
      </w:r>
      <w:r>
        <w:rPr>
          <w:kern w:val="2"/>
          <w:szCs w:val="24"/>
          <w:lang w:val="en-US"/>
        </w:rPr>
        <w:t>作息时间表</w:t>
      </w:r>
      <w:r>
        <w:tab/>
      </w:r>
      <w:r>
        <w:fldChar w:fldCharType="begin"/>
      </w:r>
      <w:r>
        <w:instrText xml:space="preserve"> PAGEREF _Toc8652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_Toc10604 </w:instrText>
      </w:r>
      <w:r>
        <w:fldChar w:fldCharType="separate"/>
      </w:r>
      <w:r>
        <w:rPr>
          <w:rFonts w:hint="eastAsia"/>
          <w:kern w:val="2"/>
          <w:szCs w:val="24"/>
          <w:lang w:val="en-US"/>
        </w:rPr>
        <w:t xml:space="preserve">6 </w:t>
      </w:r>
      <w:r>
        <w:rPr>
          <w:kern w:val="2"/>
          <w:szCs w:val="24"/>
          <w:lang w:val="en-US"/>
        </w:rPr>
        <w:t>设计系统</w:t>
      </w:r>
      <w:r>
        <w:tab/>
      </w:r>
      <w:r>
        <w:fldChar w:fldCharType="begin"/>
      </w:r>
      <w:r>
        <w:instrText xml:space="preserve"> PAGEREF _Toc10604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_Toc18471 </w:instrText>
      </w:r>
      <w:r>
        <w:fldChar w:fldCharType="separate"/>
      </w:r>
      <w:r>
        <w:rPr>
          <w:rFonts w:hint="eastAsia"/>
          <w:kern w:val="2"/>
          <w:szCs w:val="24"/>
          <w:lang w:val="en-GB"/>
        </w:rPr>
        <w:t xml:space="preserve">6.1 </w:t>
      </w:r>
      <w:r>
        <w:rPr>
          <w:kern w:val="2"/>
          <w:szCs w:val="24"/>
          <w:lang w:val="en-US"/>
        </w:rPr>
        <w:t>系统类型</w:t>
      </w:r>
      <w:r>
        <w:tab/>
      </w:r>
      <w:r>
        <w:fldChar w:fldCharType="begin"/>
      </w:r>
      <w:r>
        <w:instrText xml:space="preserve"> PAGEREF _Toc18471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_Toc11794 </w:instrText>
      </w:r>
      <w:r>
        <w:fldChar w:fldCharType="separate"/>
      </w:r>
      <w:r>
        <w:rPr>
          <w:rFonts w:hint="eastAsia"/>
          <w:kern w:val="2"/>
          <w:szCs w:val="24"/>
          <w:lang w:val="en-GB"/>
        </w:rPr>
        <w:t xml:space="preserve">6.2 </w:t>
      </w:r>
      <w:r>
        <w:rPr>
          <w:kern w:val="2"/>
          <w:szCs w:val="24"/>
          <w:lang w:val="en-US"/>
        </w:rPr>
        <w:t>制冷系统</w:t>
      </w:r>
      <w:r>
        <w:tab/>
      </w:r>
      <w:r>
        <w:fldChar w:fldCharType="begin"/>
      </w:r>
      <w:r>
        <w:instrText xml:space="preserve"> PAGEREF _Toc11794 \h </w:instrText>
      </w:r>
      <w:r>
        <w:fldChar w:fldCharType="separate"/>
      </w:r>
      <w:r>
        <w:t>5</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_Toc19756 </w:instrText>
      </w:r>
      <w:r>
        <w:fldChar w:fldCharType="separate"/>
      </w:r>
      <w:r>
        <w:rPr>
          <w:rFonts w:hint="eastAsia" w:eastAsia="宋体"/>
          <w:kern w:val="2"/>
          <w:szCs w:val="24"/>
          <w:lang w:val="en-GB"/>
        </w:rPr>
        <w:t xml:space="preserve">6.2.1 </w:t>
      </w:r>
      <w:r>
        <w:rPr>
          <w:kern w:val="2"/>
          <w:szCs w:val="24"/>
          <w:lang w:val="en-US"/>
        </w:rPr>
        <w:t>多联机/单元式空调能耗</w:t>
      </w:r>
      <w:r>
        <w:tab/>
      </w:r>
      <w:r>
        <w:fldChar w:fldCharType="begin"/>
      </w:r>
      <w:r>
        <w:instrText xml:space="preserve"> PAGEREF _Toc19756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_Toc30652 </w:instrText>
      </w:r>
      <w:r>
        <w:fldChar w:fldCharType="separate"/>
      </w:r>
      <w:r>
        <w:rPr>
          <w:rFonts w:hint="eastAsia"/>
          <w:kern w:val="2"/>
          <w:szCs w:val="24"/>
          <w:lang w:val="en-US"/>
        </w:rPr>
        <w:t xml:space="preserve">7 </w:t>
      </w:r>
      <w:r>
        <w:rPr>
          <w:kern w:val="2"/>
          <w:szCs w:val="24"/>
          <w:lang w:val="en-US"/>
        </w:rPr>
        <w:t>参照系统</w:t>
      </w:r>
      <w:r>
        <w:tab/>
      </w:r>
      <w:r>
        <w:fldChar w:fldCharType="begin"/>
      </w:r>
      <w:r>
        <w:instrText xml:space="preserve"> PAGEREF _Toc30652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_Toc12583 </w:instrText>
      </w:r>
      <w:r>
        <w:fldChar w:fldCharType="separate"/>
      </w:r>
      <w:r>
        <w:rPr>
          <w:rFonts w:hint="eastAsia"/>
          <w:kern w:val="2"/>
          <w:szCs w:val="24"/>
          <w:lang w:val="en-GB"/>
        </w:rPr>
        <w:t xml:space="preserve">7.1 </w:t>
      </w:r>
      <w:r>
        <w:rPr>
          <w:kern w:val="2"/>
          <w:szCs w:val="24"/>
          <w:lang w:val="en-US"/>
        </w:rPr>
        <w:t>系统类型</w:t>
      </w:r>
      <w:r>
        <w:tab/>
      </w:r>
      <w:r>
        <w:fldChar w:fldCharType="begin"/>
      </w:r>
      <w:r>
        <w:instrText xml:space="preserve"> PAGEREF _Toc12583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_Toc10116 </w:instrText>
      </w:r>
      <w:r>
        <w:fldChar w:fldCharType="separate"/>
      </w:r>
      <w:r>
        <w:rPr>
          <w:rFonts w:hint="eastAsia"/>
          <w:kern w:val="2"/>
          <w:szCs w:val="24"/>
          <w:lang w:val="en-GB"/>
        </w:rPr>
        <w:t xml:space="preserve">7.2 </w:t>
      </w:r>
      <w:r>
        <w:rPr>
          <w:kern w:val="2"/>
          <w:szCs w:val="24"/>
          <w:lang w:val="en-US"/>
        </w:rPr>
        <w:t>制冷系统</w:t>
      </w:r>
      <w:r>
        <w:tab/>
      </w:r>
      <w:r>
        <w:fldChar w:fldCharType="begin"/>
      </w:r>
      <w:r>
        <w:instrText xml:space="preserve"> PAGEREF _Toc10116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_Toc12990 </w:instrText>
      </w:r>
      <w:r>
        <w:fldChar w:fldCharType="separate"/>
      </w:r>
      <w:r>
        <w:rPr>
          <w:rFonts w:hint="eastAsia"/>
          <w:kern w:val="2"/>
          <w:szCs w:val="24"/>
          <w:lang w:val="en-US"/>
        </w:rPr>
        <w:t xml:space="preserve">8 </w:t>
      </w:r>
      <w:r>
        <w:rPr>
          <w:kern w:val="2"/>
          <w:szCs w:val="24"/>
          <w:lang w:val="en-US"/>
        </w:rPr>
        <w:t>计算结果</w:t>
      </w:r>
      <w:r>
        <w:tab/>
      </w:r>
      <w:r>
        <w:fldChar w:fldCharType="begin"/>
      </w:r>
      <w:r>
        <w:instrText xml:space="preserve"> PAGEREF _Toc12990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_Toc910 </w:instrText>
      </w:r>
      <w:r>
        <w:fldChar w:fldCharType="separate"/>
      </w:r>
      <w:r>
        <w:rPr>
          <w:rFonts w:hint="eastAsia"/>
          <w:kern w:val="2"/>
          <w:szCs w:val="24"/>
          <w:lang w:val="en-US"/>
        </w:rPr>
        <w:t xml:space="preserve">9 </w:t>
      </w:r>
      <w:r>
        <w:rPr>
          <w:kern w:val="2"/>
          <w:szCs w:val="24"/>
          <w:lang w:val="en-US"/>
        </w:rPr>
        <w:t>附录</w:t>
      </w:r>
      <w:r>
        <w:tab/>
      </w:r>
      <w:r>
        <w:fldChar w:fldCharType="begin"/>
      </w:r>
      <w:r>
        <w:instrText xml:space="preserve"> PAGEREF _Toc910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_Toc16725 </w:instrText>
      </w:r>
      <w:r>
        <w:fldChar w:fldCharType="separate"/>
      </w:r>
      <w:r>
        <w:rPr>
          <w:rFonts w:hint="eastAsia"/>
          <w:kern w:val="2"/>
          <w:szCs w:val="24"/>
          <w:lang w:val="en-GB"/>
        </w:rPr>
        <w:t xml:space="preserve">9.1 </w:t>
      </w:r>
      <w:r>
        <w:rPr>
          <w:kern w:val="2"/>
          <w:szCs w:val="24"/>
          <w:lang w:val="en-US"/>
        </w:rPr>
        <w:t>工作日/节假日人员逐时在室率(%)</w:t>
      </w:r>
      <w:r>
        <w:tab/>
      </w:r>
      <w:r>
        <w:fldChar w:fldCharType="begin"/>
      </w:r>
      <w:r>
        <w:instrText xml:space="preserve"> PAGEREF _Toc16725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_Toc8269 </w:instrText>
      </w:r>
      <w:r>
        <w:fldChar w:fldCharType="separate"/>
      </w:r>
      <w:r>
        <w:rPr>
          <w:rFonts w:hint="eastAsia"/>
          <w:lang w:val="en-GB"/>
        </w:rPr>
        <w:t xml:space="preserve">9.2 </w:t>
      </w:r>
      <w:r>
        <w:t>工作日/节假日照明开关时间表(%)</w:t>
      </w:r>
      <w:r>
        <w:tab/>
      </w:r>
      <w:r>
        <w:fldChar w:fldCharType="begin"/>
      </w:r>
      <w:r>
        <w:instrText xml:space="preserve"> PAGEREF _Toc8269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_Toc32679 </w:instrText>
      </w:r>
      <w:r>
        <w:fldChar w:fldCharType="separate"/>
      </w:r>
      <w:r>
        <w:rPr>
          <w:rFonts w:hint="eastAsia"/>
          <w:lang w:val="en-GB"/>
        </w:rPr>
        <w:t xml:space="preserve">9.3 </w:t>
      </w:r>
      <w:r>
        <w:t>工作日/节假日设备逐时使用率(%)</w:t>
      </w:r>
      <w:r>
        <w:tab/>
      </w:r>
      <w:r>
        <w:fldChar w:fldCharType="begin"/>
      </w:r>
      <w:r>
        <w:instrText xml:space="preserve"> PAGEREF _Toc32679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_Toc23879 </w:instrText>
      </w:r>
      <w:r>
        <w:fldChar w:fldCharType="separate"/>
      </w:r>
      <w:r>
        <w:rPr>
          <w:rFonts w:hint="eastAsia"/>
          <w:lang w:val="en-GB"/>
        </w:rPr>
        <w:t xml:space="preserve">9.4 </w:t>
      </w:r>
      <w:r>
        <w:t>工作日/节假日空调系统运行时间表(1:开,0:关)</w:t>
      </w:r>
      <w:r>
        <w:tab/>
      </w:r>
      <w:r>
        <w:fldChar w:fldCharType="begin"/>
      </w:r>
      <w:r>
        <w:instrText xml:space="preserve"> PAGEREF _Toc23879 \h </w:instrText>
      </w:r>
      <w:r>
        <w:fldChar w:fldCharType="separate"/>
      </w:r>
      <w:r>
        <w:t>6</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2" w:name="_Toc6756"/>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广东-广州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23.08°</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564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2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9.0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1884.38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914.39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bl>
    <w:p>
      <w:pPr>
        <w:pStyle w:val="3"/>
        <w:ind w:firstLine="0" w:firstLineChars="0"/>
        <w:rPr>
          <w:lang w:val="en-US"/>
        </w:rPr>
      </w:pPr>
      <w:bookmarkStart w:id="29" w:name="TitleFormat"/>
    </w:p>
    <w:p>
      <w:pPr>
        <w:pStyle w:val="3"/>
        <w:ind w:firstLine="0" w:firstLineChars="0"/>
        <w:rPr>
          <w:lang w:val="en-US"/>
        </w:rPr>
      </w:pPr>
    </w:p>
    <w:p>
      <w:pPr>
        <w:pStyle w:val="2"/>
      </w:pPr>
      <w:bookmarkStart w:id="30" w:name="_Toc22733"/>
      <w:r>
        <w:rPr>
          <w:rFonts w:hint="eastAsia"/>
        </w:rPr>
        <w:t>计算依据</w:t>
      </w:r>
      <w:bookmarkEnd w:id="30"/>
    </w:p>
    <w:bookmarkEnd w:id="29"/>
    <w:p>
      <w:pPr>
        <w:widowControl w:val="0"/>
        <w:jc w:val="both"/>
        <w:rPr>
          <w:kern w:val="2"/>
          <w:szCs w:val="24"/>
          <w:lang w:val="en-US"/>
        </w:rPr>
      </w:pPr>
      <w:bookmarkStart w:id="31" w:name="计算依据"/>
      <w:bookmarkEnd w:id="31"/>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《夏热冬暖地区居住建筑节能设计标准》(JGJ75-2012)</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2" w:name="_Toc31856"/>
      <w:bookmarkStart w:id="33" w:name="_Toc25351"/>
      <w:bookmarkStart w:id="34" w:name="_Toc20485"/>
      <w:r>
        <w:rPr>
          <w:rFonts w:hint="eastAsia"/>
        </w:rPr>
        <w:t>计算要求</w:t>
      </w:r>
      <w:bookmarkEnd w:id="32"/>
      <w:bookmarkEnd w:id="33"/>
      <w:bookmarkEnd w:id="34"/>
    </w:p>
    <w:p>
      <w:pPr>
        <w:pStyle w:val="4"/>
        <w:tabs>
          <w:tab w:val="clear" w:pos="578"/>
        </w:tabs>
        <w:rPr>
          <w:kern w:val="2"/>
          <w:sz w:val="21"/>
        </w:rPr>
      </w:pPr>
      <w:bookmarkStart w:id="35" w:name="_Toc3445"/>
      <w:bookmarkStart w:id="36" w:name="_Toc20530"/>
      <w:bookmarkStart w:id="37" w:name="_Toc12276"/>
      <w:r>
        <w:rPr>
          <w:rFonts w:hint="eastAsia"/>
          <w:kern w:val="2"/>
          <w:sz w:val="21"/>
        </w:rPr>
        <w:t>计算目标</w:t>
      </w:r>
      <w:bookmarkEnd w:id="35"/>
      <w:bookmarkEnd w:id="36"/>
      <w:bookmarkEnd w:id="37"/>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8" w:name="_Toc30695"/>
      <w:bookmarkStart w:id="39" w:name="_Toc6638"/>
      <w:bookmarkStart w:id="40" w:name="_Toc26766"/>
      <w:r>
        <w:rPr>
          <w:rFonts w:hint="eastAsia"/>
          <w:kern w:val="2"/>
          <w:sz w:val="21"/>
        </w:rPr>
        <w:t>计算方法</w:t>
      </w:r>
      <w:bookmarkEnd w:id="38"/>
      <w:bookmarkEnd w:id="39"/>
      <w:bookmarkEnd w:id="40"/>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pStyle w:val="2"/>
        <w:widowControl w:val="0"/>
        <w:jc w:val="both"/>
        <w:rPr>
          <w:kern w:val="2"/>
          <w:szCs w:val="24"/>
          <w:lang w:val="en-US"/>
        </w:rPr>
      </w:pPr>
      <w:bookmarkStart w:id="41" w:name="_Toc31229"/>
      <w:r>
        <w:rPr>
          <w:kern w:val="2"/>
          <w:szCs w:val="24"/>
          <w:lang w:val="en-US"/>
        </w:rPr>
        <w:t>围护结构概况</w:t>
      </w:r>
      <w:bookmarkEnd w:id="41"/>
    </w:p>
    <w:p/>
    <w:tbl>
      <w:tblPr>
        <w:tblStyle w:val="18"/>
        <w:tblW w:w="5250"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2870"/>
        <w:gridCol w:w="1609"/>
        <w:gridCol w:w="1431"/>
        <w:gridCol w:w="142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jc w:val="center"/>
              <w:rPr>
                <w:rFonts w:eastAsia="宋体"/>
                <w:bCs/>
                <w:sz w:val="21"/>
                <w:szCs w:val="21"/>
                <w:lang w:eastAsia="zh-CN"/>
              </w:rPr>
            </w:pPr>
          </w:p>
        </w:tc>
        <w:tc>
          <w:tcPr>
            <w:tcW w:w="2289" w:type="pct"/>
            <w:gridSpan w:val="3"/>
            <w:shd w:val="clear" w:color="auto" w:fill="E6E6E6"/>
            <w:vAlign w:val="center"/>
          </w:tcPr>
          <w:p>
            <w:pPr>
              <w:jc w:val="center"/>
              <w:rPr>
                <w:rFonts w:eastAsia="宋体"/>
                <w:bCs/>
                <w:sz w:val="21"/>
                <w:szCs w:val="21"/>
                <w:lang w:eastAsia="zh-CN"/>
              </w:rPr>
            </w:pPr>
            <w:r>
              <w:rPr>
                <w:rFonts w:hint="eastAsia" w:hAnsi="宋体" w:eastAsia="宋体"/>
                <w:bCs/>
                <w:sz w:val="21"/>
                <w:szCs w:val="21"/>
                <w:lang w:eastAsia="zh-CN"/>
              </w:rPr>
              <w:t>设计建筑</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0.52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0.62</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hAnsi="宋体" w:eastAsia="宋体"/>
                <w:kern w:val="0"/>
                <w:sz w:val="21"/>
                <w:szCs w:val="21"/>
                <w:lang w:eastAsia="zh-CN"/>
              </w:rPr>
            </w:pPr>
            <w:r>
              <w:rPr>
                <w:rFonts w:hint="eastAsia" w:eastAsia="宋体"/>
                <w:bCs/>
                <w:sz w:val="21"/>
                <w:szCs w:val="21"/>
                <w:lang w:eastAsia="zh-CN"/>
              </w:rPr>
              <w:t>天窗传热系数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天窗遮阳系数</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1.18</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外墙表面</w:t>
            </w:r>
            <w:r>
              <w:rPr>
                <w:rFonts w:hint="eastAsia" w:hAnsi="宋体" w:eastAsia="宋体"/>
                <w:kern w:val="0"/>
                <w:sz w:val="21"/>
                <w:szCs w:val="21"/>
                <w:lang w:eastAsia="zh-CN"/>
              </w:rPr>
              <w:t>辐射</w:t>
            </w:r>
            <w:r>
              <w:rPr>
                <w:rFonts w:hAnsi="宋体" w:eastAsia="宋体"/>
                <w:kern w:val="0"/>
                <w:sz w:val="21"/>
                <w:szCs w:val="21"/>
                <w:lang w:eastAsia="zh-CN"/>
              </w:rPr>
              <w:t>吸收系数</w:t>
            </w:r>
            <w:r>
              <w:rPr>
                <w:rFonts w:eastAsia="宋体"/>
                <w:kern w:val="0"/>
                <w:sz w:val="21"/>
                <w:szCs w:val="21"/>
                <w:lang w:eastAsia="zh-CN"/>
              </w:rPr>
              <w:t>[</w:t>
            </w:r>
            <w:r>
              <w:rPr>
                <w:rFonts w:eastAsia="宋体"/>
                <w:sz w:val="21"/>
                <w:szCs w:val="21"/>
                <w:lang w:eastAsia="zh-CN"/>
              </w:rPr>
              <w:t>ρ]</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0.75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11" w:type="pct"/>
            <w:gridSpan w:val="2"/>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屋顶外表面辐射吸收系数</w:t>
            </w:r>
            <w:r>
              <w:rPr>
                <w:rFonts w:eastAsia="宋体"/>
                <w:kern w:val="0"/>
                <w:sz w:val="21"/>
                <w:szCs w:val="21"/>
                <w:lang w:eastAsia="zh-CN"/>
              </w:rPr>
              <w:t>[</w:t>
            </w:r>
            <w:r>
              <w:rPr>
                <w:rFonts w:eastAsia="宋体"/>
                <w:sz w:val="21"/>
                <w:szCs w:val="21"/>
                <w:lang w:eastAsia="zh-CN"/>
              </w:rPr>
              <w:t>ρ]</w:t>
            </w:r>
          </w:p>
        </w:tc>
        <w:tc>
          <w:tcPr>
            <w:tcW w:w="2289" w:type="pct"/>
            <w:gridSpan w:val="3"/>
            <w:vAlign w:val="center"/>
          </w:tcPr>
          <w:p>
            <w:pPr>
              <w:jc w:val="center"/>
              <w:rPr>
                <w:rFonts w:eastAsia="宋体"/>
                <w:kern w:val="0"/>
                <w:sz w:val="21"/>
                <w:szCs w:val="21"/>
                <w:lang w:eastAsia="zh-CN"/>
              </w:rPr>
            </w:pPr>
            <w:r>
              <w:rPr>
                <w:rFonts w:hint="eastAsia" w:eastAsia="宋体"/>
                <w:kern w:val="0"/>
                <w:sz w:val="21"/>
                <w:szCs w:val="21"/>
                <w:lang w:eastAsia="zh-CN"/>
              </w:rPr>
              <w:t>0.75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1472"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825"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734"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传热系数</w:t>
            </w:r>
          </w:p>
        </w:tc>
        <w:tc>
          <w:tcPr>
            <w:tcW w:w="730"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遮阳系数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Merge w:val="continue"/>
            <w:vAlign w:val="center"/>
          </w:tcPr>
          <w:p>
            <w:pPr>
              <w:jc w:val="center"/>
              <w:rPr>
                <w:rFonts w:eastAsia="宋体"/>
                <w:bCs/>
                <w:sz w:val="21"/>
                <w:szCs w:val="21"/>
                <w:lang w:eastAsia="zh-CN"/>
              </w:rPr>
            </w:pPr>
          </w:p>
        </w:tc>
        <w:tc>
          <w:tcPr>
            <w:tcW w:w="1472" w:type="pct"/>
            <w:shd w:val="clear" w:color="auto" w:fill="E6E6E6"/>
            <w:vAlign w:val="center"/>
          </w:tcPr>
          <w:p>
            <w:pPr>
              <w:jc w:val="center"/>
              <w:rPr>
                <w:rFonts w:hAnsi="宋体" w:eastAsia="宋体"/>
                <w:bCs/>
                <w:sz w:val="21"/>
                <w:szCs w:val="21"/>
                <w:lang w:eastAsia="zh-CN"/>
              </w:rPr>
            </w:pPr>
            <w:r>
              <w:rPr>
                <w:rFonts w:hAnsi="宋体" w:eastAsia="宋体"/>
                <w:bCs/>
                <w:sz w:val="21"/>
                <w:szCs w:val="21"/>
                <w:lang w:eastAsia="zh-CN"/>
              </w:rPr>
              <w:t>东向</w:t>
            </w:r>
          </w:p>
        </w:tc>
        <w:tc>
          <w:tcPr>
            <w:tcW w:w="825" w:type="pct"/>
            <w:vAlign w:val="center"/>
          </w:tcPr>
          <w:p>
            <w:pPr>
              <w:jc w:val="center"/>
              <w:rPr>
                <w:rFonts w:eastAsia="宋体"/>
                <w:bCs/>
                <w:sz w:val="21"/>
                <w:szCs w:val="21"/>
                <w:lang w:eastAsia="zh-CN"/>
              </w:rPr>
            </w:pPr>
            <w:r>
              <w:rPr>
                <w:rFonts w:hint="eastAsia" w:ascii="宋体" w:hAnsi="宋体" w:cs="宋体"/>
                <w:kern w:val="0"/>
                <w:sz w:val="22"/>
                <w:szCs w:val="22"/>
                <w:lang w:eastAsia="zh-CN"/>
              </w:rPr>
              <w:t>0.03</w:t>
            </w:r>
          </w:p>
        </w:tc>
        <w:tc>
          <w:tcPr>
            <w:tcW w:w="734" w:type="pct"/>
            <w:vAlign w:val="center"/>
          </w:tcPr>
          <w:p>
            <w:pPr>
              <w:jc w:val="center"/>
              <w:rPr>
                <w:rFonts w:eastAsia="宋体"/>
                <w:bCs/>
                <w:sz w:val="21"/>
                <w:szCs w:val="21"/>
                <w:lang w:eastAsia="zh-CN"/>
              </w:rPr>
            </w:pPr>
            <w:r>
              <w:rPr>
                <w:rFonts w:hint="eastAsia" w:ascii="宋体" w:hAnsi="宋体" w:cs="宋体"/>
                <w:kern w:val="0"/>
                <w:sz w:val="22"/>
                <w:szCs w:val="22"/>
                <w:lang w:eastAsia="zh-CN"/>
              </w:rPr>
              <w:t>3.90</w:t>
            </w:r>
          </w:p>
        </w:tc>
        <w:tc>
          <w:tcPr>
            <w:tcW w:w="730" w:type="pct"/>
            <w:vAlign w:val="center"/>
          </w:tcPr>
          <w:p>
            <w:pPr>
              <w:jc w:val="center"/>
              <w:rPr>
                <w:rFonts w:eastAsia="宋体"/>
                <w:bCs/>
                <w:sz w:val="21"/>
                <w:szCs w:val="21"/>
                <w:lang w:eastAsia="zh-CN"/>
              </w:rPr>
            </w:pPr>
            <w:r>
              <w:rPr>
                <w:rFonts w:hint="eastAsia" w:ascii="宋体" w:hAnsi="宋体" w:cs="宋体"/>
                <w:kern w:val="0"/>
                <w:sz w:val="22"/>
                <w:szCs w:val="22"/>
                <w:lang w:eastAsia="zh-CN"/>
              </w:rPr>
              <w:t>0.75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Merge w:val="continue"/>
            <w:vAlign w:val="center"/>
          </w:tcPr>
          <w:p>
            <w:pPr>
              <w:jc w:val="center"/>
              <w:rPr>
                <w:rFonts w:eastAsia="宋体"/>
                <w:bCs/>
                <w:sz w:val="21"/>
                <w:szCs w:val="21"/>
                <w:lang w:eastAsia="zh-CN"/>
              </w:rPr>
            </w:pPr>
          </w:p>
        </w:tc>
        <w:tc>
          <w:tcPr>
            <w:tcW w:w="1472"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南向</w:t>
            </w:r>
          </w:p>
        </w:tc>
        <w:tc>
          <w:tcPr>
            <w:tcW w:w="825" w:type="pct"/>
            <w:vAlign w:val="center"/>
          </w:tcPr>
          <w:p>
            <w:pPr>
              <w:jc w:val="center"/>
              <w:rPr>
                <w:rFonts w:eastAsia="宋体"/>
                <w:bCs/>
                <w:sz w:val="21"/>
                <w:szCs w:val="21"/>
                <w:lang w:eastAsia="zh-CN"/>
              </w:rPr>
            </w:pPr>
            <w:r>
              <w:rPr>
                <w:rFonts w:hint="eastAsia" w:ascii="宋体" w:hAnsi="宋体" w:cs="宋体"/>
                <w:kern w:val="0"/>
                <w:sz w:val="22"/>
                <w:szCs w:val="22"/>
                <w:lang w:eastAsia="zh-CN"/>
              </w:rPr>
              <w:t>0.11</w:t>
            </w:r>
          </w:p>
        </w:tc>
        <w:tc>
          <w:tcPr>
            <w:tcW w:w="734" w:type="pct"/>
            <w:vAlign w:val="center"/>
          </w:tcPr>
          <w:p>
            <w:pPr>
              <w:jc w:val="center"/>
              <w:rPr>
                <w:rFonts w:eastAsia="宋体"/>
                <w:bCs/>
                <w:sz w:val="21"/>
                <w:szCs w:val="21"/>
                <w:lang w:eastAsia="zh-CN"/>
              </w:rPr>
            </w:pPr>
            <w:r>
              <w:rPr>
                <w:rFonts w:hint="eastAsia" w:ascii="宋体" w:hAnsi="宋体" w:cs="宋体"/>
                <w:kern w:val="0"/>
                <w:sz w:val="22"/>
                <w:szCs w:val="22"/>
                <w:lang w:eastAsia="zh-CN"/>
              </w:rPr>
              <w:t>3.90</w:t>
            </w:r>
          </w:p>
        </w:tc>
        <w:tc>
          <w:tcPr>
            <w:tcW w:w="730" w:type="pct"/>
            <w:vAlign w:val="center"/>
          </w:tcPr>
          <w:p>
            <w:pPr>
              <w:jc w:val="center"/>
              <w:rPr>
                <w:rFonts w:eastAsia="宋体"/>
                <w:bCs/>
                <w:sz w:val="21"/>
                <w:szCs w:val="21"/>
                <w:lang w:eastAsia="zh-CN"/>
              </w:rPr>
            </w:pPr>
            <w:r>
              <w:rPr>
                <w:rFonts w:hint="eastAsia" w:ascii="宋体" w:hAnsi="宋体" w:cs="宋体"/>
                <w:kern w:val="0"/>
                <w:sz w:val="22"/>
                <w:szCs w:val="22"/>
                <w:lang w:eastAsia="zh-CN"/>
              </w:rPr>
              <w:t>0.75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Merge w:val="continue"/>
            <w:vAlign w:val="center"/>
          </w:tcPr>
          <w:p>
            <w:pPr>
              <w:jc w:val="center"/>
              <w:rPr>
                <w:rFonts w:eastAsia="宋体"/>
                <w:bCs/>
                <w:sz w:val="21"/>
                <w:szCs w:val="21"/>
                <w:lang w:eastAsia="zh-CN"/>
              </w:rPr>
            </w:pPr>
          </w:p>
        </w:tc>
        <w:tc>
          <w:tcPr>
            <w:tcW w:w="1472"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西向</w:t>
            </w:r>
          </w:p>
        </w:tc>
        <w:tc>
          <w:tcPr>
            <w:tcW w:w="825" w:type="pct"/>
            <w:vAlign w:val="center"/>
          </w:tcPr>
          <w:p>
            <w:pPr>
              <w:jc w:val="center"/>
              <w:rPr>
                <w:rFonts w:eastAsia="宋体"/>
                <w:bCs/>
                <w:sz w:val="21"/>
                <w:szCs w:val="21"/>
                <w:lang w:eastAsia="zh-CN"/>
              </w:rPr>
            </w:pPr>
            <w:r>
              <w:rPr>
                <w:rFonts w:hint="eastAsia" w:ascii="宋体" w:hAnsi="宋体" w:cs="宋体"/>
                <w:kern w:val="0"/>
                <w:sz w:val="22"/>
                <w:szCs w:val="22"/>
                <w:lang w:eastAsia="zh-CN"/>
              </w:rPr>
              <w:t>0.02</w:t>
            </w:r>
          </w:p>
        </w:tc>
        <w:tc>
          <w:tcPr>
            <w:tcW w:w="734" w:type="pct"/>
            <w:vAlign w:val="center"/>
          </w:tcPr>
          <w:p>
            <w:pPr>
              <w:jc w:val="center"/>
              <w:rPr>
                <w:rFonts w:eastAsia="宋体"/>
                <w:bCs/>
                <w:sz w:val="21"/>
                <w:szCs w:val="21"/>
                <w:lang w:eastAsia="zh-CN"/>
              </w:rPr>
            </w:pPr>
            <w:r>
              <w:rPr>
                <w:rFonts w:hint="eastAsia" w:ascii="宋体" w:hAnsi="宋体" w:cs="宋体"/>
                <w:kern w:val="0"/>
                <w:sz w:val="22"/>
                <w:szCs w:val="22"/>
                <w:lang w:eastAsia="zh-CN"/>
              </w:rPr>
              <w:t>3.90</w:t>
            </w:r>
          </w:p>
        </w:tc>
        <w:tc>
          <w:tcPr>
            <w:tcW w:w="730" w:type="pct"/>
            <w:vAlign w:val="center"/>
          </w:tcPr>
          <w:p>
            <w:pPr>
              <w:jc w:val="center"/>
              <w:rPr>
                <w:rFonts w:eastAsia="宋体"/>
                <w:bCs/>
                <w:sz w:val="21"/>
                <w:szCs w:val="21"/>
                <w:lang w:eastAsia="zh-CN"/>
              </w:rPr>
            </w:pPr>
            <w:r>
              <w:rPr>
                <w:rFonts w:hint="eastAsia" w:ascii="宋体" w:hAnsi="宋体" w:cs="宋体"/>
                <w:kern w:val="0"/>
                <w:sz w:val="22"/>
                <w:szCs w:val="22"/>
                <w:lang w:eastAsia="zh-CN"/>
              </w:rPr>
              <w:t>0.75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Merge w:val="continue"/>
            <w:vAlign w:val="center"/>
          </w:tcPr>
          <w:p>
            <w:pPr>
              <w:jc w:val="center"/>
              <w:rPr>
                <w:rFonts w:eastAsia="宋体"/>
                <w:bCs/>
                <w:sz w:val="21"/>
                <w:szCs w:val="21"/>
                <w:lang w:eastAsia="zh-CN"/>
              </w:rPr>
            </w:pPr>
          </w:p>
        </w:tc>
        <w:tc>
          <w:tcPr>
            <w:tcW w:w="1472" w:type="pct"/>
            <w:shd w:val="clear" w:color="auto" w:fill="E6E6E6"/>
            <w:vAlign w:val="center"/>
          </w:tcPr>
          <w:p>
            <w:pPr>
              <w:jc w:val="center"/>
              <w:rPr>
                <w:rFonts w:eastAsia="宋体"/>
                <w:bCs/>
                <w:sz w:val="21"/>
                <w:szCs w:val="21"/>
                <w:lang w:eastAsia="zh-CN"/>
              </w:rPr>
            </w:pPr>
            <w:r>
              <w:rPr>
                <w:rFonts w:hAnsi="宋体" w:eastAsia="宋体"/>
                <w:bCs/>
                <w:sz w:val="21"/>
                <w:szCs w:val="21"/>
                <w:lang w:eastAsia="zh-CN"/>
              </w:rPr>
              <w:t>北向</w:t>
            </w:r>
          </w:p>
        </w:tc>
        <w:tc>
          <w:tcPr>
            <w:tcW w:w="825" w:type="pct"/>
            <w:vAlign w:val="center"/>
          </w:tcPr>
          <w:p>
            <w:pPr>
              <w:jc w:val="center"/>
              <w:rPr>
                <w:rFonts w:eastAsia="宋体"/>
                <w:bCs/>
                <w:sz w:val="21"/>
                <w:szCs w:val="21"/>
                <w:lang w:eastAsia="zh-CN"/>
              </w:rPr>
            </w:pPr>
            <w:r>
              <w:rPr>
                <w:rFonts w:hint="eastAsia" w:ascii="宋体" w:hAnsi="宋体" w:cs="宋体"/>
                <w:kern w:val="0"/>
                <w:sz w:val="22"/>
                <w:szCs w:val="22"/>
                <w:lang w:eastAsia="zh-CN"/>
              </w:rPr>
              <w:t>0.06</w:t>
            </w:r>
          </w:p>
        </w:tc>
        <w:tc>
          <w:tcPr>
            <w:tcW w:w="734" w:type="pct"/>
            <w:vAlign w:val="center"/>
          </w:tcPr>
          <w:p>
            <w:pPr>
              <w:jc w:val="center"/>
              <w:rPr>
                <w:rFonts w:eastAsia="宋体"/>
                <w:bCs/>
                <w:sz w:val="21"/>
                <w:szCs w:val="21"/>
                <w:lang w:eastAsia="zh-CN"/>
              </w:rPr>
            </w:pPr>
            <w:r>
              <w:rPr>
                <w:rFonts w:hint="eastAsia" w:ascii="宋体" w:hAnsi="宋体" w:cs="宋体"/>
                <w:kern w:val="0"/>
                <w:sz w:val="22"/>
                <w:szCs w:val="22"/>
                <w:lang w:eastAsia="zh-CN"/>
              </w:rPr>
              <w:t>3.90</w:t>
            </w:r>
          </w:p>
        </w:tc>
        <w:tc>
          <w:tcPr>
            <w:tcW w:w="730" w:type="pct"/>
            <w:vAlign w:val="center"/>
          </w:tcPr>
          <w:p>
            <w:pPr>
              <w:jc w:val="center"/>
              <w:rPr>
                <w:rFonts w:eastAsia="宋体"/>
                <w:bCs/>
                <w:sz w:val="21"/>
                <w:szCs w:val="21"/>
                <w:lang w:eastAsia="zh-CN"/>
              </w:rPr>
            </w:pPr>
            <w:r>
              <w:rPr>
                <w:rFonts w:hint="eastAsia" w:ascii="宋体" w:hAnsi="宋体" w:cs="宋体"/>
                <w:kern w:val="0"/>
                <w:sz w:val="22"/>
                <w:szCs w:val="22"/>
                <w:lang w:eastAsia="zh-CN"/>
              </w:rPr>
              <w:t>0.75</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39" w:type="pct"/>
            <w:vMerge w:val="continue"/>
            <w:vAlign w:val="center"/>
          </w:tcPr>
          <w:p>
            <w:pPr>
              <w:jc w:val="center"/>
              <w:rPr>
                <w:rFonts w:eastAsia="宋体"/>
                <w:bCs/>
                <w:sz w:val="21"/>
                <w:szCs w:val="21"/>
                <w:lang w:eastAsia="zh-CN"/>
              </w:rPr>
            </w:pPr>
          </w:p>
        </w:tc>
        <w:tc>
          <w:tcPr>
            <w:tcW w:w="1472" w:type="pct"/>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平均</w:t>
            </w:r>
          </w:p>
        </w:tc>
        <w:tc>
          <w:tcPr>
            <w:tcW w:w="825" w:type="pct"/>
            <w:vAlign w:val="center"/>
          </w:tcPr>
          <w:p>
            <w:pPr>
              <w:jc w:val="center"/>
              <w:rPr>
                <w:rFonts w:eastAsia="宋体"/>
                <w:bCs/>
                <w:sz w:val="21"/>
                <w:szCs w:val="21"/>
                <w:lang w:eastAsia="zh-CN"/>
              </w:rPr>
            </w:pPr>
            <w:r>
              <w:rPr>
                <w:rFonts w:hint="eastAsia" w:ascii="宋体" w:hAnsi="宋体" w:cs="宋体"/>
                <w:kern w:val="0"/>
                <w:sz w:val="22"/>
                <w:szCs w:val="22"/>
                <w:lang w:eastAsia="zh-CN"/>
              </w:rPr>
              <w:t>0.05</w:t>
            </w:r>
          </w:p>
        </w:tc>
        <w:tc>
          <w:tcPr>
            <w:tcW w:w="734" w:type="pct"/>
            <w:vAlign w:val="center"/>
          </w:tcPr>
          <w:p>
            <w:pPr>
              <w:jc w:val="center"/>
              <w:rPr>
                <w:rFonts w:eastAsia="宋体"/>
                <w:bCs/>
                <w:sz w:val="21"/>
                <w:szCs w:val="21"/>
                <w:lang w:eastAsia="zh-CN"/>
              </w:rPr>
            </w:pPr>
            <w:r>
              <w:rPr>
                <w:rFonts w:hint="eastAsia" w:ascii="宋体" w:hAnsi="宋体" w:cs="宋体"/>
                <w:kern w:val="0"/>
                <w:sz w:val="22"/>
                <w:szCs w:val="22"/>
                <w:lang w:eastAsia="zh-CN"/>
              </w:rPr>
              <w:t>3.90</w:t>
            </w:r>
          </w:p>
        </w:tc>
        <w:tc>
          <w:tcPr>
            <w:tcW w:w="730" w:type="pct"/>
            <w:vAlign w:val="center"/>
          </w:tcPr>
          <w:p>
            <w:pPr>
              <w:jc w:val="center"/>
              <w:rPr>
                <w:rFonts w:eastAsia="宋体"/>
                <w:bCs/>
                <w:sz w:val="21"/>
                <w:szCs w:val="21"/>
                <w:lang w:eastAsia="zh-CN"/>
              </w:rPr>
            </w:pPr>
            <w:r>
              <w:rPr>
                <w:rFonts w:hint="eastAsia" w:ascii="宋体" w:hAnsi="宋体" w:cs="宋体"/>
                <w:kern w:val="0"/>
                <w:sz w:val="22"/>
                <w:szCs w:val="22"/>
                <w:lang w:eastAsia="zh-CN"/>
              </w:rPr>
              <w:t>0.76</w:t>
            </w:r>
          </w:p>
        </w:tc>
      </w:tr>
    </w:tbl>
    <w:p>
      <w:pPr>
        <w:widowControl w:val="0"/>
        <w:jc w:val="both"/>
        <w:rPr>
          <w:kern w:val="2"/>
          <w:szCs w:val="24"/>
          <w:lang w:val="en-US"/>
        </w:rPr>
      </w:pPr>
    </w:p>
    <w:p>
      <w:pPr>
        <w:pStyle w:val="2"/>
        <w:widowControl w:val="0"/>
        <w:jc w:val="both"/>
        <w:rPr>
          <w:kern w:val="2"/>
          <w:szCs w:val="24"/>
          <w:lang w:val="en-US"/>
        </w:rPr>
      </w:pPr>
      <w:bookmarkStart w:id="42" w:name="_Toc1705"/>
      <w:r>
        <w:rPr>
          <w:kern w:val="2"/>
          <w:szCs w:val="24"/>
          <w:lang w:val="en-US"/>
        </w:rPr>
        <w:t>房间类型</w:t>
      </w:r>
      <w:bookmarkEnd w:id="42"/>
    </w:p>
    <w:p>
      <w:pPr>
        <w:pStyle w:val="4"/>
        <w:widowControl w:val="0"/>
        <w:jc w:val="both"/>
        <w:rPr>
          <w:kern w:val="2"/>
          <w:szCs w:val="24"/>
          <w:lang w:val="en-US"/>
        </w:rPr>
      </w:pPr>
      <w:bookmarkStart w:id="43" w:name="_Toc1450"/>
      <w:r>
        <w:rPr>
          <w:kern w:val="2"/>
          <w:szCs w:val="24"/>
          <w:lang w:val="en-US"/>
        </w:rPr>
        <w:t>房间表</w:t>
      </w:r>
      <w:bookmarkEnd w:id="4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781"/>
        <w:gridCol w:w="781"/>
        <w:gridCol w:w="1618"/>
        <w:gridCol w:w="1369"/>
        <w:gridCol w:w="1369"/>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空调温度</w:t>
            </w:r>
            <w:r>
              <w:br w:type="textWrapping"/>
            </w:r>
            <w:r>
              <w:t>℃</w:t>
            </w:r>
          </w:p>
        </w:tc>
        <w:tc>
          <w:tcPr>
            <w:shd w:val="clear" w:color="auto" w:fill="E6E6E6"/>
            <w:vAlign w:val="center"/>
          </w:tcPr>
          <w:p>
            <w:pPr>
              <w:jc w:val="center"/>
            </w:pPr>
            <w:r>
              <w:t>供暖温度</w:t>
            </w:r>
            <w:r>
              <w:br w:type="textWrapping"/>
            </w:r>
            <w:r>
              <w:t>℃</w:t>
            </w:r>
          </w:p>
        </w:tc>
        <w:tc>
          <w:tcPr>
            <w:shd w:val="clear" w:color="auto" w:fill="E6E6E6"/>
            <w:vAlign w:val="center"/>
          </w:tcPr>
          <w:p>
            <w:pPr>
              <w:jc w:val="center"/>
            </w:pPr>
            <w:r>
              <w:t>新风量</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w:t>
            </w:r>
          </w:p>
        </w:tc>
        <w:tc>
          <w:tcPr>
            <w:vAlign w:val="center"/>
          </w:tcPr>
          <w:p>
            <w:pPr>
              <w:jc w:val="center"/>
            </w:pPr>
            <w:r>
              <w:t>26</w:t>
            </w:r>
          </w:p>
        </w:tc>
        <w:tc>
          <w:tcPr>
            <w:vAlign w:val="center"/>
          </w:tcPr>
          <w:p>
            <w:pPr>
              <w:jc w:val="center"/>
            </w:pPr>
            <w:r>
              <w:t>18</w:t>
            </w:r>
          </w:p>
        </w:tc>
        <w:tc>
          <w:tcPr>
            <w:vAlign w:val="center"/>
          </w:tcPr>
          <w:p>
            <w:pPr>
              <w:jc w:val="center"/>
            </w:pPr>
            <w:r>
              <w:t>0.5(次/h)</w:t>
            </w:r>
          </w:p>
        </w:tc>
        <w:tc>
          <w:tcPr>
            <w:vAlign w:val="center"/>
          </w:tcPr>
          <w:p>
            <w:pPr>
              <w:jc w:val="center"/>
            </w:pPr>
            <w:r>
              <w:t>32(㎡/人)</w:t>
            </w:r>
          </w:p>
        </w:tc>
        <w:tc>
          <w:tcPr>
            <w:vAlign w:val="center"/>
          </w:tcPr>
          <w:p>
            <w:pPr>
              <w:jc w:val="center"/>
            </w:pPr>
            <w:r>
              <w:t>6(W/㎡)</w:t>
            </w:r>
          </w:p>
        </w:tc>
        <w:tc>
          <w:tcPr>
            <w:vAlign w:val="center"/>
          </w:tcPr>
          <w:p>
            <w:pPr>
              <w:jc w:val="center"/>
            </w:pPr>
            <w:r>
              <w:t>5(W/㎡)</w:t>
            </w:r>
          </w:p>
        </w:tc>
      </w:tr>
    </w:tbl>
    <w:p>
      <w:pPr>
        <w:pStyle w:val="4"/>
        <w:widowControl w:val="0"/>
        <w:jc w:val="both"/>
        <w:rPr>
          <w:kern w:val="2"/>
          <w:szCs w:val="24"/>
          <w:lang w:val="en-US"/>
        </w:rPr>
      </w:pPr>
      <w:bookmarkStart w:id="44" w:name="_Toc8652"/>
      <w:r>
        <w:rPr>
          <w:kern w:val="2"/>
          <w:szCs w:val="24"/>
          <w:lang w:val="en-US"/>
        </w:rPr>
        <w:t>作息时间表</w:t>
      </w:r>
      <w:bookmarkEnd w:id="44"/>
    </w:p>
    <w:p>
      <w:pPr>
        <w:widowControl w:val="0"/>
        <w:jc w:val="both"/>
        <w:rPr>
          <w:kern w:val="2"/>
          <w:szCs w:val="24"/>
          <w:lang w:val="en-US"/>
        </w:rPr>
      </w:pPr>
      <w:r>
        <w:rPr>
          <w:kern w:val="2"/>
          <w:szCs w:val="24"/>
          <w:lang w:val="en-US"/>
        </w:rPr>
        <w:t>详见附录</w:t>
      </w:r>
    </w:p>
    <w:p>
      <w:pPr>
        <w:pStyle w:val="2"/>
        <w:widowControl w:val="0"/>
        <w:jc w:val="both"/>
        <w:rPr>
          <w:kern w:val="2"/>
          <w:szCs w:val="24"/>
          <w:lang w:val="en-US"/>
        </w:rPr>
      </w:pPr>
      <w:bookmarkStart w:id="45" w:name="_Toc10604"/>
      <w:r>
        <w:rPr>
          <w:kern w:val="2"/>
          <w:szCs w:val="24"/>
          <w:lang w:val="en-US"/>
        </w:rPr>
        <w:t>设计系统</w:t>
      </w:r>
      <w:bookmarkEnd w:id="45"/>
    </w:p>
    <w:p>
      <w:pPr>
        <w:pStyle w:val="4"/>
        <w:widowControl w:val="0"/>
        <w:jc w:val="both"/>
        <w:rPr>
          <w:kern w:val="2"/>
          <w:szCs w:val="24"/>
          <w:lang w:val="en-US"/>
        </w:rPr>
      </w:pPr>
      <w:bookmarkStart w:id="46" w:name="_Toc18471"/>
      <w:r>
        <w:rPr>
          <w:kern w:val="2"/>
          <w:szCs w:val="24"/>
          <w:lang w:val="en-US"/>
        </w:rPr>
        <w:t>系统类型</w:t>
      </w:r>
      <w:bookmarkEnd w:id="4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多联式空调(热泵)机组</w:t>
            </w:r>
          </w:p>
        </w:tc>
        <w:tc>
          <w:tcPr>
            <w:vAlign w:val="center"/>
          </w:tcPr>
          <w:p>
            <w:r>
              <w:t>3.00</w:t>
            </w:r>
          </w:p>
        </w:tc>
        <w:tc>
          <w:tcPr>
            <w:vAlign w:val="center"/>
          </w:tcPr>
          <w:p>
            <w:r>
              <w:t>－</w:t>
            </w:r>
          </w:p>
        </w:tc>
        <w:tc>
          <w:tcPr>
            <w:vAlign w:val="center"/>
          </w:tcPr>
          <w:p>
            <w:r>
              <w:t>492.13</w:t>
            </w:r>
          </w:p>
        </w:tc>
        <w:tc>
          <w:tcPr>
            <w:vAlign w:val="center"/>
          </w:tcPr>
          <w:p>
            <w:r>
              <w:t>所有房间</w:t>
            </w:r>
          </w:p>
        </w:tc>
      </w:tr>
    </w:tbl>
    <w:p>
      <w:pPr>
        <w:pStyle w:val="4"/>
        <w:widowControl w:val="0"/>
        <w:jc w:val="both"/>
        <w:rPr>
          <w:kern w:val="2"/>
          <w:szCs w:val="24"/>
          <w:lang w:val="en-US"/>
        </w:rPr>
      </w:pPr>
      <w:bookmarkStart w:id="47" w:name="_Toc11794"/>
      <w:r>
        <w:rPr>
          <w:kern w:val="2"/>
          <w:szCs w:val="24"/>
          <w:lang w:val="en-US"/>
        </w:rPr>
        <w:t>制冷系统</w:t>
      </w:r>
      <w:bookmarkEnd w:id="47"/>
    </w:p>
    <w:p>
      <w:pPr>
        <w:pStyle w:val="5"/>
        <w:widowControl w:val="0"/>
        <w:jc w:val="both"/>
        <w:rPr>
          <w:kern w:val="2"/>
          <w:szCs w:val="24"/>
          <w:lang w:val="en-US"/>
        </w:rPr>
      </w:pPr>
      <w:bookmarkStart w:id="48" w:name="_Toc19756"/>
      <w:r>
        <w:rPr>
          <w:kern w:val="2"/>
          <w:szCs w:val="24"/>
          <w:lang w:val="en-US"/>
        </w:rPr>
        <w:t>多联机/单元式空调能耗</w:t>
      </w:r>
      <w:bookmarkEnd w:id="4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w:t>
            </w:r>
          </w:p>
        </w:tc>
        <w:tc>
          <w:tcPr>
            <w:shd w:val="clear" w:color="auto" w:fill="E6E6E6"/>
            <w:vAlign w:val="center"/>
          </w:tcPr>
          <w:p>
            <w:pPr>
              <w:jc w:val="center"/>
            </w:pPr>
            <w:r>
              <w:t>能效比</w:t>
            </w:r>
          </w:p>
        </w:tc>
        <w:tc>
          <w:tcPr>
            <w:shd w:val="clear" w:color="auto" w:fill="E6E6E6"/>
            <w:vAlign w:val="center"/>
          </w:tcPr>
          <w:p>
            <w:pPr>
              <w:jc w:val="center"/>
            </w:pPr>
            <w:r>
              <w:t>耗冷量(kWh)</w:t>
            </w:r>
          </w:p>
        </w:tc>
        <w:tc>
          <w:tcPr>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默认</w:t>
            </w:r>
          </w:p>
        </w:tc>
        <w:tc>
          <w:tcPr>
            <w:vAlign w:val="center"/>
          </w:tcPr>
          <w:p>
            <w:r>
              <w:t>3.00</w:t>
            </w:r>
          </w:p>
        </w:tc>
        <w:tc>
          <w:tcPr>
            <w:vAlign w:val="center"/>
          </w:tcPr>
          <w:p>
            <w:r>
              <w:t>50329</w:t>
            </w:r>
          </w:p>
        </w:tc>
        <w:tc>
          <w:tcPr>
            <w:vAlign w:val="center"/>
          </w:tcPr>
          <w:p>
            <w:r>
              <w:t>14135</w:t>
            </w:r>
          </w:p>
        </w:tc>
      </w:tr>
    </w:tbl>
    <w:p>
      <w:pPr>
        <w:pStyle w:val="2"/>
        <w:widowControl w:val="0"/>
        <w:jc w:val="both"/>
        <w:rPr>
          <w:kern w:val="2"/>
          <w:szCs w:val="24"/>
          <w:lang w:val="en-US"/>
        </w:rPr>
      </w:pPr>
      <w:bookmarkStart w:id="49" w:name="_Toc30652"/>
      <w:r>
        <w:rPr>
          <w:kern w:val="2"/>
          <w:szCs w:val="24"/>
          <w:lang w:val="en-US"/>
        </w:rPr>
        <w:t>参照系统</w:t>
      </w:r>
      <w:bookmarkEnd w:id="49"/>
    </w:p>
    <w:p>
      <w:pPr>
        <w:pStyle w:val="4"/>
        <w:widowControl w:val="0"/>
        <w:jc w:val="both"/>
        <w:rPr>
          <w:kern w:val="2"/>
          <w:szCs w:val="24"/>
          <w:lang w:val="en-US"/>
        </w:rPr>
      </w:pPr>
      <w:bookmarkStart w:id="50" w:name="_Toc12583"/>
      <w:r>
        <w:rPr>
          <w:kern w:val="2"/>
          <w:szCs w:val="24"/>
          <w:lang w:val="en-US"/>
        </w:rPr>
        <w:t>系统类型</w:t>
      </w:r>
      <w:bookmarkEnd w:id="5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包含房间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3.00</w:t>
            </w:r>
          </w:p>
        </w:tc>
        <w:tc>
          <w:tcPr>
            <w:vAlign w:val="center"/>
          </w:tcPr>
          <w:p>
            <w:r>
              <w:t>1.70</w:t>
            </w:r>
          </w:p>
        </w:tc>
        <w:tc>
          <w:tcPr>
            <w:vAlign w:val="center"/>
          </w:tcPr>
          <w:p>
            <w:r>
              <w:t>所有房间</w:t>
            </w:r>
          </w:p>
        </w:tc>
      </w:tr>
    </w:tbl>
    <w:p>
      <w:pPr>
        <w:pStyle w:val="4"/>
        <w:widowControl w:val="0"/>
        <w:jc w:val="both"/>
        <w:rPr>
          <w:kern w:val="2"/>
          <w:szCs w:val="24"/>
          <w:lang w:val="en-US"/>
        </w:rPr>
      </w:pPr>
      <w:bookmarkStart w:id="51" w:name="_Toc10116"/>
      <w:r>
        <w:rPr>
          <w:kern w:val="2"/>
          <w:szCs w:val="24"/>
          <w:lang w:val="en-US"/>
        </w:rPr>
        <w:t>制冷系统</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767"/>
        <w:gridCol w:w="2150"/>
        <w:gridCol w:w="2150"/>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冷负荷</w:t>
            </w:r>
            <w:r>
              <w:br w:type="textWrapping"/>
            </w:r>
            <w:r>
              <w:t>(kWh)</w:t>
            </w:r>
          </w:p>
        </w:tc>
        <w:tc>
          <w:tcPr>
            <w:shd w:val="clear" w:color="auto" w:fill="E6E6E6"/>
            <w:vAlign w:val="center"/>
          </w:tcPr>
          <w:p>
            <w:pPr>
              <w:jc w:val="center"/>
            </w:pPr>
            <w:r>
              <w:t>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单元式房间空调器</w:t>
            </w:r>
          </w:p>
        </w:tc>
        <w:tc>
          <w:tcPr>
            <w:vAlign w:val="center"/>
          </w:tcPr>
          <w:p>
            <w:r>
              <w:t>3.00</w:t>
            </w:r>
          </w:p>
        </w:tc>
        <w:tc>
          <w:tcPr>
            <w:vAlign w:val="center"/>
          </w:tcPr>
          <w:p>
            <w:r>
              <w:t>50329</w:t>
            </w:r>
          </w:p>
        </w:tc>
        <w:tc>
          <w:tcPr>
            <w:vAlign w:val="center"/>
          </w:tcPr>
          <w:p>
            <w:r>
              <w:t>16776</w:t>
            </w:r>
          </w:p>
        </w:tc>
      </w:tr>
    </w:tbl>
    <w:p>
      <w:pPr>
        <w:pStyle w:val="2"/>
        <w:widowControl w:val="0"/>
        <w:jc w:val="both"/>
        <w:rPr>
          <w:kern w:val="2"/>
          <w:szCs w:val="24"/>
          <w:lang w:val="en-US"/>
        </w:rPr>
      </w:pPr>
      <w:bookmarkStart w:id="52" w:name="_Toc12990"/>
      <w:r>
        <w:rPr>
          <w:kern w:val="2"/>
          <w:szCs w:val="24"/>
          <w:lang w:val="en-US"/>
        </w:rPr>
        <w:t>计算结果</w:t>
      </w:r>
      <w:bookmarkEnd w:id="52"/>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bookmarkEnd w:id="2"/>
          </w:p>
        </w:tc>
        <w:tc>
          <w:tcPr>
            <w:tcW w:w="960" w:type="pct"/>
            <w:shd w:val="clear" w:color="auto" w:fill="E0E0E0"/>
            <w:vAlign w:val="center"/>
          </w:tcPr>
          <w:p>
            <w:pPr>
              <w:ind w:firstLine="0" w:firstLineChars="0"/>
              <w:jc w:val="center"/>
              <w:rPr>
                <w:lang w:val="en-US"/>
              </w:rPr>
            </w:pPr>
            <w:r>
              <w:rPr>
                <w:rFonts w:hint="eastAsia"/>
                <w:lang w:val="en-US"/>
              </w:rPr>
              <w:t>节能率</w:t>
            </w:r>
            <w:bookmarkEnd w:id="3"/>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1754" w:type="pct"/>
            <w:gridSpan w:val="2"/>
            <w:vAlign w:val="center"/>
          </w:tcPr>
          <w:p>
            <w:pPr>
              <w:ind w:firstLine="0" w:firstLineChars="0"/>
              <w:jc w:val="center"/>
              <w:rPr>
                <w:lang w:val="en-US"/>
              </w:rPr>
            </w:pPr>
            <w:r>
              <w:rPr>
                <w:rFonts w:hint="eastAsia"/>
                <w:lang w:val="en-US"/>
              </w:rPr>
              <w:t>89.24</w:t>
            </w:r>
            <w:bookmarkEnd w:id="4"/>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1754" w:type="pct"/>
            <w:gridSpan w:val="2"/>
            <w:vAlign w:val="center"/>
          </w:tcPr>
          <w:p>
            <w:pPr>
              <w:ind w:firstLine="0" w:firstLineChars="0"/>
              <w:jc w:val="center"/>
              <w:rPr>
                <w:lang w:val="en-US"/>
              </w:rPr>
            </w:pPr>
            <w:r>
              <w:rPr>
                <w:rFonts w:hint="eastAsia"/>
                <w:lang w:val="en-US"/>
              </w:rPr>
              <w:t>-</w:t>
            </w:r>
            <w:bookmarkEnd w:id="5"/>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1754" w:type="pct"/>
            <w:gridSpan w:val="2"/>
            <w:vAlign w:val="center"/>
          </w:tcPr>
          <w:p>
            <w:pPr>
              <w:ind w:firstLine="0" w:firstLineChars="0"/>
              <w:jc w:val="center"/>
              <w:rPr>
                <w:lang w:val="en-US"/>
              </w:rPr>
            </w:pPr>
            <w:r>
              <w:rPr>
                <w:rFonts w:hint="eastAsia"/>
                <w:lang w:val="en-US"/>
              </w:rPr>
              <w:t>89.24</w:t>
            </w:r>
            <w:bookmarkEnd w:id="6"/>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4" w:space="0"/>
            </w:tcBorders>
            <w:vAlign w:val="center"/>
          </w:tcPr>
          <w:p>
            <w:pPr>
              <w:ind w:firstLine="0" w:firstLineChars="0"/>
              <w:jc w:val="center"/>
              <w:rPr>
                <w:lang w:val="en-US"/>
              </w:rPr>
            </w:pPr>
            <w:r>
              <w:rPr>
                <w:rFonts w:hint="eastAsia"/>
                <w:lang w:val="en-US"/>
              </w:rPr>
              <w:t>中央冷源</w:t>
            </w:r>
          </w:p>
        </w:tc>
        <w:tc>
          <w:tcPr>
            <w:tcW w:w="877" w:type="pct"/>
            <w:vAlign w:val="center"/>
          </w:tcPr>
          <w:p>
            <w:pPr>
              <w:ind w:firstLine="0" w:firstLineChars="0"/>
              <w:jc w:val="center"/>
              <w:rPr>
                <w:lang w:val="en-US"/>
              </w:rPr>
            </w:pPr>
            <w:r>
              <w:rPr>
                <w:lang w:val="en-US"/>
              </w:rPr>
              <w:t>0.00</w:t>
            </w:r>
            <w:bookmarkEnd w:id="7"/>
          </w:p>
        </w:tc>
        <w:tc>
          <w:tcPr>
            <w:tcW w:w="877" w:type="pct"/>
            <w:vAlign w:val="center"/>
          </w:tcPr>
          <w:p>
            <w:pPr>
              <w:ind w:firstLine="0" w:firstLineChars="0"/>
              <w:jc w:val="center"/>
              <w:rPr>
                <w:lang w:val="en-US"/>
              </w:rPr>
            </w:pPr>
            <w:r>
              <w:rPr>
                <w:lang w:val="en-US"/>
              </w:rPr>
              <w:t>0.00</w:t>
            </w:r>
            <w:bookmarkEnd w:id="8"/>
          </w:p>
        </w:tc>
        <w:tc>
          <w:tcPr>
            <w:tcW w:w="960" w:type="pct"/>
            <w:vMerge w:val="restart"/>
            <w:vAlign w:val="center"/>
          </w:tcPr>
          <w:p>
            <w:pPr>
              <w:ind w:firstLine="0" w:firstLineChars="0"/>
              <w:jc w:val="center"/>
              <w:rPr>
                <w:lang w:val="en-US"/>
              </w:rPr>
            </w:pPr>
            <w:r>
              <w:rPr>
                <w:lang w:val="en-US"/>
              </w:rPr>
              <w:t>15.74%</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0.00</w:t>
            </w:r>
            <w:bookmarkEnd w:id="10"/>
          </w:p>
        </w:tc>
        <w:tc>
          <w:tcPr>
            <w:tcW w:w="877" w:type="pct"/>
            <w:vAlign w:val="center"/>
          </w:tcPr>
          <w:p>
            <w:pPr>
              <w:ind w:firstLine="0" w:firstLineChars="0"/>
              <w:jc w:val="center"/>
              <w:rPr>
                <w:lang w:val="en-US"/>
              </w:rPr>
            </w:pPr>
            <w:r>
              <w:rPr>
                <w:lang w:val="en-US"/>
              </w:rPr>
              <w:t>0.00</w:t>
            </w:r>
            <w:bookmarkEnd w:id="1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0.00</w:t>
            </w:r>
          </w:p>
        </w:tc>
        <w:tc>
          <w:tcPr>
            <w:tcW w:w="877" w:type="pct"/>
            <w:vAlign w:val="center"/>
          </w:tcPr>
          <w:p>
            <w:pPr>
              <w:ind w:firstLine="0" w:firstLineChars="0"/>
              <w:jc w:val="center"/>
              <w:rPr>
                <w:lang w:val="en-US"/>
              </w:rPr>
            </w:pPr>
            <w:r>
              <w:rPr>
                <w:lang w:val="en-US"/>
              </w:rPr>
              <w:t>0.00</w:t>
            </w:r>
            <w:bookmarkEnd w:id="1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25.06</w:t>
            </w:r>
            <w:bookmarkEnd w:id="14"/>
          </w:p>
        </w:tc>
        <w:tc>
          <w:tcPr>
            <w:tcW w:w="877" w:type="pct"/>
            <w:vAlign w:val="center"/>
          </w:tcPr>
          <w:p>
            <w:pPr>
              <w:ind w:firstLine="0" w:firstLineChars="0"/>
              <w:jc w:val="center"/>
              <w:rPr>
                <w:lang w:val="en-US"/>
              </w:rPr>
            </w:pPr>
            <w:r>
              <w:rPr>
                <w:lang w:val="en-US"/>
              </w:rPr>
              <w:t>29.75</w:t>
            </w:r>
            <w:bookmarkEnd w:id="1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25.06</w:t>
            </w:r>
            <w:bookmarkEnd w:id="16"/>
          </w:p>
        </w:tc>
        <w:tc>
          <w:tcPr>
            <w:tcW w:w="877" w:type="pct"/>
            <w:vAlign w:val="center"/>
          </w:tcPr>
          <w:p>
            <w:pPr>
              <w:ind w:firstLine="0" w:firstLineChars="0"/>
              <w:jc w:val="center"/>
              <w:rPr>
                <w:lang w:val="en-US"/>
              </w:rPr>
            </w:pPr>
            <w:r>
              <w:rPr>
                <w:lang w:val="en-US"/>
              </w:rPr>
              <w:t>29.75</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w:t>
            </w:r>
            <w:bookmarkEnd w:id="18"/>
          </w:p>
        </w:tc>
        <w:tc>
          <w:tcPr>
            <w:tcW w:w="877" w:type="pct"/>
            <w:vAlign w:val="center"/>
          </w:tcPr>
          <w:p>
            <w:pPr>
              <w:ind w:firstLine="0" w:firstLineChars="0"/>
              <w:jc w:val="center"/>
              <w:rPr>
                <w:lang w:val="en-US"/>
              </w:rPr>
            </w:pPr>
            <w:r>
              <w:rPr>
                <w:lang w:val="en-US"/>
              </w:rPr>
              <w:t>-</w:t>
            </w:r>
            <w:bookmarkEnd w:id="19"/>
          </w:p>
        </w:tc>
        <w:tc>
          <w:tcPr>
            <w:tcW w:w="960" w:type="pct"/>
            <w:vMerge w:val="restart"/>
            <w:vAlign w:val="center"/>
          </w:tcPr>
          <w:p>
            <w:pPr>
              <w:ind w:firstLine="0" w:firstLineChars="0"/>
              <w:jc w:val="center"/>
              <w:rPr>
                <w:lang w:val="en-US"/>
              </w:rPr>
            </w:pPr>
            <w:r>
              <w:rPr>
                <w:rFonts w:hint="eastAsia"/>
                <w:lang w:val="en-US"/>
              </w:rPr>
              <w:t>-</w:t>
            </w:r>
            <w:bookmarkEnd w:id="2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w:t>
            </w:r>
            <w:bookmarkEnd w:id="21"/>
          </w:p>
        </w:tc>
        <w:tc>
          <w:tcPr>
            <w:tcW w:w="877" w:type="pct"/>
            <w:vAlign w:val="center"/>
          </w:tcPr>
          <w:p>
            <w:pPr>
              <w:ind w:firstLine="0" w:firstLineChars="0"/>
              <w:jc w:val="center"/>
              <w:rPr>
                <w:lang w:val="en-US"/>
              </w:rPr>
            </w:pPr>
            <w:r>
              <w:rPr>
                <w:lang w:val="en-US"/>
              </w:rPr>
              <w:t>-</w:t>
            </w:r>
            <w:bookmarkEnd w:id="22"/>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w:t>
            </w:r>
            <w:bookmarkEnd w:id="23"/>
          </w:p>
        </w:tc>
        <w:tc>
          <w:tcPr>
            <w:tcW w:w="877" w:type="pct"/>
            <w:vAlign w:val="center"/>
          </w:tcPr>
          <w:p>
            <w:pPr>
              <w:ind w:firstLine="0" w:firstLineChars="0"/>
              <w:jc w:val="center"/>
              <w:rPr>
                <w:lang w:val="en-US"/>
              </w:rPr>
            </w:pPr>
            <w:r>
              <w:rPr>
                <w:lang w:val="en-US"/>
              </w:rPr>
              <w:t>-</w:t>
            </w:r>
            <w:bookmarkEnd w:id="24"/>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w:t>
            </w:r>
            <w:bookmarkEnd w:id="25"/>
          </w:p>
        </w:tc>
        <w:tc>
          <w:tcPr>
            <w:tcW w:w="877" w:type="pct"/>
            <w:vAlign w:val="center"/>
          </w:tcPr>
          <w:p>
            <w:pPr>
              <w:ind w:firstLine="0" w:firstLineChars="0"/>
              <w:jc w:val="center"/>
              <w:rPr>
                <w:lang w:val="en-US"/>
              </w:rPr>
            </w:pPr>
            <w:r>
              <w:rPr>
                <w:lang w:val="en-US"/>
              </w:rPr>
              <w:t>-</w:t>
            </w:r>
            <w:bookmarkEnd w:id="2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ind w:firstLine="0" w:firstLineChars="0"/>
              <w:jc w:val="center"/>
              <w:rPr>
                <w:lang w:val="en-US"/>
              </w:rPr>
            </w:pPr>
            <w:r>
              <w:rPr>
                <w:rFonts w:hint="eastAsia"/>
                <w:lang w:val="en-US"/>
              </w:rPr>
              <w:t>空调系统电耗</w:t>
            </w:r>
          </w:p>
        </w:tc>
        <w:tc>
          <w:tcPr>
            <w:tcW w:w="877" w:type="pct"/>
            <w:vAlign w:val="center"/>
          </w:tcPr>
          <w:p>
            <w:pPr>
              <w:ind w:firstLine="0" w:firstLineChars="0"/>
              <w:jc w:val="center"/>
              <w:rPr>
                <w:lang w:val="en-US"/>
              </w:rPr>
            </w:pPr>
            <w:r>
              <w:rPr>
                <w:rFonts w:hint="eastAsia"/>
                <w:lang w:val="en-US"/>
              </w:rPr>
              <w:t>25.06</w:t>
            </w:r>
            <w:bookmarkEnd w:id="27"/>
          </w:p>
        </w:tc>
        <w:tc>
          <w:tcPr>
            <w:tcW w:w="877" w:type="pct"/>
            <w:vAlign w:val="center"/>
          </w:tcPr>
          <w:p>
            <w:pPr>
              <w:ind w:firstLine="0" w:firstLineChars="0"/>
              <w:jc w:val="center"/>
              <w:rPr>
                <w:lang w:val="en-US"/>
              </w:rPr>
            </w:pPr>
            <w:r>
              <w:rPr>
                <w:rFonts w:hint="eastAsia"/>
                <w:lang w:val="en-US"/>
              </w:rPr>
              <w:t>29.75</w:t>
            </w:r>
            <w:bookmarkEnd w:id="28"/>
          </w:p>
        </w:tc>
        <w:tc>
          <w:tcPr>
            <w:tcW w:w="960" w:type="pct"/>
            <w:vAlign w:val="center"/>
          </w:tcPr>
          <w:p>
            <w:pPr>
              <w:ind w:firstLine="0" w:firstLineChars="0"/>
              <w:jc w:val="center"/>
              <w:rPr>
                <w:lang w:val="en-US"/>
              </w:rPr>
            </w:pPr>
            <w:r>
              <w:rPr>
                <w:rFonts w:hint="eastAsia"/>
                <w:lang w:val="en-US"/>
              </w:rPr>
              <w:t>15.74%</w:t>
            </w:r>
          </w:p>
        </w:tc>
      </w:tr>
    </w:tbl>
    <w:p>
      <w:pPr>
        <w:sectPr>
          <w:pgSz w:w="11906" w:h="16838"/>
          <w:pgMar w:top="1440" w:right="1418" w:bottom="1440" w:left="1418" w:header="851" w:footer="992" w:gutter="0"/>
          <w:cols w:space="425" w:num="1"/>
          <w:docGrid w:type="lines" w:linePitch="312" w:charSpace="0"/>
        </w:sectPr>
      </w:pPr>
    </w:p>
    <w:p>
      <w:pPr>
        <w:pStyle w:val="2"/>
        <w:widowControl w:val="0"/>
        <w:jc w:val="both"/>
        <w:rPr>
          <w:kern w:val="2"/>
          <w:szCs w:val="24"/>
          <w:lang w:val="en-US"/>
        </w:rPr>
      </w:pPr>
      <w:bookmarkStart w:id="53" w:name="_Toc910"/>
      <w:r>
        <w:rPr>
          <w:kern w:val="2"/>
          <w:szCs w:val="24"/>
          <w:lang w:val="en-US"/>
        </w:rPr>
        <w:t>附录</w:t>
      </w:r>
      <w:bookmarkEnd w:id="53"/>
    </w:p>
    <w:p>
      <w:pPr>
        <w:pStyle w:val="4"/>
        <w:widowControl w:val="0"/>
        <w:jc w:val="both"/>
        <w:rPr>
          <w:kern w:val="2"/>
          <w:szCs w:val="24"/>
          <w:lang w:val="en-US"/>
        </w:rPr>
      </w:pPr>
      <w:bookmarkStart w:id="54" w:name="_Toc16725"/>
      <w:r>
        <w:rPr>
          <w:kern w:val="2"/>
          <w:szCs w:val="24"/>
          <w:lang w:val="en-US"/>
        </w:rPr>
        <w:t>工作日/节假日人员逐时在室率(%)</w:t>
      </w:r>
      <w:bookmarkEnd w:id="54"/>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15</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16</w:t>
            </w:r>
          </w:p>
        </w:tc>
      </w:tr>
    </w:tbl>
    <w:p>
      <w:pPr>
        <w:widowControl w:val="0"/>
        <w:jc w:val="both"/>
        <w:rPr>
          <w:kern w:val="2"/>
          <w:szCs w:val="24"/>
          <w:lang w:val="en-US"/>
        </w:rPr>
      </w:pPr>
    </w:p>
    <w:p>
      <w:r>
        <w:t>注：上行：工作日；下行：节假日</w:t>
      </w:r>
    </w:p>
    <w:p>
      <w:pPr>
        <w:pStyle w:val="4"/>
      </w:pPr>
      <w:bookmarkStart w:id="55" w:name="_Toc8269"/>
      <w:r>
        <w:t>工作日/节假日照明开关时间表(%)</w:t>
      </w:r>
      <w:bookmarkEnd w:id="55"/>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r>
    </w:tbl>
    <w:p/>
    <w:p>
      <w:r>
        <w:t>注：上行：工作日；下行：节假日</w:t>
      </w:r>
    </w:p>
    <w:p>
      <w:pPr>
        <w:pStyle w:val="4"/>
      </w:pPr>
      <w:bookmarkStart w:id="56" w:name="_Toc32679"/>
      <w:r>
        <w:t>工作日/节假日设备逐时使用率(%)</w:t>
      </w:r>
      <w:bookmarkEnd w:id="56"/>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69</w:t>
            </w:r>
          </w:p>
        </w:tc>
      </w:tr>
    </w:tbl>
    <w:p/>
    <w:p>
      <w:r>
        <w:t>注：上行：工作日；下行：节假日</w:t>
      </w:r>
    </w:p>
    <w:p>
      <w:pPr>
        <w:pStyle w:val="4"/>
      </w:pPr>
      <w:bookmarkStart w:id="57" w:name="_Toc23879"/>
      <w:r>
        <w:t>工作日/节假日空调系统运行时间表(1:开,0:关)</w:t>
      </w:r>
      <w:bookmarkEnd w:id="57"/>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5E2602D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建筑空调系统节能率报告书.dotx</Template>
  <Company>ths</Company>
  <Pages>5</Pages>
  <Words>960</Words>
  <Characters>5472</Characters>
  <Lines>45</Lines>
  <Paragraphs>12</Paragraphs>
  <TotalTime>7</TotalTime>
  <ScaleCrop>false</ScaleCrop>
  <LinksUpToDate>false</LinksUpToDate>
  <CharactersWithSpaces>6420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2018-04-25T07:55:00Z</dcterms:created>
  <dc:creator>Jiangx</dc:creator>
  <cp:lastModifiedBy>Administrator</cp:lastModifiedBy>
  <cp:lastPrinted>2411-12-31T16:00:00Z</cp:lastPrinted>
  <dcterms:modified xsi:type="dcterms:W3CDTF">2021-02-14T05:28:22Z</dcterms:modified>
  <dc:title>空调系统节能率计算书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ED1419E292BB4A4A8C51DAE976F39DC4</vt:lpwstr>
  </property>
</Properties>
</file>